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0001535472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Name of Issuer</w:t>
            </w:r>
          </w:p>
        </w:tc>
        <w:tc>
          <w:tcPr>
            <w:tcW w:w="6193" w:type="dxa"/>
            <w:tcBorders/>
            <w:vAlign w:val="center"/>
          </w:tcPr>
          <w:p>
            <w:pPr>
              <w:pStyle w:val="TableContents"/>
              <w:bidi w:val="0"/>
              <w:spacing w:before="0" w:after="0"/>
              <w:jc w:val="left"/>
              <w:rPr/>
            </w:pPr>
            <w:r>
              <w:rPr/>
              <w:t>GeneDx Holdings Corp.</w:t>
            </w:r>
          </w:p>
        </w:tc>
      </w:tr>
      <w:tr>
        <w:trPr/>
        <w:tc>
          <w:tcPr>
            <w:tcW w:w="4012" w:type="dxa"/>
            <w:tcBorders/>
            <w:vAlign w:val="center"/>
          </w:tcPr>
          <w:p>
            <w:pPr>
              <w:pStyle w:val="TableContents"/>
              <w:bidi w:val="0"/>
              <w:spacing w:before="0" w:after="283"/>
              <w:jc w:val="left"/>
              <w:rPr/>
            </w:pPr>
            <w:r>
              <w:rPr/>
              <w:t>SEC File Number</w:t>
            </w:r>
          </w:p>
        </w:tc>
        <w:tc>
          <w:tcPr>
            <w:tcW w:w="6193" w:type="dxa"/>
            <w:tcBorders/>
            <w:vAlign w:val="center"/>
          </w:tcPr>
          <w:p>
            <w:pPr>
              <w:pStyle w:val="TableContents"/>
              <w:bidi w:val="0"/>
              <w:spacing w:before="0" w:after="0"/>
              <w:jc w:val="left"/>
              <w:rPr/>
            </w:pPr>
            <w:r>
              <w:rPr/>
              <w:t>001-39482</w:t>
            </w:r>
          </w:p>
        </w:tc>
      </w:tr>
      <w:tr>
        <w:trPr/>
        <w:tc>
          <w:tcPr>
            <w:tcW w:w="4012" w:type="dxa"/>
            <w:tcBorders/>
            <w:vAlign w:val="center"/>
          </w:tcPr>
          <w:p>
            <w:pPr>
              <w:pStyle w:val="TableContents"/>
              <w:bidi w:val="0"/>
              <w:spacing w:before="0" w:after="283"/>
              <w:jc w:val="left"/>
              <w:rPr/>
            </w:pPr>
            <w:r>
              <w:rPr/>
              <w:t>Address of Issuer</w:t>
            </w:r>
          </w:p>
        </w:tc>
        <w:tc>
          <w:tcPr>
            <w:tcW w:w="6193" w:type="dxa"/>
            <w:tcBorders/>
            <w:vAlign w:val="center"/>
          </w:tcPr>
          <w:p>
            <w:pPr>
              <w:pStyle w:val="TableContents"/>
              <w:bidi w:val="0"/>
              <w:spacing w:before="0" w:after="0"/>
              <w:jc w:val="left"/>
              <w:rPr/>
            </w:pPr>
            <w:r>
              <w:rPr/>
              <w:t>333 Ludlow Street, North Tower,</w:t>
              <w:br/>
              <w:t>6th Floor</w:t>
              <w:br/>
              <w:t>Stamford</w:t>
              <w:br/>
              <w:t xml:space="preserve">CONNECTICUT </w:t>
              <w:br/>
              <w:t>06902</w:t>
            </w:r>
          </w:p>
        </w:tc>
      </w:tr>
      <w:tr>
        <w:trPr/>
        <w:tc>
          <w:tcPr>
            <w:tcW w:w="4012" w:type="dxa"/>
            <w:tcBorders/>
            <w:vAlign w:val="center"/>
          </w:tcPr>
          <w:p>
            <w:pPr>
              <w:pStyle w:val="TableContents"/>
              <w:bidi w:val="0"/>
              <w:spacing w:before="0" w:after="283"/>
              <w:jc w:val="left"/>
              <w:rPr/>
            </w:pPr>
            <w:r>
              <w:rPr/>
              <w:t>Phone</w:t>
            </w:r>
          </w:p>
        </w:tc>
        <w:tc>
          <w:tcPr>
            <w:tcW w:w="6193" w:type="dxa"/>
            <w:tcBorders/>
            <w:vAlign w:val="center"/>
          </w:tcPr>
          <w:p>
            <w:pPr>
              <w:pStyle w:val="TableContents"/>
              <w:bidi w:val="0"/>
              <w:spacing w:before="0" w:after="0"/>
              <w:jc w:val="left"/>
              <w:rPr/>
            </w:pPr>
            <w:r>
              <w:rPr/>
              <w:t>800-298-6470</w:t>
            </w:r>
          </w:p>
        </w:tc>
      </w:tr>
      <w:tr>
        <w:trPr/>
        <w:tc>
          <w:tcPr>
            <w:tcW w:w="4012" w:type="dxa"/>
            <w:tcBorders/>
            <w:vAlign w:val="center"/>
          </w:tcPr>
          <w:p>
            <w:pPr>
              <w:pStyle w:val="TableContents"/>
              <w:bidi w:val="0"/>
              <w:spacing w:before="0" w:after="283"/>
              <w:jc w:val="left"/>
              <w:rPr/>
            </w:pPr>
            <w:r>
              <w:rPr/>
              <w:t>Name of Person for Whose Account the Securities are To Be Sold</w:t>
            </w:r>
          </w:p>
        </w:tc>
        <w:tc>
          <w:tcPr>
            <w:tcW w:w="6193" w:type="dxa"/>
            <w:tcBorders/>
            <w:vAlign w:val="center"/>
          </w:tcPr>
          <w:p>
            <w:pPr>
              <w:pStyle w:val="TableContents"/>
              <w:bidi w:val="0"/>
              <w:spacing w:before="0" w:after="0"/>
              <w:jc w:val="left"/>
              <w:rPr/>
            </w:pPr>
            <w:r>
              <w:rPr/>
              <w:t>Corvex Management LP on behalf of Corvex Master Fund LP and Corvex Select Equity Master Fund(1)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012" w:type="dxa"/>
            <w:tcBorders/>
            <w:vAlign w:val="center"/>
          </w:tcPr>
          <w:p>
            <w:pPr>
              <w:pStyle w:val="TableContents"/>
              <w:bidi w:val="0"/>
              <w:spacing w:before="0" w:after="283"/>
              <w:jc w:val="left"/>
              <w:rPr/>
            </w:pPr>
            <w:r>
              <w:rPr/>
              <w:t>Relationship to Issuer</w:t>
            </w:r>
          </w:p>
        </w:tc>
        <w:tc>
          <w:tcPr>
            <w:tcW w:w="6193"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466"/>
        <w:gridCol w:w="1173"/>
        <w:gridCol w:w="1467"/>
        <w:gridCol w:w="1556"/>
        <w:gridCol w:w="1569"/>
        <w:gridCol w:w="1384"/>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4"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 $0.0001 par value per share(2)</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833742</w:t>
            </w:r>
          </w:p>
        </w:tc>
        <w:tc>
          <w:tcPr>
            <w:tcW w:w="1467" w:type="dxa"/>
            <w:tcBorders/>
            <w:vAlign w:val="center"/>
          </w:tcPr>
          <w:p>
            <w:pPr>
              <w:pStyle w:val="TableContents"/>
              <w:bidi w:val="0"/>
              <w:spacing w:before="0" w:after="283"/>
              <w:jc w:val="left"/>
              <w:rPr/>
            </w:pPr>
            <w:r>
              <w:rPr/>
              <w:t>1075527.00</w:t>
            </w:r>
          </w:p>
        </w:tc>
        <w:tc>
          <w:tcPr>
            <w:tcW w:w="1556" w:type="dxa"/>
            <w:tcBorders/>
            <w:vAlign w:val="center"/>
          </w:tcPr>
          <w:p>
            <w:pPr>
              <w:pStyle w:val="TableContents"/>
              <w:bidi w:val="0"/>
              <w:spacing w:before="0" w:after="283"/>
              <w:jc w:val="left"/>
              <w:rPr/>
            </w:pPr>
            <w:r>
              <w:rPr/>
              <w:t>25884279</w:t>
            </w:r>
          </w:p>
        </w:tc>
        <w:tc>
          <w:tcPr>
            <w:tcW w:w="1569" w:type="dxa"/>
            <w:tcBorders/>
            <w:vAlign w:val="center"/>
          </w:tcPr>
          <w:p>
            <w:pPr>
              <w:pStyle w:val="TableContents"/>
              <w:bidi w:val="0"/>
              <w:spacing w:before="0" w:after="283"/>
              <w:jc w:val="left"/>
              <w:rPr/>
            </w:pPr>
            <w:r>
              <w:rPr/>
              <w:t>11/15/2023</w:t>
            </w:r>
          </w:p>
        </w:tc>
        <w:tc>
          <w:tcPr>
            <w:tcW w:w="1384" w:type="dxa"/>
            <w:tcBorders/>
            <w:vAlign w:val="center"/>
          </w:tcPr>
          <w:p>
            <w:pPr>
              <w:pStyle w:val="TableContents"/>
              <w:bidi w:val="0"/>
              <w:spacing w:before="0" w:after="0"/>
              <w:jc w:val="left"/>
              <w:rPr/>
            </w:pPr>
            <w:r>
              <w:rPr/>
              <w:t>Nasdaq Global Select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40"/>
        <w:gridCol w:w="1515"/>
        <w:gridCol w:w="1226"/>
        <w:gridCol w:w="534"/>
        <w:gridCol w:w="1140"/>
        <w:gridCol w:w="1212"/>
        <w:gridCol w:w="1082"/>
        <w:gridCol w:w="1245"/>
      </w:tblGrid>
      <w:tr>
        <w:trPr/>
        <w:tc>
          <w:tcPr>
            <w:tcW w:w="1111" w:type="dxa"/>
            <w:tcBorders/>
            <w:vAlign w:val="center"/>
          </w:tcPr>
          <w:p>
            <w:pPr>
              <w:pStyle w:val="TableHeading"/>
              <w:suppressLineNumbers/>
              <w:bidi w:val="0"/>
              <w:spacing w:before="0" w:after="283"/>
              <w:jc w:val="center"/>
              <w:rPr/>
            </w:pPr>
            <w:r>
              <w:rPr/>
              <w:t>Title of the Class</w:t>
            </w:r>
          </w:p>
        </w:tc>
        <w:tc>
          <w:tcPr>
            <w:tcW w:w="1140"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6"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0"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Class A common stock, $0.0001 par value per share</w:t>
            </w:r>
          </w:p>
        </w:tc>
        <w:tc>
          <w:tcPr>
            <w:tcW w:w="1140" w:type="dxa"/>
            <w:tcBorders/>
            <w:vAlign w:val="center"/>
          </w:tcPr>
          <w:p>
            <w:pPr>
              <w:pStyle w:val="TableContents"/>
              <w:bidi w:val="0"/>
              <w:spacing w:before="0" w:after="283"/>
              <w:jc w:val="left"/>
              <w:rPr/>
            </w:pPr>
            <w:r>
              <w:rPr/>
              <w:t>07/22/2021</w:t>
            </w:r>
          </w:p>
        </w:tc>
        <w:tc>
          <w:tcPr>
            <w:tcW w:w="1515" w:type="dxa"/>
            <w:tcBorders/>
            <w:vAlign w:val="center"/>
          </w:tcPr>
          <w:p>
            <w:pPr>
              <w:pStyle w:val="TableContents"/>
              <w:bidi w:val="0"/>
              <w:spacing w:before="0" w:after="283"/>
              <w:jc w:val="left"/>
              <w:rPr/>
            </w:pPr>
            <w:r>
              <w:rPr/>
              <w:t>Purchase from Issuer(3)</w:t>
            </w:r>
          </w:p>
        </w:tc>
        <w:tc>
          <w:tcPr>
            <w:tcW w:w="1226" w:type="dxa"/>
            <w:tcBorders/>
            <w:vAlign w:val="center"/>
          </w:tcPr>
          <w:p>
            <w:pPr>
              <w:pStyle w:val="TableContents"/>
              <w:bidi w:val="0"/>
              <w:spacing w:before="0" w:after="283"/>
              <w:jc w:val="left"/>
              <w:rPr/>
            </w:pPr>
            <w:r>
              <w:rPr/>
              <w:t>GeneDx Holdings Corp.</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21324</w:t>
            </w:r>
          </w:p>
        </w:tc>
        <w:tc>
          <w:tcPr>
            <w:tcW w:w="1082" w:type="dxa"/>
            <w:tcBorders/>
            <w:vAlign w:val="center"/>
          </w:tcPr>
          <w:p>
            <w:pPr>
              <w:pStyle w:val="TableContents"/>
              <w:bidi w:val="0"/>
              <w:spacing w:before="0" w:after="283"/>
              <w:jc w:val="left"/>
              <w:rPr/>
            </w:pPr>
            <w:r>
              <w:rPr/>
              <w:t>07/22/2021</w:t>
            </w:r>
          </w:p>
        </w:tc>
        <w:tc>
          <w:tcPr>
            <w:tcW w:w="1245" w:type="dxa"/>
            <w:tcBorders/>
            <w:vAlign w:val="center"/>
          </w:tcPr>
          <w:p>
            <w:pPr>
              <w:pStyle w:val="TableContents"/>
              <w:bidi w:val="0"/>
              <w:spacing w:before="0" w:after="283"/>
              <w:jc w:val="left"/>
              <w:rPr/>
            </w:pPr>
            <w:r>
              <w:rPr/>
              <w:t>cash</w:t>
            </w:r>
          </w:p>
        </w:tc>
      </w:tr>
      <w:tr>
        <w:trPr/>
        <w:tc>
          <w:tcPr>
            <w:tcW w:w="1111" w:type="dxa"/>
            <w:tcBorders/>
            <w:vAlign w:val="center"/>
          </w:tcPr>
          <w:p>
            <w:pPr>
              <w:pStyle w:val="TableContents"/>
              <w:bidi w:val="0"/>
              <w:spacing w:before="0" w:after="283"/>
              <w:jc w:val="left"/>
              <w:rPr/>
            </w:pPr>
            <w:r>
              <w:rPr/>
              <w:t>Class A common stock, $0.0001 par value per share</w:t>
            </w:r>
          </w:p>
        </w:tc>
        <w:tc>
          <w:tcPr>
            <w:tcW w:w="1140" w:type="dxa"/>
            <w:tcBorders/>
            <w:vAlign w:val="center"/>
          </w:tcPr>
          <w:p>
            <w:pPr>
              <w:pStyle w:val="TableContents"/>
              <w:bidi w:val="0"/>
              <w:spacing w:before="0" w:after="283"/>
              <w:jc w:val="left"/>
              <w:rPr/>
            </w:pPr>
            <w:r>
              <w:rPr/>
              <w:t>04/29/2022</w:t>
            </w:r>
          </w:p>
        </w:tc>
        <w:tc>
          <w:tcPr>
            <w:tcW w:w="1515" w:type="dxa"/>
            <w:tcBorders/>
            <w:vAlign w:val="center"/>
          </w:tcPr>
          <w:p>
            <w:pPr>
              <w:pStyle w:val="TableContents"/>
              <w:bidi w:val="0"/>
              <w:spacing w:before="0" w:after="283"/>
              <w:jc w:val="left"/>
              <w:rPr/>
            </w:pPr>
            <w:r>
              <w:rPr/>
              <w:t>Purchase from Issuer(3)</w:t>
            </w:r>
          </w:p>
        </w:tc>
        <w:tc>
          <w:tcPr>
            <w:tcW w:w="1226" w:type="dxa"/>
            <w:tcBorders/>
            <w:vAlign w:val="center"/>
          </w:tcPr>
          <w:p>
            <w:pPr>
              <w:pStyle w:val="TableContents"/>
              <w:bidi w:val="0"/>
              <w:spacing w:before="0" w:after="283"/>
              <w:jc w:val="left"/>
              <w:rPr/>
            </w:pPr>
            <w:r>
              <w:rPr/>
              <w:t>GeneDx Holdings Corp.</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4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221818</w:t>
            </w:r>
          </w:p>
        </w:tc>
        <w:tc>
          <w:tcPr>
            <w:tcW w:w="1082" w:type="dxa"/>
            <w:tcBorders/>
            <w:vAlign w:val="center"/>
          </w:tcPr>
          <w:p>
            <w:pPr>
              <w:pStyle w:val="TableContents"/>
              <w:bidi w:val="0"/>
              <w:spacing w:before="0" w:after="283"/>
              <w:jc w:val="left"/>
              <w:rPr/>
            </w:pPr>
            <w:r>
              <w:rPr/>
              <w:t>04/29/2022</w:t>
            </w:r>
          </w:p>
        </w:tc>
        <w:tc>
          <w:tcPr>
            <w:tcW w:w="1245" w:type="dxa"/>
            <w:tcBorders/>
            <w:vAlign w:val="center"/>
          </w:tcPr>
          <w:p>
            <w:pPr>
              <w:pStyle w:val="TableContents"/>
              <w:bidi w:val="0"/>
              <w:spacing w:before="0" w:after="283"/>
              <w:jc w:val="left"/>
              <w:rPr/>
            </w:pPr>
            <w:r>
              <w:rPr/>
              <w:t>cash</w:t>
            </w:r>
          </w:p>
        </w:tc>
      </w:tr>
      <w:tr>
        <w:trPr/>
        <w:tc>
          <w:tcPr>
            <w:tcW w:w="1111" w:type="dxa"/>
            <w:tcBorders/>
            <w:vAlign w:val="center"/>
          </w:tcPr>
          <w:p>
            <w:pPr>
              <w:pStyle w:val="TableContents"/>
              <w:bidi w:val="0"/>
              <w:spacing w:before="0" w:after="283"/>
              <w:jc w:val="left"/>
              <w:rPr/>
            </w:pPr>
            <w:r>
              <w:rPr/>
              <w:t>Class A common stock, $0.0001 par value per share</w:t>
            </w:r>
          </w:p>
        </w:tc>
        <w:tc>
          <w:tcPr>
            <w:tcW w:w="1140" w:type="dxa"/>
            <w:tcBorders/>
            <w:vAlign w:val="center"/>
          </w:tcPr>
          <w:p>
            <w:pPr>
              <w:pStyle w:val="TableContents"/>
              <w:bidi w:val="0"/>
              <w:spacing w:before="0" w:after="283"/>
              <w:jc w:val="left"/>
              <w:rPr/>
            </w:pPr>
            <w:r>
              <w:rPr/>
              <w:t>02/01/2023</w:t>
            </w:r>
          </w:p>
        </w:tc>
        <w:tc>
          <w:tcPr>
            <w:tcW w:w="1515" w:type="dxa"/>
            <w:tcBorders/>
            <w:vAlign w:val="center"/>
          </w:tcPr>
          <w:p>
            <w:pPr>
              <w:pStyle w:val="TableContents"/>
              <w:bidi w:val="0"/>
              <w:spacing w:before="0" w:after="283"/>
              <w:jc w:val="left"/>
              <w:rPr/>
            </w:pPr>
            <w:r>
              <w:rPr/>
              <w:t>Purchase from Issuer(3)</w:t>
            </w:r>
          </w:p>
        </w:tc>
        <w:tc>
          <w:tcPr>
            <w:tcW w:w="1226" w:type="dxa"/>
            <w:tcBorders/>
            <w:vAlign w:val="center"/>
          </w:tcPr>
          <w:p>
            <w:pPr>
              <w:pStyle w:val="TableContents"/>
              <w:bidi w:val="0"/>
              <w:spacing w:before="0" w:after="283"/>
              <w:jc w:val="left"/>
              <w:rPr/>
            </w:pPr>
            <w:r>
              <w:rPr/>
              <w:t>GeneDx Holdings Corp.</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4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590600</w:t>
            </w:r>
          </w:p>
        </w:tc>
        <w:tc>
          <w:tcPr>
            <w:tcW w:w="1082" w:type="dxa"/>
            <w:tcBorders/>
            <w:vAlign w:val="center"/>
          </w:tcPr>
          <w:p>
            <w:pPr>
              <w:pStyle w:val="TableContents"/>
              <w:bidi w:val="0"/>
              <w:spacing w:before="0" w:after="283"/>
              <w:jc w:val="left"/>
              <w:rPr/>
            </w:pPr>
            <w:r>
              <w:rPr/>
              <w:t>02/01/2023</w:t>
            </w:r>
          </w:p>
        </w:tc>
        <w:tc>
          <w:tcPr>
            <w:tcW w:w="124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101"/>
        <w:gridCol w:w="9104"/>
      </w:tblGrid>
      <w:tr>
        <w:trPr/>
        <w:tc>
          <w:tcPr>
            <w:tcW w:w="1101" w:type="dxa"/>
            <w:tcBorders/>
            <w:vAlign w:val="center"/>
          </w:tcPr>
          <w:p>
            <w:pPr>
              <w:pStyle w:val="TableContents"/>
              <w:bidi w:val="0"/>
              <w:spacing w:before="0" w:after="283"/>
              <w:jc w:val="left"/>
              <w:rPr/>
            </w:pPr>
            <w:r>
              <w:rPr/>
              <w:t>Remarks</w:t>
            </w:r>
          </w:p>
        </w:tc>
        <w:tc>
          <w:tcPr>
            <w:tcW w:w="9104" w:type="dxa"/>
            <w:tcBorders/>
            <w:vAlign w:val="center"/>
          </w:tcPr>
          <w:p>
            <w:pPr>
              <w:pStyle w:val="TableContents"/>
              <w:bidi w:val="0"/>
              <w:spacing w:before="0" w:after="0"/>
              <w:jc w:val="left"/>
              <w:rPr/>
            </w:pPr>
            <w:r>
              <w:rPr/>
              <w:t>1. Corvex Management LP is deemed to be the beneficial owner of the shares of Class A common stock ("Common Stock") of GeneDx Holdings Corp. (the "Issuer") held by Corvex Master Fund LP and Corvex Select Equity Master Fund. 2. Includes 590,600 shares of Common Stock held by Corvex Master Fund LP and 243,142 shares of Common Stock held by Corvex Select Equity Master Fund LP. 3. Share amounts have been adjusted to reflect the impact of a 1-for-33 reverse stock split of the Issuer's Common Stock that became effective on May 4, 2023.</w:t>
            </w:r>
          </w:p>
        </w:tc>
      </w:tr>
      <w:tr>
        <w:trPr/>
        <w:tc>
          <w:tcPr>
            <w:tcW w:w="1101" w:type="dxa"/>
            <w:tcBorders/>
            <w:vAlign w:val="center"/>
          </w:tcPr>
          <w:p>
            <w:pPr>
              <w:pStyle w:val="TableContents"/>
              <w:bidi w:val="0"/>
              <w:spacing w:before="0" w:after="283"/>
              <w:jc w:val="left"/>
              <w:rPr/>
            </w:pPr>
            <w:r>
              <w:rPr/>
              <w:t>Date of Notice</w:t>
            </w:r>
          </w:p>
        </w:tc>
        <w:tc>
          <w:tcPr>
            <w:tcW w:w="9104" w:type="dxa"/>
            <w:tcBorders/>
            <w:vAlign w:val="center"/>
          </w:tcPr>
          <w:p>
            <w:pPr>
              <w:pStyle w:val="TableContents"/>
              <w:bidi w:val="0"/>
              <w:spacing w:before="0" w:after="0"/>
              <w:jc w:val="left"/>
              <w:rPr/>
            </w:pPr>
            <w:r>
              <w:rPr/>
              <w:t>11/15/2023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01" w:type="dxa"/>
            <w:tcBorders/>
            <w:vAlign w:val="center"/>
          </w:tcPr>
          <w:p>
            <w:pPr>
              <w:pStyle w:val="TableContents"/>
              <w:bidi w:val="0"/>
              <w:spacing w:before="0" w:after="283"/>
              <w:jc w:val="left"/>
              <w:rPr/>
            </w:pPr>
            <w:r>
              <w:rPr/>
              <w:t>Signature</w:t>
            </w:r>
          </w:p>
        </w:tc>
        <w:tc>
          <w:tcPr>
            <w:tcW w:w="9104" w:type="dxa"/>
            <w:tcBorders/>
            <w:vAlign w:val="center"/>
          </w:tcPr>
          <w:p>
            <w:pPr>
              <w:pStyle w:val="TableContents"/>
              <w:bidi w:val="0"/>
              <w:spacing w:before="0" w:after="0"/>
              <w:jc w:val="left"/>
              <w:rPr/>
            </w:pPr>
            <w:r>
              <w:rPr/>
              <w:t>/s/ Patrick Dooley, authorized signatory of Corvex Management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3757</Characters>
  <CharactersWithSpaces>4434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