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Stueland Katherine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18006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8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12/09/2024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2164</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12/16/2024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6186</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12/16/2024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10/29/2024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1290</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09/16/2024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6186</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09/16/2024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09/09/2024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2180</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09/09/2024 cashless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11/15/2024 23108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1627000.00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11/18/2024 22307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1567000.00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2154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12/09/2024 3661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12/16/2024 10501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806000.00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sales on 10/29/24, 12/9/24, and 12/16/24 reported on this form 144 represent shares sold in the past 3 months by the Reporting Person to cover tax withholding obligations in connection with the vesting and settlement of RSUs. The sales were to satisfy tax withholding obligations to be funded by a sell to cover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01/02/2025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08/16/2024</w:t>
      </w:r>
    </w:p>
    <w:p>
      <w:pPr>
        <w:spacing w:after="0" w:line="855" w:lineRule="exact"/>
        <w:rPr>
          <w:sz w:val="20"/>
          <w:szCs w:val="20"/>
          <w:color w:val="auto"/>
        </w:rPr>
      </w:pPr>
    </w:p>
    <w:p>
      <w:pPr>
        <w:sectPr>
          <w:pgSz w:w="11900" w:h="16838" w:orient="portrait"/>
          <w:cols w:equalWidth="0" w:num="2">
            <w:col w:w="2000" w:space="140"/>
            <w:col w:w="910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Katherine Stueland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2025-01-02T15:42:40Z</dcterms:created>
  <dcterms:modified xsi:type="dcterms:W3CDTF">2025-01-02T15:42:40Z</dcterms:modified>
</cp:coreProperties>
</file>