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46551</w:t>
      </w:r>
      <w:r>
        <w:rPr>
          <w:sz w:val="20"/>
          <w:szCs w:val="20"/>
          <w:color w:val="auto"/>
        </w:rPr>
        <w:tab/>
      </w:r>
      <w:r>
        <w:rPr>
          <w:rFonts w:ascii="Times New Roman" w:cs="Times New Roman" w:eastAsia="Times New Roman" w:hAnsi="Times New Roman"/>
          <w:sz w:val="21"/>
          <w:szCs w:val="21"/>
          <w:color w:val="auto"/>
        </w:rPr>
        <w:t>4451200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28503891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03/26/2025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03/26/2025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46551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03/26/2025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01/02/2025 18006</w:t>
            </w: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1407700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51420</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4858100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01/29/2025 1657</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03/10/2025 2731</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03/13/2025 1078</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96400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03/17/2025 10559</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1021100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Represents 46,551 shares to be sold on behalf of the Reporting Person to cover tax withholding obligations in connection with the vesting of restricted stock units, and shares sold in the past 3 months by the Reporting Person, including: 1) 16,025 shares sold to cover tax withholding obligations in connection with the vesting and settlement of RSUs; and 2) 69,426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03/26/2025</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Katherine Stueland</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2025-03-26T17:40:08Z</dcterms:created>
  <dcterms:modified xsi:type="dcterms:W3CDTF">2025-03-26T17:40:08Z</dcterms:modified>
</cp:coreProperties>
</file>