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30, 2022 (December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45085</wp:posOffset>
            </wp:positionV>
            <wp:extent cx="182562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001-39482</w:t>
            </w:r>
          </w:p>
        </w:tc>
        <w:tc>
          <w:tcPr>
            <w:tcW w:w="80" w:type="dxa"/>
            <w:vAlign w:val="bottom"/>
          </w:tcPr>
          <w:p>
            <w:pPr>
              <w:spacing w:after="0"/>
              <w:rPr>
                <w:sz w:val="21"/>
                <w:szCs w:val="21"/>
                <w:color w:val="auto"/>
              </w:rPr>
            </w:pPr>
          </w:p>
        </w:tc>
        <w:tc>
          <w:tcPr>
            <w:tcW w:w="4280" w:type="dxa"/>
            <w:vAlign w:val="bottom"/>
          </w:tcPr>
          <w:p>
            <w:pPr>
              <w:jc w:val="right"/>
              <w:ind w:right="1610"/>
              <w:spacing w:after="0"/>
              <w:rPr>
                <w:sz w:val="20"/>
                <w:szCs w:val="20"/>
                <w:color w:val="auto"/>
              </w:rPr>
            </w:pPr>
            <w:r>
              <w:rPr>
                <w:rFonts w:ascii="Arial" w:cs="Arial" w:eastAsia="Arial" w:hAnsi="Arial"/>
                <w:sz w:val="18"/>
                <w:szCs w:val="18"/>
                <w:b w:val="1"/>
                <w:bCs w:val="1"/>
                <w:color w:val="auto"/>
              </w:rPr>
              <w:t>85-1966622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320" w:type="dxa"/>
            <w:vAlign w:val="bottom"/>
          </w:tcPr>
          <w:p>
            <w:pPr>
              <w:jc w:val="center"/>
              <w:spacing w:after="0" w:line="182"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43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06902</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298-6470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9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940" w:firstLine="48"/>
        <w:spacing w:after="0" w:line="482"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8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175"/>
        </w:trPr>
        <w:tc>
          <w:tcPr>
            <w:tcW w:w="46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43"/>
        </w:trPr>
        <w:tc>
          <w:tcPr>
            <w:tcW w:w="46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each at an exercise price of $11.50 per share</w:t>
            </w:r>
          </w:p>
        </w:tc>
        <w:tc>
          <w:tcPr>
            <w:tcW w:w="19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SMFRW</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24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28, 2022, Sema4 Holdings Corp. (“Sema4”) received written notice (the “Notice”) from the Listing Qualifications Department of The Nasdaq Stock Market, LLC (“Nasdaq”) notifying Sema4 that, based on the closing bid price of Sema4’s Class A common stock, par value $0.0001 per share (the “Class A Common Stock”), for the last 30 consecutive trading days, Sema4 no longer complies with the minimum bid price requirement for continued listing on The Nasdaq Global Select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Notice has no immediate effect on the listing of the Class A Common Stock on The Nasdaq Global Select Market. Pursuant to the Nasdaq Listing Rules, Sema4 has been provided an initial compliance period of 180 calendar days to regain compliance with the Minimum Bid Price Requirement. To regain compliance, the closing bid price of the Class A Common Stock must be at least $1.00 per share for a minimum of 10 consecutive trading days prior to June 26, 2023, and Sema4 must otherwise satisfy The Nasdaq Global Select Market’s requirements for listing.</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If Sema4 does not regain compliance by June 26, 2023, Sema4 may be eligible for an additional 180-calendar-day compliance period if it elects (and meets the listing standards) to transfer to The Nasdaq Capital Market to take advantage of the additional compliance period offered on that market. To qualify, Sema4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of its intention to cure the bid price deficiency during the second compliance period. If Sema4 does not regain compliance within the allotted compliance period(s), including any extensions that may be granted by Nasdaq, Nasdaq will provide notice that the Class A Common Stock will be subject to delisting. Sema4 would then be entitled to appeal Nasdaq’s determination to a Nasdaq Listing Qualifications Panel and request a hearing.</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Sema4 intends to monitor the closing bid price of the Class A Common Stock and consider its available options to resolve the noncompliance with the Minimum Bid Price Requirement. There can be no assurance that Sema4 will be able to regain compliance with The Nasdaq Global Select Market’s continued listing requirements or that Nasdaq will grant Sema4 a further extension of time to regain compliance, if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previously reported in its Quarterly Reports on Form 10-Q for the quarterly periods ended June 30, 2022 and September 30, 2022, Sema4 (together with its subsidiaries, the “Company”) was previously engaged in discussions with one of its third-party payors (the “Payor”) regarding certain overpayments Sema4 Opco, Inc. allegedly received from the Payor, including for multi-gene tests, such as carrier screening services, that the Payor alleged were not covered by, or were not otherwise properly billed to, the Payor. The Payor had asserted in informal discussions that it would seek recovery or recoupment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relation to the alleged overpayments if the matter could not be settled. As a result of this matter and other potential settlements with payors, the Company had established certain liabilities and reversed certain of its previously recorded revenue.</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December 30, 2022, the Company entered into a settlement agreement (the “Settlement Agreement”) with the Payor in order to settle the claims related to coverage and billing matters allegedly resulting in the overpayments by the Payor to Sema4 Opco, Inc. including those related to multi-gene tests, such as carrier screening services (the “Disputed Claims”). Under the Settlement Agreement, the total settlement amount is $42 million without interest (the “Settlement Amount”), to be paid by the Company to the Payor in a series of installments over the next four years with the final installment payment scheduled to be on or before June 30, 2026. The first installment payment of $15 million is expected to be made by the Company on or before December 31, 2022. In consideration for these payments, the Payor has agreed to provide releases of the Disputed Claims, which releases become effective 91 days after the first installment payment due on December 31, 2022 is received by Payor.</w:t>
      </w:r>
    </w:p>
    <w:p>
      <w:pPr>
        <w:spacing w:after="0" w:line="21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The Payor also agreed that it will enter into a new three year in-network participation agreement with GeneDx, LLC within 90 days from the execution of the Settlement </w:t>
      </w:r>
      <w:r>
        <w:rPr>
          <w:rFonts w:ascii="Arial" w:cs="Arial" w:eastAsia="Arial" w:hAnsi="Arial"/>
          <w:sz w:val="21"/>
          <w:szCs w:val="21"/>
          <w:color w:val="auto"/>
        </w:rPr>
        <w:t>Agreement</w:t>
      </w:r>
      <w:r>
        <w:rPr>
          <w:rFonts w:ascii="Arial" w:cs="Arial" w:eastAsia="Arial" w:hAnsi="Arial"/>
          <w:sz w:val="18"/>
          <w:szCs w:val="18"/>
          <w:color w:val="auto"/>
        </w:rPr>
        <w:t>.</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120" w:type="dxa"/>
            <w:vAlign w:val="bottom"/>
            <w:gridSpan w:val="5"/>
          </w:tcPr>
          <w:p>
            <w:pPr>
              <w:spacing w:after="0"/>
              <w:rPr>
                <w:sz w:val="20"/>
                <w:szCs w:val="20"/>
                <w:color w:val="auto"/>
              </w:rPr>
            </w:pPr>
            <w:r>
              <w:rPr>
                <w:rFonts w:ascii="Arial" w:cs="Arial" w:eastAsia="Arial" w:hAnsi="Arial"/>
                <w:sz w:val="20"/>
                <w:szCs w:val="20"/>
                <w:b w:val="1"/>
                <w:bCs w:val="1"/>
                <w:color w:val="auto"/>
              </w:rPr>
              <w:t>Item 9.01</w:t>
            </w:r>
          </w:p>
        </w:tc>
        <w:tc>
          <w:tcPr>
            <w:tcW w:w="10120" w:type="dxa"/>
            <w:vAlign w:val="bottom"/>
            <w:gridSpan w:val="3"/>
          </w:tcPr>
          <w:p>
            <w:pPr>
              <w:ind w:left="220"/>
              <w:spacing w:after="0"/>
              <w:rPr>
                <w:sz w:val="20"/>
                <w:szCs w:val="20"/>
                <w:color w:val="auto"/>
              </w:rPr>
            </w:pPr>
            <w:r>
              <w:rPr>
                <w:rFonts w:ascii="Arial" w:cs="Arial" w:eastAsia="Arial" w:hAnsi="Arial"/>
                <w:sz w:val="20"/>
                <w:szCs w:val="20"/>
                <w:b w:val="1"/>
                <w:bCs w:val="1"/>
                <w:color w:val="auto"/>
              </w:rPr>
              <w:t>Financial Statement and Exhibits.</w:t>
            </w:r>
          </w:p>
        </w:tc>
        <w:tc>
          <w:tcPr>
            <w:tcW w:w="0" w:type="dxa"/>
            <w:vAlign w:val="bottom"/>
          </w:tcPr>
          <w:p>
            <w:pPr>
              <w:spacing w:after="0"/>
              <w:rPr>
                <w:sz w:val="1"/>
                <w:szCs w:val="1"/>
                <w:color w:val="auto"/>
              </w:rPr>
            </w:pPr>
          </w:p>
        </w:tc>
      </w:tr>
      <w:tr>
        <w:trPr>
          <w:trHeight w:val="250"/>
        </w:trPr>
        <w:tc>
          <w:tcPr>
            <w:tcW w:w="112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3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92"/>
              </w:rPr>
              <w:t>Exhibit</w:t>
            </w:r>
          </w:p>
        </w:tc>
        <w:tc>
          <w:tcPr>
            <w:tcW w:w="3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vMerge w:val="restart"/>
          </w:tcPr>
          <w:p>
            <w:pPr>
              <w:spacing w:after="0"/>
              <w:rPr>
                <w:sz w:val="21"/>
                <w:szCs w:val="2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2"/>
              </w:rPr>
              <w:t>Number</w:t>
            </w:r>
          </w:p>
        </w:tc>
        <w:tc>
          <w:tcPr>
            <w:tcW w:w="160" w:type="dxa"/>
            <w:vAlign w:val="bottom"/>
            <w:vMerge w:val="restart"/>
          </w:tcPr>
          <w:p>
            <w:pPr>
              <w:spacing w:after="0"/>
              <w:rPr>
                <w:sz w:val="21"/>
                <w:szCs w:val="21"/>
                <w:color w:val="auto"/>
              </w:rPr>
            </w:pPr>
          </w:p>
        </w:tc>
        <w:tc>
          <w:tcPr>
            <w:tcW w:w="10120" w:type="dxa"/>
            <w:vAlign w:val="bottom"/>
            <w:gridSpan w:val="3"/>
            <w:vMerge w:val="restart"/>
          </w:tcPr>
          <w:p>
            <w:pPr>
              <w:ind w:left="388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34"/>
        </w:trPr>
        <w:tc>
          <w:tcPr>
            <w:tcW w:w="26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160" w:type="dxa"/>
            <w:vAlign w:val="bottom"/>
            <w:vMerge w:val="continue"/>
          </w:tcPr>
          <w:p>
            <w:pPr>
              <w:spacing w:after="0"/>
              <w:rPr>
                <w:sz w:val="2"/>
                <w:szCs w:val="2"/>
                <w:color w:val="auto"/>
              </w:rPr>
            </w:pPr>
          </w:p>
        </w:tc>
        <w:tc>
          <w:tcPr>
            <w:tcW w:w="101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20" w:type="dxa"/>
            <w:vAlign w:val="bottom"/>
            <w:gridSpan w:val="3"/>
          </w:tcPr>
          <w:p>
            <w:pPr>
              <w:jc w:val="center"/>
              <w:ind w:left="201"/>
              <w:spacing w:after="0"/>
              <w:rPr>
                <w:sz w:val="20"/>
                <w:szCs w:val="20"/>
                <w:color w:val="auto"/>
              </w:rPr>
            </w:pPr>
            <w:r>
              <w:rPr>
                <w:rFonts w:ascii="Arial" w:cs="Arial" w:eastAsia="Arial" w:hAnsi="Arial"/>
                <w:sz w:val="20"/>
                <w:szCs w:val="20"/>
                <w:color w:val="auto"/>
                <w:w w:val="89"/>
              </w:rPr>
              <w:t>104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20" w:type="dxa"/>
            <w:vAlign w:val="bottom"/>
            <w:gridSpan w:val="3"/>
          </w:tcPr>
          <w:p>
            <w:pPr>
              <w:ind w:left="120"/>
              <w:spacing w:after="0"/>
              <w:rPr>
                <w:sz w:val="20"/>
                <w:szCs w:val="20"/>
                <w:color w:val="auto"/>
              </w:rPr>
            </w:pPr>
            <w:r>
              <w:rPr>
                <w:rFonts w:ascii="Arial" w:cs="Arial" w:eastAsia="Arial" w:hAnsi="Arial"/>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75"/>
        </w:trPr>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7200" w:type="dxa"/>
            <w:vAlign w:val="bottom"/>
            <w:gridSpan w:val="2"/>
          </w:tcPr>
          <w:p>
            <w:pPr>
              <w:ind w:left="1300"/>
              <w:spacing w:after="0"/>
              <w:rPr>
                <w:sz w:val="20"/>
                <w:szCs w:val="20"/>
                <w:color w:val="auto"/>
              </w:rPr>
            </w:pPr>
            <w:r>
              <w:rPr>
                <w:rFonts w:ascii="Arial" w:cs="Arial" w:eastAsia="Arial" w:hAnsi="Arial"/>
                <w:sz w:val="20"/>
                <w:szCs w:val="20"/>
                <w:b w:val="1"/>
                <w:bCs w:val="1"/>
                <w:color w:val="auto"/>
              </w:rPr>
              <w:t>Sema4 Holdings Corp.</w:t>
            </w:r>
          </w:p>
        </w:tc>
      </w:tr>
      <w:tr>
        <w:trPr>
          <w:trHeight w:val="529"/>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3220" w:type="dxa"/>
            <w:vAlign w:val="bottom"/>
          </w:tcPr>
          <w:p>
            <w:pPr>
              <w:ind w:left="360"/>
              <w:spacing w:after="0"/>
              <w:rPr>
                <w:sz w:val="20"/>
                <w:szCs w:val="20"/>
                <w:color w:val="auto"/>
              </w:rPr>
            </w:pPr>
            <w:r>
              <w:rPr>
                <w:rFonts w:ascii="Arial" w:cs="Arial" w:eastAsia="Arial" w:hAnsi="Arial"/>
                <w:sz w:val="20"/>
                <w:szCs w:val="20"/>
                <w:color w:val="auto"/>
              </w:rPr>
              <w:t>December 30, 2022</w:t>
            </w:r>
          </w:p>
        </w:tc>
        <w:tc>
          <w:tcPr>
            <w:tcW w:w="2300" w:type="dxa"/>
            <w:vAlign w:val="bottom"/>
          </w:tcPr>
          <w:p>
            <w:pPr>
              <w:ind w:left="130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50"/>
        </w:trPr>
        <w:tc>
          <w:tcPr>
            <w:tcW w:w="8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300" w:type="dxa"/>
            <w:vAlign w:val="bottom"/>
          </w:tcPr>
          <w:p>
            <w:pPr>
              <w:ind w:left="130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3"/>
        </w:trPr>
        <w:tc>
          <w:tcPr>
            <w:tcW w:w="8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300" w:type="dxa"/>
            <w:vAlign w:val="bottom"/>
          </w:tcPr>
          <w:p>
            <w:pPr>
              <w:ind w:left="130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2022-12-30T15:14:12Z</dcterms:created>
  <dcterms:modified xsi:type="dcterms:W3CDTF">2022-12-30T15:14:12Z</dcterms:modified>
</cp:coreProperties>
</file>