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12026_080528.xml.htm"/>
      <w:bookmarkStart w:id="1" w:name="ksform405012026_0805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65.1926</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34,942</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$64.4739 to $65.20 per share,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34,942 shares of Class A Common Stock beneficially owned by the Reporting Person, the Reporting Person beneficially owned RSUs representing contingent rights to receive up to an aggregate of 92,419 shares of Class A Common Stock and options to purchase up to an aggregate of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total award vested on each of April 29, 2023 and April 29, 2024, and an additional 6.25% of the total award vested or vests thereafter on each quarterly anniversary, subject to the Reporting Person's continued service to the Issuer on each vesting date, with the last tranche vesting on April 29, 2026.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4773</Characters>
  <CharactersWithSpaces>5602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