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333-267108</w:t>
      </w:r>
    </w:p>
    <w:p>
      <w:pPr>
        <w:spacing w:after="0" w:line="39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2842260</wp:posOffset>
            </wp:positionH>
            <wp:positionV relativeFrom="paragraph">
              <wp:posOffset>122555</wp:posOffset>
            </wp:positionV>
            <wp:extent cx="1465580" cy="4457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65580"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Sema4 Holdings Corp.</w:t>
      </w:r>
    </w:p>
    <w:p>
      <w:pPr>
        <w:spacing w:after="0" w:line="190"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25"/>
          <w:szCs w:val="25"/>
          <w:b w:val="1"/>
          <w:bCs w:val="1"/>
          <w:color w:val="auto"/>
        </w:rPr>
        <w:t>356,524,688 Shares of Class A Common Stock</w:t>
      </w:r>
    </w:p>
    <w:p>
      <w:pPr>
        <w:spacing w:after="0" w:line="172" w:lineRule="exact"/>
        <w:rPr>
          <w:sz w:val="24"/>
          <w:szCs w:val="24"/>
          <w:color w:val="auto"/>
        </w:rPr>
      </w:pPr>
    </w:p>
    <w:p>
      <w:pPr>
        <w:ind w:left="2080"/>
        <w:spacing w:after="0"/>
        <w:rPr>
          <w:sz w:val="20"/>
          <w:szCs w:val="20"/>
          <w:color w:val="auto"/>
        </w:rPr>
      </w:pPr>
      <w:r>
        <w:rPr>
          <w:rFonts w:ascii="Times New Roman" w:cs="Times New Roman" w:eastAsia="Times New Roman" w:hAnsi="Times New Roman"/>
          <w:sz w:val="25"/>
          <w:szCs w:val="25"/>
          <w:b w:val="1"/>
          <w:bCs w:val="1"/>
          <w:color w:val="auto"/>
        </w:rPr>
        <w:t>7,236,667 Warrants to Purchase Shares of Class A Common Stock</w:t>
      </w:r>
    </w:p>
    <w:p>
      <w:pPr>
        <w:spacing w:after="0" w:line="185"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25"/>
          <w:szCs w:val="25"/>
          <w:b w:val="1"/>
          <w:bCs w:val="1"/>
          <w:color w:val="auto"/>
        </w:rPr>
        <w:t>21,994,972 Shares of Class A Common Stock Underlying Warrants</w:t>
      </w:r>
    </w:p>
    <w:p>
      <w:pPr>
        <w:spacing w:after="0" w:line="182" w:lineRule="exact"/>
        <w:rPr>
          <w:sz w:val="24"/>
          <w:szCs w:val="24"/>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prospectus relates to the offer and sale from time to time by the selling securityholders named in this prospectus (the “Selling Securityholders”) of (A) up to 356,524,688 shares of our Class A common stock, par value $0.0001 per share (the “Class A common stock”), consisting of (i) up to 18,550,000 shares of our Class A common stock (the “Business Combination PIPE Shares”) issued in a private placement pursuant to subscription agreements each entered into on February 9, 2021 (the “Business Combination PIPE Investment”); (ii) up to 11,068,750 shares of our Class A common stock (the “Founder Shares”) issued in connection with the consummation of the Business Combination (as defined herein) in exchange for shares of our Class B common stock originally issued in a private placement to CMLS Holdings LLC (the “Former Sponsor”); (iii) up to 158,805,073 shares of our Class A common stock issued or issuable to certain former stockholders in connection with or as a result of the consummation of the Business Combination, consisting of (a) up to 139,783,497 shares of our Class A common stock and (b) up to 19,021,576 shares of Class A common stock (the “Earn-Out Shares”) that certain Legacy Sema4 Equity Holders have the contingent right to receive upon the achievement of certain vesting conditions; (iv) up to 7,236,667 shares of our Class A common stock issuable upon the exercise of the private placement warrants (as defined herein); (v) up to 80,000,000 shares of our Class A common stock (the “Stock Consideration Shares”) issued to OPKO Health, Inc. (“OPKO”) as a portion of the consideration for the Acquisition (as defined herein); (vi) up to 30,864,198 shares of our Class A common stock (the “Milestone Shares”) that may be issuable to OPKO in connection with the achievement of certain revenue-based milestones for each of the fiscal years ending December 31, 2022 and December 31, 2023; and (vii) up to 50,000,000 shares of our Class A common stock (the “Acquisition PIPE Shares”) issued in a private placement pursuant to subscription agreements each entered into on January 14, 2022 (the “Acquisition PIPE Investment”); and (B) up to 7,236,667 warrants (the “private placement warrants”) originally issued in a private placement to the Former Sponsor and certain of the other Initial Stockholders (as defined herein).</w:t>
      </w:r>
    </w:p>
    <w:p>
      <w:pPr>
        <w:spacing w:after="0" w:line="141" w:lineRule="exact"/>
        <w:rPr>
          <w:sz w:val="24"/>
          <w:szCs w:val="24"/>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In addition, this prospectus relates to the offer and sale of: (i) up to 14,758,305 shares of our Class A common stock that are issuable by us upon the exercise of 14,758,305 warrants (the “public warrants”) originally issued in our initial public offering (the “IPO”); and (ii) up to 7,236,667 shares of our Class A common stock that are issuable by us upon the exercise of the private placement warrants following the public resale of the private placement warrants by the Selling Securityholders pursuant to this prospectus.</w:t>
      </w:r>
    </w:p>
    <w:p>
      <w:pPr>
        <w:spacing w:after="0" w:line="126" w:lineRule="exact"/>
        <w:rPr>
          <w:sz w:val="24"/>
          <w:szCs w:val="24"/>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Selling Securityholders may offer, sell or distribute all or a portion of the securities hereby registered publicly or through private transactions at prevailing market prices or at negotiated prices. We will not receive any of the proceeds from such sales of the shares of our Class A common stock or warrants, except with respect to amounts received by us upon the exercise of the warrants for cash. We will bear all costs, expenses and fees in connection with the registration of these securities, including with regard to compliance with state securities or “blue</w:t>
      </w:r>
    </w:p>
    <w:p>
      <w:pPr>
        <w:sectPr>
          <w:pgSz w:w="11900" w:h="16838" w:orient="portrait"/>
          <w:cols w:equalWidth="0" w:num="1">
            <w:col w:w="11240"/>
          </w:cols>
          <w:pgMar w:left="320" w:top="1440" w:right="339" w:bottom="1440" w:gutter="0" w:footer="0" w:header="0"/>
        </w:sectPr>
      </w:pPr>
    </w:p>
    <w:bookmarkStart w:id="1" w:name="page2"/>
    <w:bookmarkEnd w:id="1"/>
    <w:p>
      <w:pPr>
        <w:ind w:right="160"/>
        <w:spacing w:after="0" w:line="282" w:lineRule="auto"/>
        <w:rPr>
          <w:sz w:val="20"/>
          <w:szCs w:val="20"/>
          <w:color w:val="auto"/>
        </w:rPr>
      </w:pPr>
      <w:r>
        <w:rPr>
          <w:rFonts w:ascii="Times New Roman" w:cs="Times New Roman" w:eastAsia="Times New Roman" w:hAnsi="Times New Roman"/>
          <w:sz w:val="18"/>
          <w:szCs w:val="18"/>
          <w:color w:val="auto"/>
        </w:rPr>
        <w:t>sky” laws. The Selling Securityholders will bear all commissions and discounts, if any, attributable to their sale of shares of our Class A common stock or warrants. See “</w:t>
      </w:r>
      <w:r>
        <w:rPr>
          <w:rFonts w:ascii="Times New Roman" w:cs="Times New Roman" w:eastAsia="Times New Roman" w:hAnsi="Times New Roman"/>
          <w:sz w:val="18"/>
          <w:szCs w:val="18"/>
          <w:i w:val="1"/>
          <w:iCs w:val="1"/>
          <w:u w:val="single" w:color="auto"/>
          <w:color w:val="0000FF"/>
        </w:rPr>
        <w:t>Plan of Distribution</w:t>
      </w:r>
      <w:r>
        <w:rPr>
          <w:rFonts w:ascii="Times New Roman" w:cs="Times New Roman" w:eastAsia="Times New Roman" w:hAnsi="Times New Roman"/>
          <w:sz w:val="18"/>
          <w:szCs w:val="18"/>
          <w:color w:val="auto"/>
          <w:highlight w:val="white"/>
        </w:rPr>
        <w:t>” beginning on page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highlight w:val="white"/>
        </w:rPr>
        <w:t>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of this prospectus.</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Class A common stock and public warrants are traded on the Nasdaq Global Select Market (the “Nasdaq”) under the symbols “SMFR” and “SMFRW,” respectively. On September 6, 2022, the last reported sales price of our Class A common stock was $0.99 per share and the last reported sales price of our public warrants was $0.24 per warrant.</w:t>
      </w:r>
    </w:p>
    <w:p>
      <w:pPr>
        <w:spacing w:after="0" w:line="12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of 1933, as amended, and, as such, have elected to comply with certain reduced disclosure and regulatory requirements.</w:t>
      </w:r>
    </w:p>
    <w:p>
      <w:pPr>
        <w:spacing w:after="0" w:line="104"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Investing in our securities involves risks. See the section entitled “</w:t>
      </w:r>
      <w:r>
        <w:rPr>
          <w:rFonts w:ascii="Times New Roman" w:cs="Times New Roman" w:eastAsia="Times New Roman" w:hAnsi="Times New Roman"/>
          <w:sz w:val="18"/>
          <w:szCs w:val="18"/>
          <w:b w:val="1"/>
          <w:bCs w:val="1"/>
          <w:i w:val="1"/>
          <w:iCs w:val="1"/>
          <w:u w:val="single" w:color="auto"/>
          <w:color w:val="0000FF"/>
        </w:rPr>
        <w:t>Risk Factors</w:t>
      </w:r>
      <w:r>
        <w:rPr>
          <w:rFonts w:ascii="Times New Roman" w:cs="Times New Roman" w:eastAsia="Times New Roman" w:hAnsi="Times New Roman"/>
          <w:sz w:val="18"/>
          <w:szCs w:val="18"/>
          <w:b w:val="1"/>
          <w:bCs w:val="1"/>
          <w:i w:val="1"/>
          <w:iCs w:val="1"/>
          <w:color w:val="auto"/>
          <w:highlight w:val="white"/>
        </w:rPr>
        <w:t>” beginning on page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i w:val="1"/>
          <w:iCs w:val="1"/>
          <w:u w:val="single" w:color="auto"/>
          <w:color w:val="0000FF"/>
          <w:highlight w:val="white"/>
        </w:rPr>
        <w:t>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i w:val="1"/>
          <w:iCs w:val="1"/>
          <w:color w:val="auto"/>
          <w:highlight w:val="white"/>
        </w:rPr>
        <w:t>of this prospectus, as well as the sections entitled</w:t>
      </w:r>
      <w:r>
        <w:rPr>
          <w:rFonts w:ascii="Times New Roman" w:cs="Times New Roman" w:eastAsia="Times New Roman" w:hAnsi="Times New Roman"/>
          <w:sz w:val="18"/>
          <w:szCs w:val="18"/>
          <w:b w:val="1"/>
          <w:bCs w:val="1"/>
          <w:i w:val="1"/>
          <w:iCs w:val="1"/>
          <w:color w:val="auto"/>
        </w:rPr>
        <w:t xml:space="preserve"> “Risk Factors” beginning on page 30 of our Annual Report on Form 10-K for the year ended December 31, 2021, beginning on page 46 of our Quarterly Report on Form 10-Q for the quarter ended March 31, 2022 and beginning on page 60 of our Quarterly Report on Form 10-Q for the quarter ended June 30, 2022, which reports are incorporated by reference in this prospectus, to read about factors you should consider before buying our securities.</w:t>
      </w:r>
    </w:p>
    <w:p>
      <w:pPr>
        <w:spacing w:after="0" w:line="1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registration statement to which this prospectus relates registers the resale of a substantial number of shares of our Class A common stock by the Selling Securityholders. Sales in the public market of a large number of shares, or the perception in the market that the holders of a large number of shares intend to sell shares, could reduce the market price of our Class A common stock.</w:t>
      </w:r>
    </w:p>
    <w:p>
      <w:pPr>
        <w:spacing w:after="0" w:line="118"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date of this prospectus is September 7, 2022</w:t>
      </w:r>
    </w:p>
    <w:p>
      <w:pPr>
        <w:sectPr>
          <w:pgSz w:w="11900" w:h="16838" w:orient="portrait"/>
          <w:cols w:equalWidth="0" w:num="1">
            <w:col w:w="11240"/>
          </w:cols>
          <w:pgMar w:left="320" w:top="1417" w:right="339" w:bottom="1440" w:gutter="0" w:footer="0" w:header="0"/>
        </w:sectPr>
      </w:pPr>
    </w:p>
    <w:bookmarkStart w:id="2" w:name="page3"/>
    <w:bookmarkEnd w:id="2"/>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0" w:type="dxa"/>
            <w:vAlign w:val="bottom"/>
            <w:gridSpan w:val="3"/>
          </w:tcPr>
          <w:p>
            <w:pPr>
              <w:ind w:left="21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18"/>
        </w:trPr>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72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Page</w:t>
            </w:r>
          </w:p>
        </w:tc>
      </w:tr>
      <w:tr>
        <w:trPr>
          <w:trHeight w:val="183"/>
        </w:trPr>
        <w:tc>
          <w:tcPr>
            <w:tcW w:w="2240" w:type="dxa"/>
            <w:vAlign w:val="bottom"/>
            <w:gridSpan w:val="6"/>
          </w:tcPr>
          <w:p>
            <w:pPr>
              <w:spacing w:after="0" w:line="182" w:lineRule="exact"/>
              <w:rPr>
                <w:sz w:val="20"/>
                <w:szCs w:val="20"/>
                <w:color w:val="auto"/>
              </w:rPr>
            </w:pPr>
            <w:r>
              <w:rPr>
                <w:rFonts w:ascii="Times New Roman" w:cs="Times New Roman" w:eastAsia="Times New Roman" w:hAnsi="Times New Roman"/>
                <w:sz w:val="18"/>
                <w:szCs w:val="18"/>
                <w:color w:val="0000FF"/>
                <w:w w:val="99"/>
              </w:rPr>
              <w:t>ABOUT THIS PROSPECTUS</w:t>
            </w:r>
          </w:p>
        </w:tc>
        <w:tc>
          <w:tcPr>
            <w:tcW w:w="8260" w:type="dxa"/>
            <w:vAlign w:val="bottom"/>
            <w:gridSpan w:val="4"/>
          </w:tcPr>
          <w:p>
            <w:pPr>
              <w:spacing w:after="0"/>
              <w:rPr>
                <w:sz w:val="15"/>
                <w:szCs w:val="15"/>
                <w:color w:val="auto"/>
              </w:rPr>
            </w:pPr>
          </w:p>
        </w:tc>
        <w:tc>
          <w:tcPr>
            <w:tcW w:w="400" w:type="dxa"/>
            <w:vAlign w:val="bottom"/>
            <w:gridSpan w:val="2"/>
          </w:tcPr>
          <w:p>
            <w:pPr>
              <w:jc w:val="center"/>
              <w:ind w:left="230"/>
              <w:spacing w:after="0" w:line="182" w:lineRule="exact"/>
              <w:rPr>
                <w:sz w:val="20"/>
                <w:szCs w:val="20"/>
                <w:color w:val="auto"/>
              </w:rPr>
            </w:pPr>
            <w:r>
              <w:rPr>
                <w:rFonts w:ascii="Times New Roman" w:cs="Times New Roman" w:eastAsia="Times New Roman" w:hAnsi="Times New Roman"/>
                <w:sz w:val="18"/>
                <w:szCs w:val="18"/>
                <w:color w:val="0000FF"/>
                <w:w w:val="88"/>
              </w:rPr>
              <w:t>1</w:t>
            </w:r>
          </w:p>
        </w:tc>
        <w:tc>
          <w:tcPr>
            <w:tcW w:w="320" w:type="dxa"/>
            <w:vAlign w:val="bottom"/>
          </w:tcPr>
          <w:p>
            <w:pPr>
              <w:spacing w:after="0"/>
              <w:rPr>
                <w:sz w:val="15"/>
                <w:szCs w:val="15"/>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10"/>
        </w:trPr>
        <w:tc>
          <w:tcPr>
            <w:tcW w:w="20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7"/>
              </w:rPr>
              <w:t>SELECTED DEFINITIONS</w:t>
            </w:r>
          </w:p>
        </w:tc>
        <w:tc>
          <w:tcPr>
            <w:tcW w:w="180" w:type="dxa"/>
            <w:vAlign w:val="bottom"/>
          </w:tcPr>
          <w:p>
            <w:pPr>
              <w:spacing w:after="0"/>
              <w:rPr>
                <w:sz w:val="18"/>
                <w:szCs w:val="18"/>
                <w:color w:val="auto"/>
              </w:rPr>
            </w:pPr>
          </w:p>
        </w:tc>
        <w:tc>
          <w:tcPr>
            <w:tcW w:w="8260" w:type="dxa"/>
            <w:vAlign w:val="bottom"/>
            <w:gridSpan w:val="4"/>
          </w:tcPr>
          <w:p>
            <w:pPr>
              <w:spacing w:after="0"/>
              <w:rPr>
                <w:sz w:val="18"/>
                <w:szCs w:val="18"/>
                <w:color w:val="auto"/>
              </w:rPr>
            </w:pPr>
          </w:p>
        </w:tc>
        <w:tc>
          <w:tcPr>
            <w:tcW w:w="40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0000FF"/>
                <w:w w:val="88"/>
              </w:rPr>
              <w:t>2</w:t>
            </w:r>
          </w:p>
        </w:tc>
        <w:tc>
          <w:tcPr>
            <w:tcW w:w="320" w:type="dxa"/>
            <w:vAlign w:val="bottom"/>
          </w:tcPr>
          <w:p>
            <w:pPr>
              <w:spacing w:after="0"/>
              <w:rPr>
                <w:sz w:val="18"/>
                <w:szCs w:val="18"/>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9"/>
        </w:trPr>
        <w:tc>
          <w:tcPr>
            <w:tcW w:w="20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6"/>
              </w:rPr>
              <w:t>PROSPECTUS SUMMARY</w:t>
            </w:r>
          </w:p>
        </w:tc>
        <w:tc>
          <w:tcPr>
            <w:tcW w:w="8440" w:type="dxa"/>
            <w:vAlign w:val="bottom"/>
            <w:gridSpan w:val="5"/>
          </w:tcPr>
          <w:p>
            <w:pPr>
              <w:spacing w:after="0"/>
              <w:rPr>
                <w:sz w:val="18"/>
                <w:szCs w:val="18"/>
                <w:color w:val="auto"/>
              </w:rPr>
            </w:pPr>
          </w:p>
        </w:tc>
        <w:tc>
          <w:tcPr>
            <w:tcW w:w="40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0000FF"/>
                <w:w w:val="88"/>
              </w:rPr>
              <w:t>5</w:t>
            </w:r>
          </w:p>
        </w:tc>
        <w:tc>
          <w:tcPr>
            <w:tcW w:w="320" w:type="dxa"/>
            <w:vAlign w:val="bottom"/>
          </w:tcPr>
          <w:p>
            <w:pPr>
              <w:spacing w:after="0"/>
              <w:rPr>
                <w:sz w:val="18"/>
                <w:szCs w:val="18"/>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9"/>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800" w:type="dxa"/>
            <w:vAlign w:val="bottom"/>
            <w:gridSpan w:val="3"/>
          </w:tcPr>
          <w:p>
            <w:pPr>
              <w:spacing w:after="0"/>
              <w:rPr>
                <w:sz w:val="18"/>
                <w:szCs w:val="18"/>
                <w:color w:val="auto"/>
              </w:rPr>
            </w:pPr>
          </w:p>
        </w:tc>
        <w:tc>
          <w:tcPr>
            <w:tcW w:w="8440" w:type="dxa"/>
            <w:vAlign w:val="bottom"/>
            <w:gridSpan w:val="5"/>
          </w:tcPr>
          <w:p>
            <w:pPr>
              <w:spacing w:after="0"/>
              <w:rPr>
                <w:sz w:val="18"/>
                <w:szCs w:val="18"/>
                <w:color w:val="auto"/>
              </w:rPr>
            </w:pPr>
          </w:p>
        </w:tc>
        <w:tc>
          <w:tcPr>
            <w:tcW w:w="40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0000FF"/>
                <w:w w:val="88"/>
              </w:rPr>
              <w:t>9</w:t>
            </w:r>
          </w:p>
        </w:tc>
        <w:tc>
          <w:tcPr>
            <w:tcW w:w="320" w:type="dxa"/>
            <w:vAlign w:val="bottom"/>
          </w:tcPr>
          <w:p>
            <w:pPr>
              <w:spacing w:after="0"/>
              <w:rPr>
                <w:sz w:val="18"/>
                <w:szCs w:val="18"/>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10"/>
        </w:trPr>
        <w:tc>
          <w:tcPr>
            <w:tcW w:w="105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7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10</w:t>
            </w: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3280" w:type="dxa"/>
            <w:vAlign w:val="bottom"/>
            <w:tcBorders>
              <w:left w:val="single" w:sz="8" w:color="0000FF"/>
            </w:tcBorders>
            <w:shd w:val="clear" w:color="auto" w:fill="0000FF"/>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09"/>
        </w:trPr>
        <w:tc>
          <w:tcPr>
            <w:tcW w:w="57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USE OF PROCEEDS</w:t>
            </w:r>
          </w:p>
        </w:tc>
        <w:tc>
          <w:tcPr>
            <w:tcW w:w="472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12</w:t>
            </w: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80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09"/>
        </w:trPr>
        <w:tc>
          <w:tcPr>
            <w:tcW w:w="25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7"/>
              </w:rPr>
              <w:t>DESCRIPTION OF SECURITIES</w:t>
            </w:r>
          </w:p>
        </w:tc>
        <w:tc>
          <w:tcPr>
            <w:tcW w:w="8000" w:type="dxa"/>
            <w:vAlign w:val="bottom"/>
            <w:gridSpan w:val="3"/>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13</w:t>
            </w: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800" w:type="dxa"/>
            <w:vAlign w:val="bottom"/>
            <w:tcBorders>
              <w:left w:val="single" w:sz="8" w:color="0000FF"/>
            </w:tcBorders>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10"/>
        </w:trPr>
        <w:tc>
          <w:tcPr>
            <w:tcW w:w="25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8"/>
              </w:rPr>
              <w:t>SELLING SECURITYHOLDERS</w:t>
            </w:r>
          </w:p>
        </w:tc>
        <w:tc>
          <w:tcPr>
            <w:tcW w:w="8000" w:type="dxa"/>
            <w:vAlign w:val="bottom"/>
            <w:gridSpan w:val="3"/>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20</w:t>
            </w: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80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09"/>
        </w:trPr>
        <w:tc>
          <w:tcPr>
            <w:tcW w:w="20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PLAN OF DISTRIBUTION</w:t>
            </w:r>
          </w:p>
        </w:tc>
        <w:tc>
          <w:tcPr>
            <w:tcW w:w="440" w:type="dxa"/>
            <w:vAlign w:val="bottom"/>
            <w:gridSpan w:val="2"/>
          </w:tcPr>
          <w:p>
            <w:pPr>
              <w:spacing w:after="0"/>
              <w:rPr>
                <w:sz w:val="18"/>
                <w:szCs w:val="18"/>
                <w:color w:val="auto"/>
              </w:rPr>
            </w:pPr>
          </w:p>
        </w:tc>
        <w:tc>
          <w:tcPr>
            <w:tcW w:w="8000" w:type="dxa"/>
            <w:vAlign w:val="bottom"/>
            <w:gridSpan w:val="3"/>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26</w:t>
            </w: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240" w:type="dxa"/>
            <w:vAlign w:val="bottom"/>
            <w:gridSpan w:val="4"/>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10"/>
        </w:trPr>
        <w:tc>
          <w:tcPr>
            <w:tcW w:w="20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LEGAL MATTERS</w:t>
            </w:r>
          </w:p>
        </w:tc>
        <w:tc>
          <w:tcPr>
            <w:tcW w:w="8440" w:type="dxa"/>
            <w:vAlign w:val="bottom"/>
            <w:gridSpan w:val="5"/>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30</w:t>
            </w: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840" w:type="dxa"/>
            <w:vAlign w:val="bottom"/>
            <w:gridSpan w:val="6"/>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09"/>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0000FF"/>
                <w:w w:val="97"/>
              </w:rPr>
              <w:t>EXPERTS</w:t>
            </w:r>
          </w:p>
        </w:tc>
        <w:tc>
          <w:tcPr>
            <w:tcW w:w="680" w:type="dxa"/>
            <w:vAlign w:val="bottom"/>
            <w:gridSpan w:val="2"/>
          </w:tcPr>
          <w:p>
            <w:pPr>
              <w:spacing w:after="0"/>
              <w:rPr>
                <w:sz w:val="18"/>
                <w:szCs w:val="18"/>
                <w:color w:val="auto"/>
              </w:rPr>
            </w:pPr>
          </w:p>
        </w:tc>
        <w:tc>
          <w:tcPr>
            <w:tcW w:w="9040" w:type="dxa"/>
            <w:vAlign w:val="bottom"/>
            <w:gridSpan w:val="7"/>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30</w:t>
            </w:r>
          </w:p>
        </w:tc>
      </w:tr>
      <w:tr>
        <w:trPr>
          <w:trHeight w:val="20"/>
        </w:trPr>
        <w:tc>
          <w:tcPr>
            <w:tcW w:w="780" w:type="dxa"/>
            <w:vAlign w:val="bottom"/>
            <w:shd w:val="clear" w:color="auto" w:fill="0000FF"/>
          </w:tcPr>
          <w:p>
            <w:pPr>
              <w:spacing w:after="0" w:line="20" w:lineRule="exact"/>
              <w:rPr>
                <w:sz w:val="1"/>
                <w:szCs w:val="1"/>
                <w:color w:val="auto"/>
              </w:rPr>
            </w:pPr>
          </w:p>
        </w:tc>
        <w:tc>
          <w:tcPr>
            <w:tcW w:w="7520" w:type="dxa"/>
            <w:vAlign w:val="bottom"/>
            <w:gridSpan w:val="8"/>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09"/>
        </w:trPr>
        <w:tc>
          <w:tcPr>
            <w:tcW w:w="83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WHERE YOU CAN FIND MORE INFORMATION; INCORPORATION OF INFORMATION BY REFERENCE</w:t>
            </w: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30</w:t>
            </w: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80" w:type="dxa"/>
            <w:vAlign w:val="bottom"/>
            <w:tcBorders>
              <w:left w:val="single" w:sz="8" w:color="0000FF"/>
            </w:tcBorders>
            <w:shd w:val="clear" w:color="auto" w:fill="0000FF"/>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bl>
    <w:p>
      <w:pPr>
        <w:sectPr>
          <w:pgSz w:w="11900" w:h="16838" w:orient="portrait"/>
          <w:cols w:equalWidth="0" w:num="1">
            <w:col w:w="11220"/>
          </w:cols>
          <w:pgMar w:left="340" w:top="1440" w:right="339" w:bottom="1440" w:gutter="0" w:footer="0" w:header="0"/>
        </w:sectPr>
      </w:pPr>
    </w:p>
    <w:bookmarkStart w:id="3" w:name="page4"/>
    <w:bookmarkEnd w:id="3"/>
    <w:p>
      <w:pPr>
        <w:spacing w:after="0" w:line="1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Securities and Exchange Commission (the “SEC”) using the “shelf” registration process. Under this shelf registration process, the Selling Securityholders may, from time to time, sell or otherwise distribute the securities offered by them as described in the section 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in this prospectus. We will not receive any proceeds from the sale by such Selling Securityholders of the securities offered by them described in this prospectus. This prospectus also relates to the issuance by us of the shares of Class A common stock issuable upon the exercise of warrants. We will receive proceeds from any exercise of the warrants for cash.</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Neither we nor the Selling Securityholders have authorized anyone to provide you with any information or to make any representations other than those contained or incorporated by reference in this prospectus or any applicable prospectus supplement or, if permitted, any free writing prospectuses prepared by or on behalf of us or to which we have referred you. Neither we nor the Selling Securityholders take responsibility for, and can provide no assurance as to the reliability of, any other information that others may give you. Neither we nor the Selling Securityholders will make an offer to sell these securities in any jurisdiction where the offer or sale is not permitted.</w:t>
      </w:r>
    </w:p>
    <w:p>
      <w:pPr>
        <w:spacing w:after="0" w:line="1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may also provide a prospectus supplement or, if required, a post-effective amendment, to the registration statement to add information to, or update or change information contained or incorporated by reference in, this prospectus. You should read both this prospectus and any applicable prospectus supplement or post-effective amendment to the registration statement together with the additional information to which we refer you in the section of this prospectus entitled “</w:t>
      </w:r>
      <w:r>
        <w:rPr>
          <w:rFonts w:ascii="Times New Roman" w:cs="Times New Roman" w:eastAsia="Times New Roman" w:hAnsi="Times New Roman"/>
          <w:sz w:val="18"/>
          <w:szCs w:val="18"/>
          <w:i w:val="1"/>
          <w:iCs w:val="1"/>
          <w:color w:val="auto"/>
        </w:rPr>
        <w:t>Where You Can Find More Information; Incorporation by Reference</w:t>
      </w:r>
      <w:r>
        <w:rPr>
          <w:rFonts w:ascii="Times New Roman" w:cs="Times New Roman" w:eastAsia="Times New Roman" w:hAnsi="Times New Roman"/>
          <w:sz w:val="18"/>
          <w:szCs w:val="18"/>
          <w:color w:val="auto"/>
        </w:rPr>
        <w:t>.” Information incorporated by reference after the date of this prospectus may add, update or change information contained in this prospectus. Any information in such subsequent filings that is inconsistent with this prospectus will supersede the information in this prospectus or any earlier prospectus supplement.</w:t>
      </w:r>
    </w:p>
    <w:p>
      <w:pPr>
        <w:spacing w:after="0" w:line="13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Unless the context otherwise requires, references in this prospectus to the “Company,” “Sema4” and “we,” “us” and “our” refer to (i) Mount Sinai Genomics, Inc. d/b/a as Sema4 (“Legacy Sema4”) prior to the consummation of our business combination with CM Life Sciences, Inc. (“CMLS”) on July 22, 2021 (the “Business Combination”) and (ii) Sema4 Holdings Corp. (“Sema4 Holdings”) and its consolidated subsidiaries following the consummation of the Business Combination. References in this prospectus to “GeneDx” refer to GeneDx, LLC, a Delaware limited liability company (formerly, GeneDx, Inc., a New Jersey corporation), which we acquired on April 29,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60"/>
          </w:cols>
          <w:pgMar w:left="320" w:top="1440" w:right="419" w:bottom="1440" w:gutter="0" w:footer="0" w:header="0"/>
        </w:sectPr>
      </w:pPr>
    </w:p>
    <w:bookmarkStart w:id="4" w:name="page5"/>
    <w:bookmarkEnd w:id="4"/>
    <w:p>
      <w:pPr>
        <w:spacing w:after="0" w:line="13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SELECTED DEFINITIONS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stated in this prospectus or the context otherwise requires, references to:</w:t>
      </w:r>
    </w:p>
    <w:p>
      <w:pPr>
        <w:spacing w:after="0" w:line="169"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Acquisition</w:t>
      </w:r>
      <w:r>
        <w:rPr>
          <w:rFonts w:ascii="Times New Roman" w:cs="Times New Roman" w:eastAsia="Times New Roman" w:hAnsi="Times New Roman"/>
          <w:sz w:val="18"/>
          <w:szCs w:val="18"/>
          <w:color w:val="auto"/>
        </w:rPr>
        <w:t>” means the transactions contemplated by the Acquisition Merger Agreement, including the Mergers, pursuant to which the Company acquired GeneDx on April 29, 2022.</w:t>
      </w:r>
    </w:p>
    <w:p>
      <w:pPr>
        <w:spacing w:after="0" w:line="104"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Acquisition Merger Agreement</w:t>
      </w:r>
      <w:r>
        <w:rPr>
          <w:rFonts w:ascii="Times New Roman" w:cs="Times New Roman" w:eastAsia="Times New Roman" w:hAnsi="Times New Roman"/>
          <w:sz w:val="18"/>
          <w:szCs w:val="18"/>
          <w:color w:val="auto"/>
        </w:rPr>
        <w:t>” means that certain Agreement and Plan of Merger and Reorganization, dated as of January 14, 2022, by and among the Company, Merger Sub I, Merger Sub II, GeneDx, OPKO, and Holdco, as amended by the Amendment to Agreement and Plan of Merger and Reorganization, dated as of April 29, 2022.</w:t>
      </w:r>
    </w:p>
    <w:p>
      <w:pPr>
        <w:spacing w:after="0" w:line="119"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Acquisition PIPE Investment</w:t>
      </w:r>
      <w:r>
        <w:rPr>
          <w:rFonts w:ascii="Times New Roman" w:cs="Times New Roman" w:eastAsia="Times New Roman" w:hAnsi="Times New Roman"/>
          <w:sz w:val="18"/>
          <w:szCs w:val="18"/>
          <w:color w:val="auto"/>
        </w:rPr>
        <w:t>” means the private placement pursuant to which the Acquisition PIPE Investors collectively subscribed for the Acquisition PIPE Shares at $4.00 per share, for an aggregate purchase price of $200 million, on the closing of the Acquisition.</w:t>
      </w:r>
    </w:p>
    <w:p>
      <w:pPr>
        <w:spacing w:after="0" w:line="104" w:lineRule="exact"/>
        <w:rPr>
          <w:sz w:val="20"/>
          <w:szCs w:val="20"/>
          <w:color w:val="auto"/>
        </w:rPr>
      </w:pPr>
    </w:p>
    <w:p>
      <w:pPr>
        <w:ind w:right="46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Acquisition PIPE Investors</w:t>
      </w:r>
      <w:r>
        <w:rPr>
          <w:rFonts w:ascii="Times New Roman" w:cs="Times New Roman" w:eastAsia="Times New Roman" w:hAnsi="Times New Roman"/>
          <w:sz w:val="18"/>
          <w:szCs w:val="18"/>
          <w:color w:val="auto"/>
        </w:rPr>
        <w:t>” means certain institutional investors that invested in the Acquisition PIPE Investment pursuant to, and on the terms and subject to the conditions of, the Acquisition Subscription Agreements.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Acquisition PIPE Shares</w:t>
      </w:r>
      <w:r>
        <w:rPr>
          <w:rFonts w:ascii="Times New Roman" w:cs="Times New Roman" w:eastAsia="Times New Roman" w:hAnsi="Times New Roman"/>
          <w:sz w:val="18"/>
          <w:szCs w:val="18"/>
          <w:color w:val="auto"/>
        </w:rPr>
        <w:t>” means the 50,000,000 shares of Class A common stock issued in the Acquisition PIPE Investment.</w:t>
      </w:r>
    </w:p>
    <w:p>
      <w:pPr>
        <w:spacing w:after="0" w:line="171" w:lineRule="exact"/>
        <w:rPr>
          <w:sz w:val="20"/>
          <w:szCs w:val="20"/>
          <w:color w:val="auto"/>
        </w:rPr>
      </w:pPr>
    </w:p>
    <w:p>
      <w:pPr>
        <w:jc w:val="both"/>
        <w:ind w:right="8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Acquisition Subscription Agreements</w:t>
      </w:r>
      <w:r>
        <w:rPr>
          <w:rFonts w:ascii="Times New Roman" w:cs="Times New Roman" w:eastAsia="Times New Roman" w:hAnsi="Times New Roman"/>
          <w:sz w:val="18"/>
          <w:szCs w:val="18"/>
          <w:color w:val="auto"/>
        </w:rPr>
        <w:t>” means, collectively, those certain subscription agreements entered into on January 14, 2022, between the Company and the Acquisition PIPE Investors, pursuant to which such investors agreed to purchase the Acquisition PIPE Shares in the Acquisition PIPE Investment on the terms and subject to the conditions of the Acquisition Subscription Agreements.</w:t>
      </w:r>
    </w:p>
    <w:p>
      <w:pPr>
        <w:spacing w:after="0" w:line="119"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Amended and Restated Certificate of Incorporation”</w:t>
      </w:r>
      <w:r>
        <w:rPr>
          <w:rFonts w:ascii="Times New Roman" w:cs="Times New Roman" w:eastAsia="Times New Roman" w:hAnsi="Times New Roman"/>
          <w:sz w:val="18"/>
          <w:szCs w:val="18"/>
          <w:color w:val="auto"/>
        </w:rPr>
        <w:t xml:space="preserve"> means our Third Amended and Restated Certificate of Incorporation, dated as of July 22, 2021, as amended by the Amendment to the Amended and Restated Certificate of Incorporation, dated as of April 29, 2022.</w:t>
      </w:r>
    </w:p>
    <w:p>
      <w:pPr>
        <w:spacing w:after="0" w:line="104"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Amended and Restated Registration Rights Agreement</w:t>
      </w:r>
      <w:r>
        <w:rPr>
          <w:rFonts w:ascii="Times New Roman" w:cs="Times New Roman" w:eastAsia="Times New Roman" w:hAnsi="Times New Roman"/>
          <w:sz w:val="18"/>
          <w:szCs w:val="18"/>
          <w:color w:val="auto"/>
        </w:rPr>
        <w:t>” means that certain Amended and Restated Registration Rights Agreement, dated as of July 22, 2021, by and among the Company, the Former Sponsor and certain other parties thereto.</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171" w:lineRule="exact"/>
        <w:rPr>
          <w:sz w:val="20"/>
          <w:szCs w:val="20"/>
          <w:color w:val="auto"/>
        </w:rPr>
      </w:pPr>
    </w:p>
    <w:p>
      <w:pPr>
        <w:ind w:right="7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means the transactions contemplated by the Business Combination Merger Agreement pursuant to which Legacy Sema4 consummated its business combination with CMLS on July 22, 2021.</w:t>
      </w:r>
    </w:p>
    <w:p>
      <w:pPr>
        <w:spacing w:after="0" w:line="104"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Combination Merger Agreement</w:t>
      </w:r>
      <w:r>
        <w:rPr>
          <w:rFonts w:ascii="Times New Roman" w:cs="Times New Roman" w:eastAsia="Times New Roman" w:hAnsi="Times New Roman"/>
          <w:sz w:val="18"/>
          <w:szCs w:val="18"/>
          <w:color w:val="auto"/>
        </w:rPr>
        <w:t>” means that certain Agreement and Plan of Merger, dated as of February 9, 2021, as amended, by and among CMLS, S-IV Sub, Inc. and Legacy Sema4.</w:t>
      </w:r>
    </w:p>
    <w:p>
      <w:pPr>
        <w:spacing w:after="0" w:line="104"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Combination PIPE Investment</w:t>
      </w:r>
      <w:r>
        <w:rPr>
          <w:rFonts w:ascii="Times New Roman" w:cs="Times New Roman" w:eastAsia="Times New Roman" w:hAnsi="Times New Roman"/>
          <w:sz w:val="18"/>
          <w:szCs w:val="18"/>
          <w:color w:val="auto"/>
        </w:rPr>
        <w:t>” means the private placement pursuant to which the Business Combination PIPE Investors collectively subscribed for the Business Combination PIPE Shares at $10.00 per share, for an aggregate purchase price of $350 million, on the closing of the Business Combination.</w:t>
      </w:r>
    </w:p>
    <w:p>
      <w:pPr>
        <w:spacing w:after="0" w:line="119"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Combination PIPE Investors</w:t>
      </w:r>
      <w:r>
        <w:rPr>
          <w:rFonts w:ascii="Times New Roman" w:cs="Times New Roman" w:eastAsia="Times New Roman" w:hAnsi="Times New Roman"/>
          <w:sz w:val="18"/>
          <w:szCs w:val="18"/>
          <w:color w:val="auto"/>
        </w:rPr>
        <w:t>” means certain institutional investors that invested in the Business Combination PIPE Investment pursuant to, and on the terms and subject to the conditions of, the Business Combination Subscription Agreements.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Combination PIPE Shares</w:t>
      </w:r>
      <w:r>
        <w:rPr>
          <w:rFonts w:ascii="Times New Roman" w:cs="Times New Roman" w:eastAsia="Times New Roman" w:hAnsi="Times New Roman"/>
          <w:sz w:val="18"/>
          <w:szCs w:val="18"/>
          <w:color w:val="auto"/>
        </w:rPr>
        <w:t>” means the 35,000,000 shares of our Class A common stock issued in the Business Combination PIPE Investment.</w:t>
      </w:r>
    </w:p>
    <w:p>
      <w:pPr>
        <w:spacing w:after="0" w:line="171"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Combination Subscription Agreements</w:t>
      </w:r>
      <w:r>
        <w:rPr>
          <w:rFonts w:ascii="Times New Roman" w:cs="Times New Roman" w:eastAsia="Times New Roman" w:hAnsi="Times New Roman"/>
          <w:sz w:val="18"/>
          <w:szCs w:val="18"/>
          <w:color w:val="auto"/>
        </w:rPr>
        <w:t>” means, collectively, those certain subscription agreements, entered into on February 9, 2021, between the Company and the Business Combination PIPE Investors.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Bylaws</w:t>
      </w:r>
      <w:r>
        <w:rPr>
          <w:rFonts w:ascii="Times New Roman" w:cs="Times New Roman" w:eastAsia="Times New Roman" w:hAnsi="Times New Roman"/>
          <w:sz w:val="18"/>
          <w:szCs w:val="18"/>
          <w:color w:val="auto"/>
        </w:rPr>
        <w:t>” means the Restated Bylaws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20"/>
          </w:cols>
          <w:pgMar w:left="320" w:top="1440"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A common stock</w:t>
      </w:r>
      <w:r>
        <w:rPr>
          <w:rFonts w:ascii="Times New Roman" w:cs="Times New Roman" w:eastAsia="Times New Roman" w:hAnsi="Times New Roman"/>
          <w:sz w:val="18"/>
          <w:szCs w:val="18"/>
          <w:color w:val="auto"/>
        </w:rPr>
        <w:t>” means the shares of Class A common stock, par value $0.0001 per share, of the Company.</w:t>
      </w:r>
    </w:p>
    <w:p>
      <w:pPr>
        <w:spacing w:after="0" w:line="171"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B common stock</w:t>
      </w:r>
      <w:r>
        <w:rPr>
          <w:rFonts w:ascii="Times New Roman" w:cs="Times New Roman" w:eastAsia="Times New Roman" w:hAnsi="Times New Roman"/>
          <w:sz w:val="18"/>
          <w:szCs w:val="18"/>
          <w:color w:val="auto"/>
        </w:rPr>
        <w:t>” means the shares of Class B common stock, par value $0.0001 per share, of the Company, which automatically converted into shares of Class A common stock in connection with the closing of the Business Combination.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CMLS</w:t>
      </w:r>
      <w:r>
        <w:rPr>
          <w:rFonts w:ascii="Times New Roman" w:cs="Times New Roman" w:eastAsia="Times New Roman" w:hAnsi="Times New Roman"/>
          <w:sz w:val="18"/>
          <w:szCs w:val="18"/>
          <w:color w:val="auto"/>
        </w:rPr>
        <w:t>” means CM Life Sciences, Inc. prior to the closing of the Business Combination.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DGCL</w:t>
      </w:r>
      <w:r>
        <w:rPr>
          <w:rFonts w:ascii="Times New Roman" w:cs="Times New Roman" w:eastAsia="Times New Roman" w:hAnsi="Times New Roman"/>
          <w:sz w:val="18"/>
          <w:szCs w:val="18"/>
          <w:color w:val="auto"/>
        </w:rPr>
        <w:t>” means the General Corporation Law of the State of Delaware.</w:t>
      </w:r>
    </w:p>
    <w:p>
      <w:pPr>
        <w:spacing w:after="0" w:line="171"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Earn-Out Shares</w:t>
      </w:r>
      <w:r>
        <w:rPr>
          <w:rFonts w:ascii="Times New Roman" w:cs="Times New Roman" w:eastAsia="Times New Roman" w:hAnsi="Times New Roman"/>
          <w:sz w:val="18"/>
          <w:szCs w:val="18"/>
          <w:color w:val="auto"/>
        </w:rPr>
        <w:t>” means the shares of Class A common stock issuable pursuant to the Business Combination Merger Agreement upon the achievement of certain vesting conditions.</w:t>
      </w:r>
    </w:p>
    <w:p>
      <w:pPr>
        <w:spacing w:after="0" w:line="104"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Earn-Out RSU Shares</w:t>
      </w:r>
      <w:r>
        <w:rPr>
          <w:rFonts w:ascii="Times New Roman" w:cs="Times New Roman" w:eastAsia="Times New Roman" w:hAnsi="Times New Roman"/>
          <w:sz w:val="18"/>
          <w:szCs w:val="18"/>
          <w:color w:val="auto"/>
        </w:rPr>
        <w:t>” means up to 2,689,764 shares of our Class A common stock issuable pursuant to the Earn-Out RSUs upon achievement of certain vesting conditions.</w:t>
      </w:r>
    </w:p>
    <w:p>
      <w:pPr>
        <w:spacing w:after="0" w:line="104"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Earn-Out RSUs</w:t>
      </w:r>
      <w:r>
        <w:rPr>
          <w:rFonts w:ascii="Times New Roman" w:cs="Times New Roman" w:eastAsia="Times New Roman" w:hAnsi="Times New Roman"/>
          <w:sz w:val="18"/>
          <w:szCs w:val="18"/>
          <w:color w:val="auto"/>
        </w:rPr>
        <w:t>” certain restricted stock unit (“RSU”) awards granted to certain Legacy Sema4 Equity Holders pursuant to the Business Combination Merger Agreement.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First Merger</w:t>
      </w:r>
      <w:r>
        <w:rPr>
          <w:rFonts w:ascii="Times New Roman" w:cs="Times New Roman" w:eastAsia="Times New Roman" w:hAnsi="Times New Roman"/>
          <w:sz w:val="18"/>
          <w:szCs w:val="18"/>
          <w:color w:val="auto"/>
        </w:rPr>
        <w:t>” means the merger of Merger Sub I with and into HoldCo, with HoldCo as the surviving corporation in the First Merger.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Former Sponsor</w:t>
      </w:r>
      <w:r>
        <w:rPr>
          <w:rFonts w:ascii="Times New Roman" w:cs="Times New Roman" w:eastAsia="Times New Roman" w:hAnsi="Times New Roman"/>
          <w:sz w:val="18"/>
          <w:szCs w:val="18"/>
          <w:color w:val="auto"/>
        </w:rPr>
        <w:t>” means CMLS Holdings LLC, a Delaware limited liability company.</w:t>
      </w:r>
    </w:p>
    <w:p>
      <w:pPr>
        <w:spacing w:after="0" w:line="171"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Founder Shares</w:t>
      </w:r>
      <w:r>
        <w:rPr>
          <w:rFonts w:ascii="Times New Roman" w:cs="Times New Roman" w:eastAsia="Times New Roman" w:hAnsi="Times New Roman"/>
          <w:sz w:val="18"/>
          <w:szCs w:val="18"/>
          <w:color w:val="auto"/>
        </w:rPr>
        <w:t>” means the 11,068,750 shares of our Class A common stock issued in connection with the consummation of the Business Combination in exchange for shares of our Class B common stock originally issued in a private placement to the Former Sponsor.</w:t>
      </w:r>
    </w:p>
    <w:p>
      <w:pPr>
        <w:spacing w:after="0" w:line="104"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GeneDx</w:t>
      </w:r>
      <w:r>
        <w:rPr>
          <w:rFonts w:ascii="Times New Roman" w:cs="Times New Roman" w:eastAsia="Times New Roman" w:hAnsi="Times New Roman"/>
          <w:sz w:val="18"/>
          <w:szCs w:val="18"/>
          <w:color w:val="auto"/>
        </w:rPr>
        <w:t>” means (i) GeneDx, Inc., a New Jersey corporation prior to the closing of the Acquisition and (ii) GeneDx, LLC, a Delaware limited liability company, following the closing of the Acquisition.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HoldCo</w:t>
      </w:r>
      <w:r>
        <w:rPr>
          <w:rFonts w:ascii="Times New Roman" w:cs="Times New Roman" w:eastAsia="Times New Roman" w:hAnsi="Times New Roman"/>
          <w:sz w:val="18"/>
          <w:szCs w:val="18"/>
          <w:color w:val="auto"/>
        </w:rPr>
        <w:t>” means GeneDx Holding 2, Inc., which held 100% of GeneDx immediately following the time the First Merger became effective.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Initial Stockholders</w:t>
      </w:r>
      <w:r>
        <w:rPr>
          <w:rFonts w:ascii="Times New Roman" w:cs="Times New Roman" w:eastAsia="Times New Roman" w:hAnsi="Times New Roman"/>
          <w:sz w:val="18"/>
          <w:szCs w:val="18"/>
          <w:color w:val="auto"/>
        </w:rPr>
        <w:t>” means the Former Sponsor together with Munib Islam, Emily Leproust and Nat Turner.</w:t>
      </w:r>
    </w:p>
    <w:p>
      <w:pPr>
        <w:spacing w:after="0" w:line="171" w:lineRule="exact"/>
        <w:rPr>
          <w:sz w:val="20"/>
          <w:szCs w:val="20"/>
          <w:color w:val="auto"/>
        </w:rPr>
      </w:pPr>
    </w:p>
    <w:p>
      <w:pPr>
        <w:ind w:right="66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IPO</w:t>
      </w:r>
      <w:r>
        <w:rPr>
          <w:rFonts w:ascii="Times New Roman" w:cs="Times New Roman" w:eastAsia="Times New Roman" w:hAnsi="Times New Roman"/>
          <w:sz w:val="18"/>
          <w:szCs w:val="18"/>
          <w:color w:val="auto"/>
        </w:rPr>
        <w:t>” means the Company’s initial public offering, consummated on September 4, 2020, of 44,275,000 units (including 5,775,000 units that were subsequently issued to the underwriters in connection with the partial exercise of their over-allotment option) at $10.00 per unit.</w:t>
      </w:r>
    </w:p>
    <w:p>
      <w:pPr>
        <w:spacing w:after="0" w:line="104" w:lineRule="exact"/>
        <w:rPr>
          <w:sz w:val="20"/>
          <w:szCs w:val="20"/>
          <w:color w:val="auto"/>
        </w:rPr>
      </w:pPr>
    </w:p>
    <w:p>
      <w:pPr>
        <w:ind w:right="6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Legacy Sema4</w:t>
      </w:r>
      <w:r>
        <w:rPr>
          <w:rFonts w:ascii="Times New Roman" w:cs="Times New Roman" w:eastAsia="Times New Roman" w:hAnsi="Times New Roman"/>
          <w:sz w:val="18"/>
          <w:szCs w:val="18"/>
          <w:color w:val="auto"/>
        </w:rPr>
        <w:t>” means Mount Sinai Genomics, Inc., a Delaware corporation, doing business as Sema4 prior to the consummation of the Business Combination.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Legacy Sema4 Equity Holders</w:t>
      </w:r>
      <w:r>
        <w:rPr>
          <w:rFonts w:ascii="Times New Roman" w:cs="Times New Roman" w:eastAsia="Times New Roman" w:hAnsi="Times New Roman"/>
          <w:sz w:val="18"/>
          <w:szCs w:val="18"/>
          <w:color w:val="auto"/>
        </w:rPr>
        <w:t>” means certain former stockholders and equity award holders of Legacy Sema4.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Lock-Up Holder</w:t>
      </w:r>
      <w:r>
        <w:rPr>
          <w:rFonts w:ascii="Times New Roman" w:cs="Times New Roman" w:eastAsia="Times New Roman" w:hAnsi="Times New Roman"/>
          <w:sz w:val="18"/>
          <w:szCs w:val="18"/>
          <w:color w:val="auto"/>
        </w:rPr>
        <w:t>” means certain stockholders of OPKO who entered into the Shareholder Agreements with the Company.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Merger Sub I</w:t>
      </w:r>
      <w:r>
        <w:rPr>
          <w:rFonts w:ascii="Times New Roman" w:cs="Times New Roman" w:eastAsia="Times New Roman" w:hAnsi="Times New Roman"/>
          <w:sz w:val="18"/>
          <w:szCs w:val="18"/>
          <w:color w:val="auto"/>
        </w:rPr>
        <w:t>” means Orion Merger Sub I, Inc.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Merger Sub II</w:t>
      </w:r>
      <w:r>
        <w:rPr>
          <w:rFonts w:ascii="Times New Roman" w:cs="Times New Roman" w:eastAsia="Times New Roman" w:hAnsi="Times New Roman"/>
          <w:sz w:val="18"/>
          <w:szCs w:val="18"/>
          <w:color w:val="auto"/>
        </w:rPr>
        <w:t>” means Orion Merger Sub II, LLC.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Mergers</w:t>
      </w:r>
      <w:r>
        <w:rPr>
          <w:rFonts w:ascii="Times New Roman" w:cs="Times New Roman" w:eastAsia="Times New Roman" w:hAnsi="Times New Roman"/>
          <w:sz w:val="18"/>
          <w:szCs w:val="18"/>
          <w:color w:val="auto"/>
        </w:rPr>
        <w:t>” means the First Merger and the Second Merger.</w:t>
      </w:r>
    </w:p>
    <w:p>
      <w:pPr>
        <w:spacing w:after="0" w:line="171" w:lineRule="exact"/>
        <w:rPr>
          <w:sz w:val="20"/>
          <w:szCs w:val="20"/>
          <w:color w:val="auto"/>
        </w:rPr>
      </w:pPr>
    </w:p>
    <w:p>
      <w:pPr>
        <w:ind w:right="56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Milestone Payments</w:t>
      </w:r>
      <w:r>
        <w:rPr>
          <w:rFonts w:ascii="Times New Roman" w:cs="Times New Roman" w:eastAsia="Times New Roman" w:hAnsi="Times New Roman"/>
          <w:sz w:val="18"/>
          <w:szCs w:val="18"/>
          <w:color w:val="auto"/>
        </w:rPr>
        <w:t>” means the up to $150 million payable by the Company to OPKO Health, Inc. pursuant to the Acquisition Merger Agreement following the closing of the Acquisition, if certain revenue-based milestones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00"/>
          </w:cols>
          <w:pgMar w:left="320" w:top="1415" w:right="379" w:bottom="1440" w:gutter="0" w:footer="0" w:header="0"/>
        </w:sectPr>
      </w:pPr>
    </w:p>
    <w:bookmarkStart w:id="6" w:name="page7"/>
    <w:bookmarkEnd w:id="6"/>
    <w:p>
      <w:pPr>
        <w:spacing w:after="0" w:line="261" w:lineRule="auto"/>
        <w:rPr>
          <w:sz w:val="20"/>
          <w:szCs w:val="20"/>
          <w:color w:val="auto"/>
        </w:rPr>
      </w:pPr>
      <w:r>
        <w:rPr>
          <w:rFonts w:ascii="Times New Roman" w:cs="Times New Roman" w:eastAsia="Times New Roman" w:hAnsi="Times New Roman"/>
          <w:sz w:val="18"/>
          <w:szCs w:val="18"/>
          <w:color w:val="auto"/>
        </w:rPr>
        <w:t>achieved for each of the fiscal years ending December 31, 2022 and December 31, 2023. Each Milestone Payment, if and to the extent earned under the terms of the Acquisition Merger Agreement, will be satisfied through the payment and/or issuance of a combination of cash and shares of Class A common stock (valued at $4.86 per share based on the average of the daily volume average weighted price of our Class A common stock over the period of 30 trading days ended January 12, 2022), with such mix to be determined in our sole discretion.</w:t>
      </w:r>
    </w:p>
    <w:p>
      <w:pPr>
        <w:spacing w:after="0" w:line="124" w:lineRule="exact"/>
        <w:rPr>
          <w:sz w:val="20"/>
          <w:szCs w:val="20"/>
          <w:color w:val="auto"/>
        </w:rPr>
      </w:pPr>
    </w:p>
    <w:p>
      <w:pPr>
        <w:ind w:right="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Milestone Shares</w:t>
      </w:r>
      <w:r>
        <w:rPr>
          <w:rFonts w:ascii="Times New Roman" w:cs="Times New Roman" w:eastAsia="Times New Roman" w:hAnsi="Times New Roman"/>
          <w:sz w:val="18"/>
          <w:szCs w:val="18"/>
          <w:color w:val="auto"/>
        </w:rPr>
        <w:t>” means the up to 30,864,198 shares of our Class A common stock that may be issuable to OPKO in connection with the Milestone Payments.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Nasdaq</w:t>
      </w:r>
      <w:r>
        <w:rPr>
          <w:rFonts w:ascii="Times New Roman" w:cs="Times New Roman" w:eastAsia="Times New Roman" w:hAnsi="Times New Roman"/>
          <w:sz w:val="18"/>
          <w:szCs w:val="18"/>
          <w:color w:val="auto"/>
        </w:rPr>
        <w:t>” means the Nasdaq Global Select Market.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OPKO</w:t>
      </w:r>
      <w:r>
        <w:rPr>
          <w:rFonts w:ascii="Times New Roman" w:cs="Times New Roman" w:eastAsia="Times New Roman" w:hAnsi="Times New Roman"/>
          <w:sz w:val="18"/>
          <w:szCs w:val="18"/>
          <w:color w:val="auto"/>
        </w:rPr>
        <w:t>” means OPKO Health, Inc.</w:t>
      </w:r>
    </w:p>
    <w:p>
      <w:pPr>
        <w:spacing w:after="0" w:line="171"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private placement warrants</w:t>
      </w:r>
      <w:r>
        <w:rPr>
          <w:rFonts w:ascii="Times New Roman" w:cs="Times New Roman" w:eastAsia="Times New Roman" w:hAnsi="Times New Roman"/>
          <w:sz w:val="18"/>
          <w:szCs w:val="18"/>
          <w:color w:val="auto"/>
        </w:rPr>
        <w:t>” means the 7,236,667 warrants originally issued to the Former Sponsor and certain of the other initial stockholders of CMLS in a private placement in connection with our IPO.</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public shares</w:t>
      </w:r>
      <w:r>
        <w:rPr>
          <w:rFonts w:ascii="Times New Roman" w:cs="Times New Roman" w:eastAsia="Times New Roman" w:hAnsi="Times New Roman"/>
          <w:sz w:val="18"/>
          <w:szCs w:val="18"/>
          <w:color w:val="auto"/>
        </w:rPr>
        <w:t>” means shares of Class A common stock included in the units issued in our IPO.</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public warrants</w:t>
      </w:r>
      <w:r>
        <w:rPr>
          <w:rFonts w:ascii="Times New Roman" w:cs="Times New Roman" w:eastAsia="Times New Roman" w:hAnsi="Times New Roman"/>
          <w:sz w:val="18"/>
          <w:szCs w:val="18"/>
          <w:color w:val="auto"/>
        </w:rPr>
        <w:t>” means the warrants included in the units issued in our IPO.</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171"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Second Merger</w:t>
      </w:r>
      <w:r>
        <w:rPr>
          <w:rFonts w:ascii="Times New Roman" w:cs="Times New Roman" w:eastAsia="Times New Roman" w:hAnsi="Times New Roman"/>
          <w:sz w:val="18"/>
          <w:szCs w:val="18"/>
          <w:color w:val="auto"/>
        </w:rPr>
        <w:t>” means the merger of HoldCo, as the surviving corporation in the First Merger, with and into Merger Sub II, with Merger Sub II as the surviving company.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171" w:lineRule="exact"/>
        <w:rPr>
          <w:sz w:val="20"/>
          <w:szCs w:val="20"/>
          <w:color w:val="auto"/>
        </w:rPr>
      </w:pPr>
    </w:p>
    <w:p>
      <w:pPr>
        <w:ind w:right="46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Sema4</w:t>
      </w:r>
      <w:r>
        <w:rPr>
          <w:rFonts w:ascii="Times New Roman" w:cs="Times New Roman" w:eastAsia="Times New Roman" w:hAnsi="Times New Roman"/>
          <w:sz w:val="18"/>
          <w:szCs w:val="18"/>
          <w:color w:val="auto"/>
        </w:rPr>
        <w:t>” means (i) Mount Sinai Genomics, Inc. d/b/a Sema4, a Delaware corporation, prior to the closing of the Business Combination or (ii) Sema4 Holdings Corp., a Delaware corporation, following the closing of the Business Combination.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Sema4 Holdings</w:t>
      </w:r>
      <w:r>
        <w:rPr>
          <w:rFonts w:ascii="Times New Roman" w:cs="Times New Roman" w:eastAsia="Times New Roman" w:hAnsi="Times New Roman"/>
          <w:sz w:val="18"/>
          <w:szCs w:val="18"/>
          <w:color w:val="auto"/>
        </w:rPr>
        <w:t>” means Sema4 Holdings Corp., a Delaware corporation, following the closing of the Business Combination.</w:t>
      </w:r>
    </w:p>
    <w:p>
      <w:pPr>
        <w:spacing w:after="0" w:line="171"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Shareholder Agreements</w:t>
      </w:r>
      <w:r>
        <w:rPr>
          <w:rFonts w:ascii="Times New Roman" w:cs="Times New Roman" w:eastAsia="Times New Roman" w:hAnsi="Times New Roman"/>
          <w:sz w:val="18"/>
          <w:szCs w:val="18"/>
          <w:color w:val="auto"/>
        </w:rPr>
        <w:t>” means, collectively, those certain shareholder agreements entered into on January 14, 2022, between the Company and OPKO and the Lock-Up Holders, pursuant to which OPKO and the Lock-Up Holders have agreed, among other things, to certain transfer restrictions in respect of the shares of Class A common stock issued and to be issued pursuant to the Acquisition Merger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Selling Securityholders</w:t>
      </w:r>
      <w:r>
        <w:rPr>
          <w:rFonts w:ascii="Times New Roman" w:cs="Times New Roman" w:eastAsia="Times New Roman" w:hAnsi="Times New Roman"/>
          <w:sz w:val="18"/>
          <w:szCs w:val="18"/>
          <w:color w:val="auto"/>
        </w:rPr>
        <w:t>” means the selling securityholders named in this prospectus.</w:t>
      </w:r>
    </w:p>
    <w:p>
      <w:pPr>
        <w:spacing w:after="0" w:line="171"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Stock Consideration Shares</w:t>
      </w:r>
      <w:r>
        <w:rPr>
          <w:rFonts w:ascii="Times New Roman" w:cs="Times New Roman" w:eastAsia="Times New Roman" w:hAnsi="Times New Roman"/>
          <w:sz w:val="18"/>
          <w:szCs w:val="18"/>
          <w:color w:val="auto"/>
        </w:rPr>
        <w:t>” means the 80,000,000 shares of Class A common stock issued by the Company to OPKO at the closing of the Acquisition pursuant to the Acquisition Merger Agreement.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stockholders</w:t>
      </w:r>
      <w:r>
        <w:rPr>
          <w:rFonts w:ascii="Times New Roman" w:cs="Times New Roman" w:eastAsia="Times New Roman" w:hAnsi="Times New Roman"/>
          <w:sz w:val="18"/>
          <w:szCs w:val="18"/>
          <w:color w:val="auto"/>
        </w:rPr>
        <w:t>” means holders of shares of our Class A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Transfer Agent</w:t>
      </w:r>
      <w:r>
        <w:rPr>
          <w:rFonts w:ascii="Times New Roman" w:cs="Times New Roman" w:eastAsia="Times New Roman" w:hAnsi="Times New Roman"/>
          <w:sz w:val="18"/>
          <w:szCs w:val="18"/>
          <w:color w:val="auto"/>
        </w:rPr>
        <w:t>” means Continental Stock Transfer &amp; Trust Company.</w:t>
      </w:r>
    </w:p>
    <w:p>
      <w:pPr>
        <w:spacing w:after="0" w:line="171"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warrant agreement</w:t>
      </w:r>
      <w:r>
        <w:rPr>
          <w:rFonts w:ascii="Times New Roman" w:cs="Times New Roman" w:eastAsia="Times New Roman" w:hAnsi="Times New Roman"/>
          <w:sz w:val="18"/>
          <w:szCs w:val="18"/>
          <w:color w:val="auto"/>
        </w:rPr>
        <w:t>” means the warrant agreement between us and Continental Stock Transfer &amp; Trust Company, as warrant agent, governing the terms of the warrants.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 means the public warrants and the private placement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00"/>
          </w:cols>
          <w:pgMar w:left="320" w:top="1417" w:right="37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4707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130" cy="747077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This summary may not contain all the information that you should consider before investing in our Class A common stock and warrants.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You should read the entire prospectus and the information incorporated by reference in this prospectus carefully, including “Risk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Factors” and the financial statements and related notes incorporated by reference herein, before making an investment decision.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75"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We are a health insights company dedicated to accelerating the use of genomics and leveraging large-scale clinical data to enhance the standard of care through the more extensive use of precision medicine. Our mission is to unlock insights from data, leading to healthier lives and a healthier society. We are one of the largest and most advanced providers of genomic testing in the U.S. and have an industry-leading health information database to transform patient care and improve therapeutic development.</w:t>
      </w:r>
    </w:p>
    <w:p>
      <w:pPr>
        <w:spacing w:after="0" w:line="12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are focused on effectively delivering our portfolio of genomic and data solutions to guide patients through their family health journey. That includes family planning, delivery, pediatrics, hereditary cancer screening, and rare disorders for children and adults. We are committed to helping families make better health decisions with our panels, exome, and genome – fueled by our interpretation platform designed for a genome’s worth of information and a data engine built to combine genomic and clinical data to deliver better insights.</w:t>
      </w:r>
    </w:p>
    <w:p>
      <w:pPr>
        <w:spacing w:after="0" w:line="1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 xml:space="preserve">Our integrated information platform leverages longitudinal patient data, artificial intelligence (“AI”)-driven predictive modeling, and genomics in combination with other molecular and high-dimensional data in our efforts both to deliver better outcomes for patients and to transform the practice of medicine, including how disease is diagnosed, treated, and prevented. We now maintain a database that includes patient data available for research on approximately 12 million patients from a number of public and proprietary sources, including more than five million patients available with clinical data through our partner health systems and genomic testing solutions. </w:t>
      </w:r>
      <w:r>
        <w:rPr>
          <w:rFonts w:ascii="Times New Roman" w:cs="Times New Roman" w:eastAsia="Times New Roman" w:hAnsi="Times New Roman"/>
          <w:sz w:val="18"/>
          <w:szCs w:val="18"/>
          <w:color w:val="auto"/>
          <w:highlight w:val="white"/>
        </w:rPr>
        <w:t>Our data asset also includes one of the world’s largest datasets of approximately 400,000 clinical exomes, the vast majority of which are associated with rare disease, providing us an unparalleled platform for pharmaceutical and biotech (“Biopharma”) companies to leverage.</w:t>
      </w:r>
    </w:p>
    <w:p>
      <w:pPr>
        <w:spacing w:after="0" w:line="13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Today, by providing differentiated insights through diagnostic testing solutions to physicians and patients across the United States (the “U.S.”) in areas such as reproductive and women’s health, pediatric and rare disease health, and population health, we are reimbursed by payors, providers, and patients for providing these services. In collaboration with Biopharma companies, we receive payments for a broad range of services relating to the aggregated data on our information platform, such as consenting and recontacting patients, the development and implementation of a wide range of predictive models, including drug discovery programs, conducting real-world evidence studies, and aiding in the identification and recruitment of patients into clinical trials. Over the next several years, we expect to focus on expanding the revenue from our health system and Biopharma partners, while also working to continue to grow the volumes and revenues from our diagnostics test solutions.</w:t>
      </w:r>
    </w:p>
    <w:p>
      <w:pPr>
        <w:spacing w:after="0" w:line="13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While there are many companies seeking to harness the potential of “big data” to address the challenges within the healthcare ecosystem, we believe that few have the scale of our company combined with our revenue-generating diagnostics testing business and origins as a company conceived and nurtured within a world-class health system. These characteristics have enabled us to build a significant and highly differentiated technological and informational asset positioned to drive precision medicine solutions into the standard of care in an unparalleled way.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7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were incorporated on July 10, 2020 as a special purpose acquisition company and a Delaware corporation under the name CM Life Sciences, Inc. (“CMLS”). On September 4, 2020, CMLS completed its initial public offering. On July 22, 2021, CMLS consummated the Business Combination with Legacy Sema4 pursuant to the Business Combination Merger Agreement. In connection with the Business Combination, CMLS changed its name to Sema4 Holdings Corp. (“Sema4 Holdings”).</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9880"/>
          </w:cols>
          <w:pgMar w:left="1000" w:top="1440" w:right="1019" w:bottom="1440" w:gutter="0" w:footer="0" w:header="0"/>
          <w:type w:val="continuous"/>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13671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13671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address is 333 Ludlow Street, North Tower, 8th Floor, Stamford, Connecticut 06902. Our telephone number is 1(800) 298-6470. Our website address is https://sema4.com. Information contained on our website or connected thereto does not constitute part of, and is not incorporated by reference into, this prospectus or the registration statement of which it forms a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9880"/>
          </w:cols>
          <w:pgMar w:left="1000" w:top="1440" w:right="101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67075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67075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12" w:lineRule="exact"/>
        <w:rPr>
          <w:sz w:val="20"/>
          <w:szCs w:val="20"/>
          <w:color w:val="auto"/>
        </w:rPr>
      </w:pPr>
    </w:p>
    <w:p>
      <w:pPr>
        <w:spacing w:after="0"/>
        <w:tabs>
          <w:tab w:leader="none" w:pos="4920" w:val="left"/>
        </w:tabs>
        <w:rPr>
          <w:sz w:val="20"/>
          <w:szCs w:val="20"/>
          <w:color w:val="auto"/>
        </w:rPr>
      </w:pPr>
      <w:r>
        <w:rPr>
          <w:rFonts w:ascii="Times New Roman" w:cs="Times New Roman" w:eastAsia="Times New Roman" w:hAnsi="Times New Roman"/>
          <w:sz w:val="17"/>
          <w:szCs w:val="17"/>
          <w:b w:val="1"/>
          <w:bCs w:val="1"/>
          <w:color w:val="auto"/>
        </w:rPr>
        <w:t>Issuer</w:t>
      </w:r>
      <w:r>
        <w:rPr>
          <w:sz w:val="20"/>
          <w:szCs w:val="20"/>
          <w:color w:val="auto"/>
        </w:rPr>
        <w:tab/>
      </w:r>
      <w:r>
        <w:rPr>
          <w:rFonts w:ascii="Times New Roman" w:cs="Times New Roman" w:eastAsia="Times New Roman" w:hAnsi="Times New Roman"/>
          <w:sz w:val="17"/>
          <w:szCs w:val="17"/>
          <w:color w:val="auto"/>
        </w:rPr>
        <w:t>Sema4 Holdings Corp.</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of Class A common stock</w:t>
      </w:r>
    </w:p>
    <w:p>
      <w:pPr>
        <w:sectPr>
          <w:pgSz w:w="11900" w:h="16838" w:orient="portrait"/>
          <w:cols w:equalWidth="0" w:num="1">
            <w:col w:w="9820"/>
          </w:cols>
          <w:pgMar w:left="1020" w:top="1440" w:right="1059" w:bottom="1440" w:gutter="0" w:footer="0" w:header="0"/>
        </w:sectPr>
      </w:pP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Class A common stock offered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 of Class A common stock outstanding as of August 9, 2022</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 price of public warrants and private placement warrants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Resale of Class A common stock and warrants</w:t>
      </w:r>
    </w:p>
    <w:p>
      <w:pPr>
        <w:spacing w:after="0" w:line="31" w:lineRule="exact"/>
        <w:rPr>
          <w:sz w:val="20"/>
          <w:szCs w:val="20"/>
          <w:color w:val="auto"/>
        </w:rPr>
      </w:pPr>
    </w:p>
    <w:p>
      <w:pPr>
        <w:ind w:left="160" w:right="820" w:hanging="161"/>
        <w:spacing w:after="0" w:line="245" w:lineRule="auto"/>
        <w:rPr>
          <w:sz w:val="20"/>
          <w:szCs w:val="20"/>
          <w:color w:val="auto"/>
        </w:rPr>
      </w:pPr>
      <w:r>
        <w:rPr>
          <w:rFonts w:ascii="Times New Roman" w:cs="Times New Roman" w:eastAsia="Times New Roman" w:hAnsi="Times New Roman"/>
          <w:sz w:val="18"/>
          <w:szCs w:val="18"/>
          <w:color w:val="auto"/>
        </w:rPr>
        <w:t>Shares of Class A common stock offered by the Selling Securityholders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1380"/>
        <w:spacing w:after="0" w:line="297" w:lineRule="auto"/>
        <w:rPr>
          <w:sz w:val="20"/>
          <w:szCs w:val="20"/>
          <w:color w:val="auto"/>
        </w:rPr>
      </w:pPr>
      <w:r>
        <w:rPr>
          <w:rFonts w:ascii="Times New Roman" w:cs="Times New Roman" w:eastAsia="Times New Roman" w:hAnsi="Times New Roman"/>
          <w:sz w:val="18"/>
          <w:szCs w:val="18"/>
          <w:color w:val="auto"/>
        </w:rPr>
        <w:t>Warrants offered by the Selling Securityholders Terms of the offering</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right="200"/>
        <w:spacing w:after="0" w:line="220" w:lineRule="auto"/>
        <w:rPr>
          <w:sz w:val="20"/>
          <w:szCs w:val="20"/>
          <w:color w:val="auto"/>
        </w:rPr>
      </w:pPr>
      <w:r>
        <w:rPr>
          <w:rFonts w:ascii="Times New Roman" w:cs="Times New Roman" w:eastAsia="Times New Roman" w:hAnsi="Times New Roman"/>
          <w:sz w:val="18"/>
          <w:szCs w:val="18"/>
          <w:color w:val="auto"/>
        </w:rPr>
        <w:t>Up to 21,994,972 shares of Class A common stock issuable upon exercise of warrants, consisting of:</w:t>
      </w:r>
    </w:p>
    <w:p>
      <w:pPr>
        <w:ind w:left="640" w:right="60" w:hanging="404"/>
        <w:spacing w:after="0" w:line="211" w:lineRule="auto"/>
        <w:tabs>
          <w:tab w:leader="none" w:pos="63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14,758,333 shares of Class A common stock that are issuable upon the exercise of the public warrants; and</w:t>
      </w:r>
    </w:p>
    <w:p>
      <w:pPr>
        <w:ind w:left="640" w:right="140" w:hanging="404"/>
        <w:spacing w:after="0" w:line="218" w:lineRule="auto"/>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7,236,667 shares of Class A common stock that are issuable upon the exercise of the private placement warrants following the public resale of the private placement warrants by the Selling Securityholders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380,641,510 shares of Class A common stock</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$11.50 per share, subject to adjustments as described herein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will receive up to an aggregate of approximately $252.9 million</w:t>
      </w:r>
    </w:p>
    <w:p>
      <w:pPr>
        <w:spacing w:after="0" w:line="9" w:lineRule="exact"/>
        <w:rPr>
          <w:sz w:val="20"/>
          <w:szCs w:val="20"/>
          <w:color w:val="auto"/>
        </w:rPr>
      </w:pPr>
    </w:p>
    <w:p>
      <w:pPr>
        <w:ind w:right="40"/>
        <w:spacing w:after="0" w:line="220" w:lineRule="auto"/>
        <w:rPr>
          <w:sz w:val="20"/>
          <w:szCs w:val="20"/>
          <w:color w:val="auto"/>
        </w:rPr>
      </w:pPr>
      <w:r>
        <w:rPr>
          <w:rFonts w:ascii="Times New Roman" w:cs="Times New Roman" w:eastAsia="Times New Roman" w:hAnsi="Times New Roman"/>
          <w:sz w:val="17"/>
          <w:szCs w:val="17"/>
          <w:color w:val="auto"/>
        </w:rPr>
        <w:t>from the exercise of the warrants, assuming the exercise in full of all of the warrants for cash. We expect to use the net proceeds from the exercise of the warrants for investment in growth and general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purposes. See “Use of Proceeds”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356,524,688 shares of Class A common stock, consisting of:</w:t>
      </w:r>
    </w:p>
    <w:p>
      <w:pPr>
        <w:spacing w:after="0" w:line="11" w:lineRule="exact"/>
        <w:rPr>
          <w:sz w:val="20"/>
          <w:szCs w:val="20"/>
          <w:color w:val="auto"/>
        </w:rPr>
      </w:pPr>
    </w:p>
    <w:p>
      <w:pPr>
        <w:ind w:left="640" w:hanging="404"/>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18,550,000 Business Combination PIPE Shares;</w:t>
      </w:r>
    </w:p>
    <w:p>
      <w:pPr>
        <w:ind w:left="640" w:hanging="404"/>
        <w:spacing w:after="0" w:line="219"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11,068,750 Founder Shares;</w:t>
      </w:r>
    </w:p>
    <w:p>
      <w:pPr>
        <w:ind w:left="640" w:right="40" w:hanging="404"/>
        <w:spacing w:after="0" w:line="230" w:lineRule="auto"/>
        <w:tabs>
          <w:tab w:leader="none" w:pos="63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158,805,073 shares of Class A common stock issued or issuable to the Legacy Sema4 Equity Holders in connection with or as a result of the consummation of the Business Combination consisting of:</w:t>
      </w:r>
    </w:p>
    <w:p>
      <w:pPr>
        <w:spacing w:after="0" w:line="3" w:lineRule="exact"/>
        <w:rPr>
          <w:rFonts w:ascii="Times New Roman" w:cs="Times New Roman" w:eastAsia="Times New Roman" w:hAnsi="Times New Roman"/>
          <w:sz w:val="18"/>
          <w:szCs w:val="18"/>
          <w:color w:val="auto"/>
        </w:rPr>
      </w:pPr>
    </w:p>
    <w:p>
      <w:pPr>
        <w:ind w:left="1040" w:right="80" w:hanging="407"/>
        <w:spacing w:after="0" w:line="234" w:lineRule="auto"/>
        <w:tabs>
          <w:tab w:leader="none" w:pos="10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139,783,497 shares of Class A common stock; and</w:t>
      </w:r>
    </w:p>
    <w:p>
      <w:pPr>
        <w:spacing w:after="0" w:line="1" w:lineRule="exact"/>
        <w:rPr>
          <w:rFonts w:ascii="Times New Roman" w:cs="Times New Roman" w:eastAsia="Times New Roman" w:hAnsi="Times New Roman"/>
          <w:sz w:val="18"/>
          <w:szCs w:val="18"/>
          <w:color w:val="auto"/>
        </w:rPr>
      </w:pPr>
    </w:p>
    <w:p>
      <w:pPr>
        <w:ind w:left="1040" w:hanging="457"/>
        <w:spacing w:after="0" w:line="203" w:lineRule="auto"/>
        <w:tabs>
          <w:tab w:leader="none" w:pos="10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19,021,576 Earn-Out Shares;</w:t>
      </w:r>
    </w:p>
    <w:p>
      <w:pPr>
        <w:ind w:left="640" w:right="320" w:hanging="404"/>
        <w:spacing w:after="0" w:line="223" w:lineRule="auto"/>
        <w:tabs>
          <w:tab w:leader="none" w:pos="6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7,236,667 shares of Class A common stock issuable upon the exercise of the private placement warrants;</w:t>
      </w:r>
    </w:p>
    <w:p>
      <w:pPr>
        <w:spacing w:after="0" w:line="1" w:lineRule="exact"/>
        <w:rPr>
          <w:rFonts w:ascii="Times New Roman" w:cs="Times New Roman" w:eastAsia="Times New Roman" w:hAnsi="Times New Roman"/>
          <w:sz w:val="17"/>
          <w:szCs w:val="17"/>
          <w:color w:val="auto"/>
        </w:rPr>
      </w:pPr>
    </w:p>
    <w:p>
      <w:pPr>
        <w:ind w:left="640" w:hanging="404"/>
        <w:spacing w:after="0" w:line="203"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80,000,000 Stock Consideration Shares;</w:t>
      </w:r>
    </w:p>
    <w:p>
      <w:pPr>
        <w:ind w:left="640" w:hanging="404"/>
        <w:spacing w:after="0" w:line="219"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30,864,198 Milestone Shares; and</w:t>
      </w:r>
    </w:p>
    <w:p>
      <w:pPr>
        <w:ind w:left="640" w:hanging="404"/>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50,000,000 Acquisition PIPE Shares.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7,236,667 private placement warrants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Selling Securityholders will determine when and how they will</w:t>
      </w:r>
    </w:p>
    <w:p>
      <w:pPr>
        <w:ind w:right="520"/>
        <w:spacing w:after="0" w:line="226" w:lineRule="auto"/>
        <w:rPr>
          <w:sz w:val="20"/>
          <w:szCs w:val="20"/>
          <w:color w:val="auto"/>
        </w:rPr>
      </w:pPr>
      <w:r>
        <w:rPr>
          <w:rFonts w:ascii="Times New Roman" w:cs="Times New Roman" w:eastAsia="Times New Roman" w:hAnsi="Times New Roman"/>
          <w:sz w:val="18"/>
          <w:szCs w:val="18"/>
          <w:color w:val="auto"/>
        </w:rPr>
        <w:t>dispose of the shares of Class A common stock and warrants registered under this prospectus for resale.</w:t>
      </w:r>
    </w:p>
    <w:p>
      <w:pPr>
        <w:spacing w:after="0" w:line="1" w:lineRule="exact"/>
        <w:rPr>
          <w:sz w:val="20"/>
          <w:szCs w:val="20"/>
          <w:color w:val="auto"/>
        </w:rPr>
      </w:pPr>
    </w:p>
    <w:p>
      <w:pPr>
        <w:sectPr>
          <w:pgSz w:w="11900" w:h="16838" w:orient="portrait"/>
          <w:cols w:equalWidth="0" w:num="2">
            <w:col w:w="4800" w:space="140"/>
            <w:col w:w="4880"/>
          </w:cols>
          <w:pgMar w:left="1020" w:top="1440" w:right="1059" w:bottom="1440" w:gutter="0" w:footer="0" w:header="0"/>
          <w:type w:val="continuous"/>
        </w:sectPr>
      </w:pPr>
    </w:p>
    <w:p>
      <w:pPr>
        <w:ind w:left="4940" w:right="20" w:hanging="4940"/>
        <w:spacing w:after="0" w:line="242" w:lineRule="auto"/>
        <w:tabs>
          <w:tab w:leader="none" w:pos="4920" w:val="left"/>
        </w:tabs>
        <w:rPr>
          <w:sz w:val="20"/>
          <w:szCs w:val="20"/>
          <w:color w:val="auto"/>
        </w:rPr>
      </w:pPr>
      <w:r>
        <w:rPr>
          <w:rFonts w:ascii="Times New Roman" w:cs="Times New Roman" w:eastAsia="Times New Roman" w:hAnsi="Times New Roman"/>
          <w:sz w:val="18"/>
          <w:szCs w:val="18"/>
          <w:color w:val="auto"/>
        </w:rPr>
        <w:t>Use of proceeds</w:t>
      </w:r>
      <w:r>
        <w:rPr>
          <w:sz w:val="20"/>
          <w:szCs w:val="20"/>
          <w:color w:val="auto"/>
        </w:rPr>
        <w:tab/>
      </w:r>
      <w:r>
        <w:rPr>
          <w:rFonts w:ascii="Times New Roman" w:cs="Times New Roman" w:eastAsia="Times New Roman" w:hAnsi="Times New Roman"/>
          <w:sz w:val="18"/>
          <w:szCs w:val="18"/>
          <w:color w:val="auto"/>
        </w:rPr>
        <w:t>We will not receive any proceeds from the sale of shares of Class A common stock or warrants by the Selling Securityholders.</w:t>
      </w:r>
    </w:p>
    <w:p>
      <w:pPr>
        <w:spacing w:after="0"/>
        <w:tabs>
          <w:tab w:leader="none" w:pos="4920" w:val="left"/>
        </w:tabs>
        <w:rPr>
          <w:sz w:val="20"/>
          <w:szCs w:val="20"/>
          <w:color w:val="auto"/>
        </w:rPr>
      </w:pPr>
      <w:r>
        <w:rPr>
          <w:rFonts w:ascii="Times New Roman" w:cs="Times New Roman" w:eastAsia="Times New Roman" w:hAnsi="Times New Roman"/>
          <w:sz w:val="18"/>
          <w:szCs w:val="18"/>
          <w:color w:val="auto"/>
        </w:rPr>
        <w:t>Lock-up restrictions</w:t>
      </w:r>
      <w:r>
        <w:rPr>
          <w:sz w:val="20"/>
          <w:szCs w:val="20"/>
          <w:color w:val="auto"/>
        </w:rPr>
        <w:tab/>
      </w:r>
      <w:r>
        <w:rPr>
          <w:rFonts w:ascii="Times New Roman" w:cs="Times New Roman" w:eastAsia="Times New Roman" w:hAnsi="Times New Roman"/>
          <w:sz w:val="17"/>
          <w:szCs w:val="17"/>
          <w:color w:val="auto"/>
        </w:rPr>
        <w:t>110,864,198 shares registered on behalf of OPKO are subject to</w:t>
      </w:r>
    </w:p>
    <w:p>
      <w:pPr>
        <w:ind w:left="4940"/>
        <w:spacing w:after="0" w:line="204" w:lineRule="auto"/>
        <w:rPr>
          <w:sz w:val="20"/>
          <w:szCs w:val="20"/>
          <w:color w:val="auto"/>
        </w:rPr>
      </w:pPr>
      <w:r>
        <w:rPr>
          <w:rFonts w:ascii="Times New Roman" w:cs="Times New Roman" w:eastAsia="Times New Roman" w:hAnsi="Times New Roman"/>
          <w:sz w:val="18"/>
          <w:szCs w:val="18"/>
          <w:color w:val="auto"/>
        </w:rPr>
        <w:t>transfer restrictions pursuant to the Shareholder Agreements. See</w:t>
      </w:r>
    </w:p>
    <w:p>
      <w:pPr>
        <w:ind w:left="49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9820"/>
          </w:cols>
          <w:pgMar w:left="1020" w:top="1440" w:right="1059" w:bottom="1440" w:gutter="0" w:footer="0" w:header="0"/>
          <w:type w:val="continuous"/>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2584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58445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4940" w:right="240" w:hanging="4940"/>
        <w:spacing w:after="0" w:line="262" w:lineRule="auto"/>
        <w:tabs>
          <w:tab w:leader="none" w:pos="4920" w:val="left"/>
        </w:tabs>
        <w:rPr>
          <w:sz w:val="20"/>
          <w:szCs w:val="20"/>
          <w:color w:val="auto"/>
        </w:rPr>
      </w:pPr>
      <w:r>
        <w:rPr>
          <w:rFonts w:ascii="Times New Roman" w:cs="Times New Roman" w:eastAsia="Times New Roman" w:hAnsi="Times New Roman"/>
          <w:sz w:val="18"/>
          <w:szCs w:val="18"/>
          <w:b w:val="1"/>
          <w:bCs w:val="1"/>
          <w:color w:val="auto"/>
        </w:rPr>
        <w:t>Nasdaq symbols</w:t>
      </w:r>
      <w:r>
        <w:rPr>
          <w:sz w:val="20"/>
          <w:szCs w:val="20"/>
          <w:color w:val="auto"/>
        </w:rPr>
        <w:tab/>
      </w:r>
      <w:r>
        <w:rPr>
          <w:rFonts w:ascii="Times New Roman" w:cs="Times New Roman" w:eastAsia="Times New Roman" w:hAnsi="Times New Roman"/>
          <w:sz w:val="17"/>
          <w:szCs w:val="17"/>
          <w:color w:val="auto"/>
        </w:rPr>
        <w:t>Our Class A common stock and public warrants are listed on the Nasdaq under the symbols SMFR and SMFRW, respectively.</w:t>
      </w:r>
    </w:p>
    <w:p>
      <w:pPr>
        <w:spacing w:after="0"/>
        <w:tabs>
          <w:tab w:leader="none" w:pos="4920" w:val="left"/>
        </w:tabs>
        <w:rPr>
          <w:sz w:val="20"/>
          <w:szCs w:val="20"/>
          <w:color w:val="auto"/>
        </w:rPr>
      </w:pPr>
      <w:r>
        <w:rPr>
          <w:rFonts w:ascii="Times New Roman" w:cs="Times New Roman" w:eastAsia="Times New Roman" w:hAnsi="Times New Roman"/>
          <w:sz w:val="18"/>
          <w:szCs w:val="18"/>
          <w:b w:val="1"/>
          <w:bCs w:val="1"/>
          <w:color w:val="auto"/>
        </w:rPr>
        <w:t>Risk factors</w:t>
      </w:r>
      <w:r>
        <w:rPr>
          <w:sz w:val="20"/>
          <w:szCs w:val="20"/>
          <w:color w:val="auto"/>
        </w:rPr>
        <w:tab/>
      </w:r>
      <w:r>
        <w:rPr>
          <w:rFonts w:ascii="Times New Roman" w:cs="Times New Roman" w:eastAsia="Times New Roman" w:hAnsi="Times New Roman"/>
          <w:sz w:val="17"/>
          <w:szCs w:val="17"/>
          <w:color w:val="auto"/>
        </w:rPr>
        <w:t>Investing in our securities involves a high degree of risk. Before</w:t>
      </w:r>
    </w:p>
    <w:p>
      <w:pPr>
        <w:ind w:left="4940"/>
        <w:spacing w:after="0" w:line="203" w:lineRule="auto"/>
        <w:rPr>
          <w:sz w:val="20"/>
          <w:szCs w:val="20"/>
          <w:color w:val="auto"/>
        </w:rPr>
      </w:pPr>
      <w:r>
        <w:rPr>
          <w:rFonts w:ascii="Times New Roman" w:cs="Times New Roman" w:eastAsia="Times New Roman" w:hAnsi="Times New Roman"/>
          <w:sz w:val="18"/>
          <w:szCs w:val="18"/>
          <w:color w:val="auto"/>
        </w:rPr>
        <w:t>buying any of our securities, you should carefully read the</w:t>
      </w:r>
    </w:p>
    <w:p>
      <w:pPr>
        <w:ind w:left="4940"/>
        <w:spacing w:after="0" w:line="216" w:lineRule="auto"/>
        <w:rPr>
          <w:sz w:val="20"/>
          <w:szCs w:val="20"/>
          <w:color w:val="auto"/>
        </w:rPr>
      </w:pPr>
      <w:r>
        <w:rPr>
          <w:rFonts w:ascii="Times New Roman" w:cs="Times New Roman" w:eastAsia="Times New Roman" w:hAnsi="Times New Roman"/>
          <w:sz w:val="17"/>
          <w:szCs w:val="17"/>
          <w:color w:val="auto"/>
        </w:rPr>
        <w:t>discussion of material risks of investing in our securities. Please see</w:t>
      </w:r>
    </w:p>
    <w:p>
      <w:pPr>
        <w:ind w:left="4940"/>
        <w:spacing w:after="0" w:line="219" w:lineRule="auto"/>
        <w:rPr>
          <w:sz w:val="20"/>
          <w:szCs w:val="20"/>
          <w:color w:val="auto"/>
        </w:rPr>
      </w:pPr>
      <w:r>
        <w:rPr>
          <w:rFonts w:ascii="Times New Roman" w:cs="Times New Roman" w:eastAsia="Times New Roman" w:hAnsi="Times New Roman"/>
          <w:sz w:val="18"/>
          <w:szCs w:val="18"/>
          <w:color w:val="auto"/>
        </w:rPr>
        <w:t>the section entitled “Risk Factors” beginning on page 9 of this</w:t>
      </w:r>
    </w:p>
    <w:p>
      <w:pPr>
        <w:ind w:left="4940"/>
        <w:spacing w:after="0" w:line="203" w:lineRule="auto"/>
        <w:rPr>
          <w:sz w:val="20"/>
          <w:szCs w:val="20"/>
          <w:color w:val="auto"/>
        </w:rPr>
      </w:pPr>
      <w:r>
        <w:rPr>
          <w:rFonts w:ascii="Times New Roman" w:cs="Times New Roman" w:eastAsia="Times New Roman" w:hAnsi="Times New Roman"/>
          <w:sz w:val="18"/>
          <w:szCs w:val="18"/>
          <w:color w:val="auto"/>
        </w:rPr>
        <w:t>prospectus, as well as well as the sections entitled “Risk Factors”</w:t>
      </w:r>
    </w:p>
    <w:p>
      <w:pPr>
        <w:ind w:left="4940"/>
        <w:spacing w:after="0" w:line="204" w:lineRule="auto"/>
        <w:rPr>
          <w:sz w:val="20"/>
          <w:szCs w:val="20"/>
          <w:color w:val="auto"/>
        </w:rPr>
      </w:pPr>
      <w:r>
        <w:rPr>
          <w:rFonts w:ascii="Times New Roman" w:cs="Times New Roman" w:eastAsia="Times New Roman" w:hAnsi="Times New Roman"/>
          <w:sz w:val="18"/>
          <w:szCs w:val="18"/>
          <w:color w:val="auto"/>
        </w:rPr>
        <w:t>beginning on page 30 of our Annual Report on Form 10-K for the</w:t>
      </w:r>
    </w:p>
    <w:p>
      <w:pPr>
        <w:ind w:left="4940"/>
        <w:spacing w:after="0" w:line="219" w:lineRule="auto"/>
        <w:rPr>
          <w:sz w:val="20"/>
          <w:szCs w:val="20"/>
          <w:color w:val="auto"/>
        </w:rPr>
      </w:pPr>
      <w:r>
        <w:rPr>
          <w:rFonts w:ascii="Times New Roman" w:cs="Times New Roman" w:eastAsia="Times New Roman" w:hAnsi="Times New Roman"/>
          <w:sz w:val="18"/>
          <w:szCs w:val="18"/>
          <w:color w:val="auto"/>
        </w:rPr>
        <w:t>year ended December 31, 2021, beginning on page 46 of our</w:t>
      </w:r>
    </w:p>
    <w:p>
      <w:pPr>
        <w:ind w:left="4940"/>
        <w:spacing w:after="0" w:line="204" w:lineRule="auto"/>
        <w:rPr>
          <w:sz w:val="20"/>
          <w:szCs w:val="20"/>
          <w:color w:val="auto"/>
        </w:rPr>
      </w:pPr>
      <w:r>
        <w:rPr>
          <w:rFonts w:ascii="Times New Roman" w:cs="Times New Roman" w:eastAsia="Times New Roman" w:hAnsi="Times New Roman"/>
          <w:sz w:val="18"/>
          <w:szCs w:val="18"/>
          <w:color w:val="auto"/>
        </w:rPr>
        <w:t>Quarterly Report on Form 10-Q for the quarter ended March 31,</w:t>
      </w:r>
    </w:p>
    <w:p>
      <w:pPr>
        <w:ind w:left="4940"/>
        <w:spacing w:after="0" w:line="203" w:lineRule="auto"/>
        <w:rPr>
          <w:sz w:val="20"/>
          <w:szCs w:val="20"/>
          <w:color w:val="auto"/>
        </w:rPr>
      </w:pPr>
      <w:r>
        <w:rPr>
          <w:rFonts w:ascii="Times New Roman" w:cs="Times New Roman" w:eastAsia="Times New Roman" w:hAnsi="Times New Roman"/>
          <w:sz w:val="18"/>
          <w:szCs w:val="18"/>
          <w:color w:val="auto"/>
        </w:rPr>
        <w:t>2022 and beginning on page 60 of our Quarterly Report on Form</w:t>
      </w:r>
    </w:p>
    <w:p>
      <w:pPr>
        <w:ind w:left="4940"/>
        <w:spacing w:after="0" w:line="219" w:lineRule="auto"/>
        <w:rPr>
          <w:sz w:val="20"/>
          <w:szCs w:val="20"/>
          <w:color w:val="auto"/>
        </w:rPr>
      </w:pPr>
      <w:r>
        <w:rPr>
          <w:rFonts w:ascii="Times New Roman" w:cs="Times New Roman" w:eastAsia="Times New Roman" w:hAnsi="Times New Roman"/>
          <w:sz w:val="18"/>
          <w:szCs w:val="18"/>
          <w:color w:val="auto"/>
        </w:rPr>
        <w:t>10-Q for the quarter ended June 30, 2022, which reports are</w:t>
      </w:r>
    </w:p>
    <w:p>
      <w:pPr>
        <w:spacing w:after="0" w:line="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incorporated by reference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9820"/>
          </w:cols>
          <w:pgMar w:left="1020" w:top="1440" w:right="1059" w:bottom="1440" w:gutter="0" w:footer="0" w:header="0"/>
        </w:sectPr>
      </w:pPr>
    </w:p>
    <w:bookmarkStart w:id="11" w:name="page12"/>
    <w:bookmarkEnd w:id="11"/>
    <w:p>
      <w:pPr>
        <w:spacing w:after="0" w:line="13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 investment in our securities involves a high degree of risk. You should consider the risk factors described in the “Risk Factors” sections of our Annual Report on Form 10-K for the fiscal year ended December 31, 2021, our Quarterly Report on Form 10-Q for the quarter ended March 31, 2022 and our Quarterly Report on Form 10-Q for the quarter ended June 30, 2022, which reports are incorporated herein by reference, in addition to the factors set forth below and other information contained in or incorporated by reference in this prospectus or in any prospectus supplement or post-effective amendment, if required, before purchasing any of our Class A common stock or warrants. We may face additional risks and uncertainties that are not presently known to us, or that we currently deem immaterial, which may also impair our business or financial condition. See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Incorporation by Reference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resales of our Class A common stock could cause the market price of our Class A common stock to drop significantly, even if our business is doing well.</w:t>
      </w:r>
    </w:p>
    <w:p>
      <w:pPr>
        <w:spacing w:after="0" w:line="10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 the public market could occur at any time. These sales, or the perception in the market that the holders of a large number of shares intend to sell shares, could reduce the market price of our Class A common stock.</w:t>
      </w:r>
    </w:p>
    <w:p>
      <w:pPr>
        <w:spacing w:after="0" w:line="10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had outstanding 380,641,510 shares of Class A common stock as of August 9, 2022. The registration statement to which this prospectus relates registers the offer and sale from time to time by the Selling Securityholders of up to 356,524,688 shares of our Class A common stock, although the 110,864,198 shares registered on behalf of OPKO will be subject to transfer restrictions pursuant to the Shareholder Agreements. To the extent shares are sold into the market pursuant to this prospectus, under Rule 144 under the Securities Act or otherwise, particularly in substantial quantities and including following the end of the transfer restrictions provided for in the Shareholder Agreements in the case of OPKO and the other Lock-Up Holders, the market price of our Class A common stock could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1440" w:right="459" w:bottom="1440" w:gutter="0" w:footer="0" w:header="0"/>
        </w:sectPr>
      </w:pPr>
    </w:p>
    <w:bookmarkStart w:id="12" w:name="page13"/>
    <w:bookmarkEnd w:id="12"/>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Certain matters discussed in this prospectus and the documents incorporated by reference in this prospectus may constitute forward-looking statements for purposes of the Securities Act of 1933, as amended (the “Securities Act”), and the Securities Exchange Act of 1934, as amended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in the section entitled “</w:t>
      </w:r>
      <w:r>
        <w:rPr>
          <w:rFonts w:ascii="Times New Roman" w:cs="Times New Roman" w:eastAsia="Times New Roman" w:hAnsi="Times New Roman"/>
          <w:sz w:val="18"/>
          <w:szCs w:val="18"/>
          <w:i w:val="1"/>
          <w:iCs w:val="1"/>
          <w:u w:val="single" w:color="auto"/>
          <w:color w:val="0000FF"/>
        </w:rPr>
        <w:t>Risk Factors</w:t>
      </w:r>
      <w:r>
        <w:rPr>
          <w:rFonts w:ascii="Times New Roman" w:cs="Times New Roman" w:eastAsia="Times New Roman" w:hAnsi="Times New Roman"/>
          <w:sz w:val="18"/>
          <w:szCs w:val="18"/>
          <w:color w:val="auto"/>
        </w:rPr>
        <w:t>,” and elsewhere in this prospectus and the documents incorporated by reference herein, where such forward-looking statements appear. All written or oral forward-looking statements attributable to us are expressly qualified in their entirety by these cautionary statements. Such forward-looking statements include, but are not limited to, statements about:</w:t>
      </w:r>
    </w:p>
    <w:p>
      <w:pPr>
        <w:spacing w:after="0" w:line="134" w:lineRule="exact"/>
        <w:rPr>
          <w:sz w:val="20"/>
          <w:szCs w:val="20"/>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benefits expected from the Acquisition and the other transactions contemplated by the Acquisition Merger Agreement and the related Acquisition PIPE Investment;</w:t>
      </w:r>
    </w:p>
    <w:p>
      <w:pPr>
        <w:spacing w:after="0" w:line="107" w:lineRule="exact"/>
        <w:rPr>
          <w:rFonts w:ascii="Times New Roman" w:cs="Times New Roman" w:eastAsia="Times New Roman" w:hAnsi="Times New Roman"/>
          <w:sz w:val="18"/>
          <w:szCs w:val="18"/>
          <w:color w:val="auto"/>
        </w:rPr>
      </w:pPr>
    </w:p>
    <w:p>
      <w:pPr>
        <w:ind w:left="660" w:right="9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sufficiency of our existing capital resources combined with future anticipated cash flows to finance our operating requirements;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losses;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incurring capital expenditures;</w:t>
      </w:r>
    </w:p>
    <w:p>
      <w:pPr>
        <w:spacing w:after="0" w:line="17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circumstances or other disruptions to normal business operations, including supply chain interruptions and manufacturing constraints, arising from or related to the ongoing COVID-19 pandemic;</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plans to exit out somatic tumor testing business and the associated cost savings and impact on our gross margins;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generating revenue or becoming profitable on a sustained basis;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or ability to enter into service, collaboration and other partnership agreements;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or ability to build our own commercial infrastructure to scale market and sell our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or authorizations by the U.S. Food and Drug Administration (the “FDA”) or other regulatory authorities;</w:t>
      </w:r>
    </w:p>
    <w:p>
      <w:pPr>
        <w:spacing w:after="0" w:line="17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governmental regulation and other legal obligations, including privacy, data protection, information security, consumer protection, and anti-corruption and anti-bribery;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for our product candidates;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against existing and emerging technologies;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and its volatility;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payor reimbursement and coverage decisions, negotiations and settlements;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laboratories and service providers for our test volume in connection with our diagnostic solutions and data programs;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satisfy Nasdaq listing rules;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future capital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20"/>
          </w:cols>
          <w:pgMar w:left="320" w:top="1440" w:right="359" w:bottom="1440" w:gutter="0" w:footer="0" w:header="0"/>
        </w:sectPr>
      </w:pPr>
    </w:p>
    <w:bookmarkStart w:id="13" w:name="page14"/>
    <w:bookmarkEnd w:id="13"/>
    <w:p>
      <w:pPr>
        <w:ind w:left="660" w:right="44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accounting estimates, including the adequacy of our reserves for third party payor claims and our estimates of the fair value of milestone payments related to the Acquisition;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business strategy; and</w:t>
      </w:r>
    </w:p>
    <w:p>
      <w:pPr>
        <w:spacing w:after="0" w:line="16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detailed under the section entitled “</w:t>
      </w:r>
      <w:r>
        <w:rPr>
          <w:rFonts w:ascii="Times New Roman" w:cs="Times New Roman" w:eastAsia="Times New Roman" w:hAnsi="Times New Roman"/>
          <w:sz w:val="18"/>
          <w:szCs w:val="18"/>
          <w:i w:val="1"/>
          <w:iCs w:val="1"/>
          <w:u w:val="single" w:color="auto"/>
          <w:color w:val="0000FF"/>
        </w:rPr>
        <w:t>Risk Factors</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forward-looking statements contained in this prospectus and the documents incorporated by reference herein reflect our views and assumptions only as of the date of this prospectus or such document, as applicable. Except as required by law, we assume no responsibility for updating any forward-looking statements.</w:t>
      </w:r>
    </w:p>
    <w:p>
      <w:pPr>
        <w:spacing w:after="0" w:line="12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00"/>
          </w:cols>
          <w:pgMar w:left="320" w:top="1417" w:right="379" w:bottom="1440" w:gutter="0" w:footer="0" w:header="0"/>
        </w:sectPr>
      </w:pPr>
    </w:p>
    <w:bookmarkStart w:id="14" w:name="page15"/>
    <w:bookmarkEnd w:id="14"/>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7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All of the securities offered by the Selling Securityholders pursuant to this prospectus will be sold by the Selling Securityholders for their respective accounts. We will not receive any of the proceeds from these sales.</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Assuming the exercise of all outstanding warrants for cash, we will receive an aggregate of approximately $252.9 million, but will not receive any proceeds from the sale of the shares of Class A common stock issuable upon such exercise. We expect to use the net proceeds from the exercise of the warrants, if any, for investment in growth, and general corporate purposes. We will have broad discretion over the use of any proceeds from the exercise of the warrants. There is no assurance that the holders of the warrants will elect to exercise for cash any or all of such warrants. To the extent that any warrants are exercised on a “cashless basis,” the amount of cash we would receive from the exercise of the warrants will decrease.</w:t>
      </w:r>
    </w:p>
    <w:p>
      <w:pPr>
        <w:spacing w:after="0" w:line="1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Selling Securityholders will pay any underwriting discounts and commissions and expenses incurred by the Selling Securityholders for brokerage, accounting, tax or legal services or any other expenses incurred by the Selling Securityholders in disposing of the securities. We will bear the costs, fees and expenses incurred in effecting the registration of the securities covered by this prospectus, including all registration and filing fees, Nasdaq listing fees and fees and expenses of our counsel and our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440" w:right="339" w:bottom="1440" w:gutter="0" w:footer="0" w:header="0"/>
        </w:sectPr>
      </w:pPr>
    </w:p>
    <w:bookmarkStart w:id="15" w:name="page16"/>
    <w:bookmarkEnd w:id="15"/>
    <w:p>
      <w:pPr>
        <w:spacing w:after="0" w:line="1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175"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The following summary sets forth certain material terms and provisions of our securities. This description also summarizes relevant provisions of the General Corporation Law of Delaware (the “DGCL”). The following description is a summary and does not purport to be a complete description of the rights and preferences of our securities. It is subject to, and qualified in its entirety by reference to, the applicable provisions of the DGCL and our third amended and restated certificate of incorporation, as amended (our “Amended and Restated Certificate of Incorporation”), our restated bylaws (our “Bylaws”), and the warrant agreement governing our warrants (the “warrant agreement”), each of which is incorporated by reference as an exhibit to the registration statement of which this prospectus forms a part. We encourage you to read our Amended and Certificate of Incorporation, our Bylaws, the warrant agreement and the applicable provisions of the DGCL for additional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and Outstanding Stock</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the issuance of 1,000,000,000 shares of Class A common stock, $0.0001 par value per share, and 1,000,000 shares of preferred stock, $0.0001 par value per share. As of June 30, 2022, there were 379,896,799 shares of our Class A common stock outstanding, no shares of preferred stock outstanding and 21,994,972 warrants outstanding. The outstanding shares of our Class A common stock are duly authorized, validly issued, fully paid and non-assessable.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7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each share of our Class A common stock has the same relative rights and is identical in all respects to each other share of our Class A common stock. The rights, preferences and privileges of holders of our Class A common stock are subject to the rights, preferences and privileges of the holders of shares of any series of preferred stock that we have issued or may issue in the future.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Power</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Except as otherwise required by law or as otherwise provided in any certificate of designation for any series of preferred stock, or under our Amended and Restated Certificate of Incorporation, the holders of Class A common stock possess all voting power for the election of our directors and all other matters requiring stockholder action and are entitled to one vote per share on matters to be voted on by stockholders. The holders of Class A common stock shall at all times vote together as one class on all matters submitted to a vote of the holders of Class A common stock under our Amended and Restated Certificate of Incorporation.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Subject to the rights, if any of the holders of any outstanding shares of preferred stock, under our Amended and Restated Certificate of Incorporation, holders of Class A common stock are entitled to receive such dividends and other distributions, if any, as may be declared from time to time by our board of directors (the “Board”) in its discretion out of funds legally available therefor and shall share equally on a per share basis in such dividends and distributions.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Dissolution and Winding Up</w:t>
      </w:r>
    </w:p>
    <w:p>
      <w:pPr>
        <w:spacing w:after="0" w:line="175"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In the event of the voluntary or involuntary liquidation, dissolution or winding-up of the Company, under our Amended and Restated Certificate of Incorporation, holders of Class A common stock will be entitled to receive all the remaining assets of the Company available for distribution to stockholders, ratably in proportion to the number of shares of Class A common stock held by them, after the rights of the holders of the preferred stock have been satisfied.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Preemptive or Other Rights</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Under our Amended and Restated Certificate of Incorporation, our stockholders have no preemptive or other subscription rights and there are no sinking fund or redemption provisions applicable to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00"/>
          </w:cols>
          <w:pgMar w:left="320" w:top="1440"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Election of Directors</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for a classified board of directors with staggered three-year terms, consisting of the three classes: Class I, Class II and Class III. The term of the Class I Directors will expire at our 2025 annual meeting of the stockholders, the term of the Class II Directors will expire at our 2023 annual meeting of the stockholders and the term of the Class III Directors will expire at our 2024 annual meeting of the stockholders.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shares of preferred stock may be issued from time to time in one or more series. Our Board is authorized to fix the voting rights, if any, designations, powers, preferences and relative, participating, optional, special and other rights, if any, and any qualifications, limitations and restrictions thereof, applicable to the shares of each series. Our Board is able, without stockholder approval, to issue preferred stock with voting and other rights that could adversely affect the voting power and other rights of the holders of the Class A common stock and could have anti-takeover effects. The ability of our Board to issue preferred stock without stockholder approval could have the effect of delaying, deferring or preventing a change of control of us or the removal of existing management. We have no preferred stock outstanding at the date hereof. Although we do not currently intend to issue any shares of preferred stock, we cannot assure you that we will not do so in the future.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Each whole public warrant entitles the registered holder to purchase one share of our Class A common stock at a price of $11.50 per whole share, subject to adjustment as discussed below, at any time commencing on September 4, 2021. Pursuant to the warrant agreement, a warrant holder may exercise its public warrants only for a whole number of shares of Class A common stock. This means that only a whole public warrant may be exercised at any given time by a warrant holder. No fractional public warrants will be issued upon separation of the units and only whole public warrants will trade. The public warrants will expire September 4, 2026, at 5:00 p.m., New York City time, or earlier upon redemption or liquidation.</w:t>
      </w:r>
    </w:p>
    <w:p>
      <w:pPr>
        <w:spacing w:after="0" w:line="1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not obligated to deliver any shares of Class A common stock pursuant to the exercise of a public warrant and will have no obligation to settle such public warrant exercise unless a registration statement under the Securities Act of 1933, as amended (the “Securities Act”), with respect to the shares of Class A common stock underlying the public warrants is then effective and a prospectus relating thereto is current, subject to our satisfying our obligations described below with respect to registration. No public warrant will be exercisable for cash or on a cashless basis, and we will not be obligated to issue any shares to holders seeking to exercise their public warrants, unless the issuance of the shares upon such exercise is registered or qualified under the securities laws of the state of the exercising holder, or an exemption is available. In the event that the conditions in the two immediately preceding sentences are not satisfied with respect to a public warrant, the holder of such public warrant will not be entitled to exercise such public warrant and such public warrant may have no value and expire worthless.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Redemption of Warrants When the Price per Share of Class A Common Stock Equals or Exceeds $18.00 - </w:t>
      </w:r>
      <w:r>
        <w:rPr>
          <w:rFonts w:ascii="Times New Roman" w:cs="Times New Roman" w:eastAsia="Times New Roman" w:hAnsi="Times New Roman"/>
          <w:sz w:val="18"/>
          <w:szCs w:val="18"/>
          <w:color w:val="auto"/>
        </w:rPr>
        <w:t>We may redeem the outstanding public warrants:</w:t>
      </w:r>
    </w:p>
    <w:p>
      <w:pPr>
        <w:spacing w:after="0" w:line="173"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public warrant;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 and</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Class A common stock equals or exceeds $18.00 per share (as adjusted) for any 20 trading days within a 30-trading day period ending three trading days before sending the notice of redemption to warrant holders (the “Reference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413" w:right="339" w:bottom="1440" w:gutter="0" w:footer="0" w:header="0"/>
        </w:sectPr>
      </w:pPr>
    </w:p>
    <w:bookmarkStart w:id="17" w:name="page18"/>
    <w:bookmarkEnd w:id="17"/>
    <w:p>
      <w:pPr>
        <w:ind w:right="600"/>
        <w:spacing w:after="0" w:line="282" w:lineRule="auto"/>
        <w:rPr>
          <w:sz w:val="20"/>
          <w:szCs w:val="20"/>
          <w:color w:val="auto"/>
        </w:rPr>
      </w:pPr>
      <w:r>
        <w:rPr>
          <w:rFonts w:ascii="Times New Roman" w:cs="Times New Roman" w:eastAsia="Times New Roman" w:hAnsi="Times New Roman"/>
          <w:sz w:val="18"/>
          <w:szCs w:val="18"/>
          <w:color w:val="auto"/>
        </w:rPr>
        <w:t>If and when the warrants become redeemable by us, we may exercise its redemption right even if we are unable to register or qualify the underlying securities for sale under all applicable state securities laws.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Redemption of Warrants When the Price per Share of Class A Common Stock Equals or Exceeds $10.00 </w:t>
      </w:r>
      <w:r>
        <w:rPr>
          <w:rFonts w:ascii="Times New Roman" w:cs="Times New Roman" w:eastAsia="Times New Roman" w:hAnsi="Times New Roman"/>
          <w:sz w:val="18"/>
          <w:szCs w:val="18"/>
          <w:color w:val="auto"/>
        </w:rPr>
        <w:t>- We may redeem the outstanding warrants:</w:t>
      </w:r>
    </w:p>
    <w:p>
      <w:pPr>
        <w:spacing w:after="0" w:line="173"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71" w:lineRule="exact"/>
        <w:rPr>
          <w:rFonts w:ascii="Times New Roman" w:cs="Times New Roman" w:eastAsia="Times New Roman" w:hAnsi="Times New Roman"/>
          <w:sz w:val="18"/>
          <w:szCs w:val="18"/>
          <w:color w:val="auto"/>
        </w:rPr>
      </w:pPr>
    </w:p>
    <w:p>
      <w:pPr>
        <w:jc w:val="both"/>
        <w:ind w:left="660" w:right="20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$0.10 per warrant upon a minimum of 30 days’ prior written notice of redemption provided that holders will be able to exercise their warrants on a cashless basis prior to redemption and receive that number of shares based on the redemption date and the fair market value of the Class A common stock;</w:t>
      </w:r>
    </w:p>
    <w:p>
      <w:pPr>
        <w:spacing w:after="0" w:line="12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Class A common stock equals or exceeds $10.00 per share (as adjusted) for any 20 trading days within the 30-trading day period ending three trading days before we send the notice of redemption to the warrant holders; and</w:t>
      </w:r>
    </w:p>
    <w:p>
      <w:pPr>
        <w:spacing w:after="0" w:line="107"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closing price of the Class A common stock for any 20 trading days within a 30-trading day period ending three trading days before we send notice of redemption to the warrant holders is less than $18.00 per share (as adjusted), the private placement warrants must also be concurrently called for redemption on the same terms as the outstanding public warrants, as described above.</w:t>
      </w:r>
    </w:p>
    <w:p>
      <w:pPr>
        <w:spacing w:after="0" w:line="122" w:lineRule="exact"/>
        <w:rPr>
          <w:sz w:val="20"/>
          <w:szCs w:val="20"/>
          <w:color w:val="auto"/>
        </w:rPr>
      </w:pPr>
    </w:p>
    <w:p>
      <w:pPr>
        <w:jc w:val="both"/>
        <w:ind w:right="320"/>
        <w:spacing w:after="0" w:line="261" w:lineRule="auto"/>
        <w:rPr>
          <w:sz w:val="20"/>
          <w:szCs w:val="20"/>
          <w:color w:val="auto"/>
        </w:rPr>
      </w:pPr>
      <w:r>
        <w:rPr>
          <w:rFonts w:ascii="Times New Roman" w:cs="Times New Roman" w:eastAsia="Times New Roman" w:hAnsi="Times New Roman"/>
          <w:sz w:val="18"/>
          <w:szCs w:val="18"/>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public warrants, each warrant holder will be entitled to exercise his, her or its public warrant prior to the scheduled redemption date. However, the price of the Class A common stock may fall below the $18.00 redemption trigger price as well as the $11.50 warrant exercise price after the redemption notice is issued.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procedures and cashless exercise.</w:t>
      </w:r>
    </w:p>
    <w:p>
      <w:pPr>
        <w:spacing w:after="0" w:line="17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If we call the public warrants for redemption as described above, our management will have the option to require any holder that wishes to exercise his, her or its public warrant to do so on a “cashless basis.” In determining whether to require all holders to exercise their public warrants on a “cashless basis,” our management will consider, among other factors, our cash position, the number of public warrants that are outstanding and the dilutive effect on our stockholders of issuing the maximum number of shares of Class A common stock issuable upon the exercise of our public warrants. If our management takes advantage of this option, all holders of public warrants would pay the exercise price by surrendering their public warrants for that number of shares of Class A common stock equal to the quotient obtained by dividing (i) the product of the number of shares of Class A common stock underlying the public warrants, multiplied by the difference between the exercise price of the public warrants and the “fair market value” (defined below) by (ii) the fair market value. The “fair market value” shall mean the average reported last sale price of the Class A common stock for the 10 trading days ending on the third trading day prior to the date on which the notice of redemption is sent to the holders of public warrants. If our management takes advantage of this option, the notice of redemption will contain the information necessary to calculate the number of shares of Class A common stock to be received upon exercise of the public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public warrants. If we call our public warrants for redemption and our management does not take advantage of this option, the Former Sponsor and its permitted transferees would still be entitled to exercise their private placement warrants for cash or on a cashless basis using the same formula described above that other warrant holders would have been required to use had all warrant holders been required to exercise their public warrants on a cashless basis, as described in more detail below.</w:t>
      </w:r>
    </w:p>
    <w:p>
      <w:pPr>
        <w:spacing w:after="0" w:line="14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 holder of a public warrant may notify us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417" w:right="339" w:bottom="1440" w:gutter="0" w:footer="0" w:header="0"/>
        </w:sectPr>
      </w:pPr>
    </w:p>
    <w:bookmarkStart w:id="18" w:name="page19"/>
    <w:bookmarkEnd w:id="18"/>
    <w:p>
      <w:pPr>
        <w:ind w:right="220"/>
        <w:spacing w:after="0" w:line="282" w:lineRule="auto"/>
        <w:rPr>
          <w:sz w:val="20"/>
          <w:szCs w:val="20"/>
          <w:color w:val="auto"/>
        </w:rPr>
      </w:pPr>
      <w:r>
        <w:rPr>
          <w:rFonts w:ascii="Times New Roman" w:cs="Times New Roman" w:eastAsia="Times New Roman" w:hAnsi="Times New Roman"/>
          <w:sz w:val="18"/>
          <w:szCs w:val="18"/>
          <w:color w:val="auto"/>
        </w:rPr>
        <w:t>beneficially own in excess of 9.8% (or such other amount as a holder may specify) of the shares of Class A common stock outstanding immediately after giving effect to such exercise.</w:t>
      </w:r>
    </w:p>
    <w:p>
      <w:pPr>
        <w:spacing w:after="0" w:line="10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Anti-dilution Adjustments. </w:t>
      </w:r>
      <w:r>
        <w:rPr>
          <w:rFonts w:ascii="Times New Roman" w:cs="Times New Roman" w:eastAsia="Times New Roman" w:hAnsi="Times New Roman"/>
          <w:sz w:val="18"/>
          <w:szCs w:val="18"/>
          <w:color w:val="auto"/>
        </w:rPr>
        <w:t>If the number of outstanding shares of Class A common stock is increased by a stock dividend payable in shares of Class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or by a split-up of shares of Class A common stock or other similar event, then, on the effective date of such stock dividend, split-up or similar event, the number of shares of Class A common stock issuable on exercise of each public warrant will be increased in proportion to such increase in the outstanding shares of Class A common stock. A rights offering to holders of Class A common stock entitling holders to purchase shares of Class A common stock at a price less than the fair market value will be deemed a stock dividend of a number of shares of Class A common stock equal to the product of (i) the number of shares of Class A common stock actually sold in such rights offering (or issuable under any other equity securities sold in such rights offering that are convertible into or exercisable for Class A common stock) multiplied by (ii) one minus the quotient of (a) the price per share of Class A common stock paid in such rights offering divided by (b) the fair market value. For these purposes (1) if the rights offering is for securities convertible into or exercisable for Class A common stock, in determining the price payable for Class A common stock, there will be taken into account any consideration received for such rights, as well as any additional amount payable upon exercise or conversion and (2) fair market value means the volume weighted average price of Class A common stock as reported during the 10 trading day period ending on the trading day prior to the first date on which the shares of Class A common stock trade on the applicable exchange or in the applicable market, regular way, without the right to receive such rights.</w:t>
      </w:r>
    </w:p>
    <w:p>
      <w:pPr>
        <w:spacing w:after="0" w:line="13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if we, at any time while the public warrants are outstanding and unexpired, pay a dividend or make a distribution in cash, securities or other assets to the holders of Class A common stock on account of such shares of Class A common stock (or other shares of our capital stock into which the public warrants are convertible), other than (i) as described above; or (ii) certain ordinary cash dividends, then the warrant exercise price will be decreased, effective immediately after the effective date of such event, by the amount of cash and/or the fair market value of any securities or other assets paid on each share of Class A common stock in respect of such event.</w:t>
      </w:r>
    </w:p>
    <w:p>
      <w:pPr>
        <w:spacing w:after="0" w:line="1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the number of outstanding shares of our Class A common stock is decreased by a consolidation, combination, reverse stock split or reclassification of shares of Class A common stock or other similar event, then, on the effective date of such consolidation, combination, reverse stock split, reclassification or similar event, the number of shares of Class A common stock issuable on exercise of each public warrant will be decreased in proportion to such decrease in outstanding shares of Class A common stock.</w:t>
      </w:r>
    </w:p>
    <w:p>
      <w:pPr>
        <w:spacing w:after="0" w:line="12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Whenever the number of shares of Class A common stock purchasable upon the exercise of the public warrants is adjusted, as described above, the warrant exercise price will be adjusted by multiplying the warrant exercise price immediately prior to such adjustment by a fraction (x) the numerator of which will be the number of shares of Class A common stock purchasable upon the exercise of the public warrants immediately prior to such adjustment, and (y) the denominator of which will be the number of shares of Class A common stock so purchasable immediately thereafter.</w:t>
      </w:r>
    </w:p>
    <w:p>
      <w:pPr>
        <w:spacing w:after="0" w:line="126"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shares of Class A common stock (other than those described above or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our outstanding shares of Class A common stock), or in the case of any sale or conveyance to another corporation or entity of the assets or other property of us as an entirety or substantially as an entirety in connection with which we are dissolved, the holders of the public warrants will thereafter have the right to purchase and receive, upon the basis and upon the terms and conditions specified in the public warrants and in lieu of the shares of our Class A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Additionally, if less than 70% of the consideration receivable by the holders of Class A common stock in such a transaction is payable in the form of common stock in the successor entity that is listed for trading on a national securities exchange or is quoted in an established over-the-counter market, or is to be so listed for trading or quoted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417" w:right="339" w:bottom="1440" w:gutter="0" w:footer="0" w:header="0"/>
        </w:sectPr>
      </w:pPr>
    </w:p>
    <w:bookmarkStart w:id="19" w:name="page20"/>
    <w:bookmarkEnd w:id="19"/>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immediately following such event, and if the registered holder of the public warrant properly exercises the public warrant within 30 days following public disclosure of such transaction, the warrant exercise price will be reduced as specified in the warrant agreement based on the per share consideration minus Black-Scholes Warrant Value (as defined in the warrant agreement) of the public warrant.</w:t>
      </w:r>
    </w:p>
    <w:p>
      <w:pPr>
        <w:spacing w:after="0" w:line="12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public warrants have been issued in registered form under a warrant agreement between Continental Stock Transfer &amp; Trust Company, as warrant agent, and us. You should review a copy of the warrant agreement, which is filed as an exhibit to the registration statement of which this prospectus forms a part, for a complete description of the terms and conditions applicable to the public warrants. The warrant agreement provides that the terms of the public warrants may be amended without the consent of any holder to cure any ambiguity or correct any defective provision, but requires the approval by the holders of at least 50% of the then outstanding public warrants to make any change that adversely affects the interests of the registered holders of public warrants.</w:t>
      </w:r>
    </w:p>
    <w:p>
      <w:pPr>
        <w:spacing w:after="0" w:line="13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public warrants being exercised. The warrant holders do not have the rights or privileges of holders of Class A common stock and any voting rights until they exercise their public warrants and receive shares of Class A common stock. After the issuance of shares of Class A common stock upon exercise of the public warrants, each holder will be entitled to one vote for each share held of record on all matters to be voted on by stockholders.</w:t>
      </w:r>
    </w:p>
    <w:p>
      <w:pPr>
        <w:spacing w:after="0" w:line="13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Warrants may be exercised only for a whole number of shares of Class A common stock. No fractional shares will be issued upon exercise of the public warrants. If, upon exercise of the public warrants, a holder would be entitled to receive a fractional interest in a share, we will, upon exercise, round down to the nearest whole number the number of shares of Class A common stock to be issued to the warrant holder. As a result, warrant holders not purchasing public warrants in multiples of three warrants will not obtain value from the fractional interest that will not be issued.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private placement warrants are identical to the public warrants, except that (1) the private placement warrants are exercisable on a cashless basis, (2) the private placement warrants are non-redeemable (except as described above in “Redemption of Warrants When the Price per Share of Class A Common Stock Equals or Exceeds $10.00”) so long as they are held by the initial purchasers or their permitted transferees, and (3) the holders of the private placement warrants and the Class A common stock issuable upon the exercise of the private placement warrants have certain registration rights. If the private placement warrants are held by someone other than the initial purchasers or their permitted transferees, the private placement warrants are redeemable by us and exercisable by such holders on the same basis as the public warrants.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have not paid any cash dividends on our Class A common stock to date and do not intend to pay cash dividends. The payment of cash dividends in the future will be dependent upon our revenues and earnings, if any, capital requirements and general financial condition. The payment of any cash dividends will be within the discretion of our Board at such time. In addition, our Board is not currently contemplating and does not anticipate declaring any stock dividends in the foreseeable future. Further, if we incur any indebtedness, our ability to declare dividends may be limited by restrictive covenants we may agree to in connection therewith.</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Warrant Agent</w:t>
      </w:r>
    </w:p>
    <w:p>
      <w:pPr>
        <w:spacing w:after="0" w:line="175" w:lineRule="exact"/>
        <w:rPr>
          <w:sz w:val="20"/>
          <w:szCs w:val="20"/>
          <w:color w:val="auto"/>
        </w:rPr>
      </w:pPr>
    </w:p>
    <w:p>
      <w:pPr>
        <w:jc w:val="both"/>
        <w:ind w:right="200"/>
        <w:spacing w:after="0" w:line="289" w:lineRule="auto"/>
        <w:rPr>
          <w:sz w:val="20"/>
          <w:szCs w:val="20"/>
          <w:color w:val="auto"/>
        </w:rPr>
      </w:pPr>
      <w:r>
        <w:rPr>
          <w:rFonts w:ascii="Times New Roman" w:cs="Times New Roman" w:eastAsia="Times New Roman" w:hAnsi="Times New Roman"/>
          <w:sz w:val="17"/>
          <w:szCs w:val="17"/>
          <w:color w:val="auto"/>
        </w:rPr>
        <w:t>The transfer agent for our Class A common stock and warrant agent for our warrants is Continental Stock Transfer &amp; Trust Company. We have agreed to indemnify Continental Stock Transfer &amp; Trust Company in its roles as transfer agent and warrant agent, its agents and each of its stockholders, directors, officers and employees against all liabilities, including judgments, costs and reasonable counsel fees that may arise out of acts performed or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20"/>
          </w:cols>
          <w:pgMar w:left="320" w:top="1417" w:right="359" w:bottom="1440" w:gutter="0" w:footer="0" w:header="0"/>
        </w:sectPr>
      </w:pPr>
    </w:p>
    <w:bookmarkStart w:id="20" w:name="page21"/>
    <w:bookmarkEnd w:id="20"/>
    <w:p>
      <w:pPr>
        <w:ind w:right="300"/>
        <w:spacing w:after="0" w:line="438" w:lineRule="auto"/>
        <w:rPr>
          <w:sz w:val="20"/>
          <w:szCs w:val="20"/>
          <w:color w:val="auto"/>
        </w:rPr>
      </w:pPr>
      <w:r>
        <w:rPr>
          <w:rFonts w:ascii="Times New Roman" w:cs="Times New Roman" w:eastAsia="Times New Roman" w:hAnsi="Times New Roman"/>
          <w:sz w:val="18"/>
          <w:szCs w:val="18"/>
          <w:color w:val="auto"/>
        </w:rPr>
        <w:t xml:space="preserve">for its activities in that capacity, except for any liability due to any gross negligence, willful misconduct or bad faith of the indemnified person or entity. </w:t>
      </w:r>
      <w:r>
        <w:rPr>
          <w:rFonts w:ascii="Times New Roman" w:cs="Times New Roman" w:eastAsia="Times New Roman" w:hAnsi="Times New Roman"/>
          <w:sz w:val="18"/>
          <w:szCs w:val="18"/>
          <w:b w:val="1"/>
          <w:bCs w:val="1"/>
          <w:color w:val="auto"/>
        </w:rPr>
        <w:t>Certain Anti-Takeover Provisions of Delaware Law and Our Amended and Restated Certificate of Incorporation and Bylaws</w:t>
      </w:r>
    </w:p>
    <w:p>
      <w:pPr>
        <w:spacing w:after="0" w:line="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Provisions of the DGCL and our Amended and Restated Certificate of Incorporation could make it more difficult to acquire us by means of a tender offer, a proxy contest or otherwise, or to remove incumbent officers and directors. These provisions, summarized below, are intended to discourage coercive takeover practices and inadequate takeover bids and to encourage persons seeking to acquire control of us to first negotiate with the board of directors. We believe that the benefits of these provisions outweigh the disadvantages of discouraging certain takeover or acquisition proposals because, among other things, negotiation of these proposals could result in an improvement of their terms and enhance the ability of our Board to maximize stockholder value. However, these provisions may delay, deter or prevent a merger or acquisition of us that a stockholder might consider is in its best interest, including those attempts that might result in a premium over the prevailing market price of the Class A common stock.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our Amended and Restated Certificate of Incorporation provide for certain other provisions that may have an anti-takeover effect:</w:t>
      </w:r>
    </w:p>
    <w:p>
      <w:pPr>
        <w:spacing w:after="0" w:line="171"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cumulative voting with respect to the election of directors.</w:t>
      </w:r>
    </w:p>
    <w:p>
      <w:pPr>
        <w:spacing w:after="0" w:line="171"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is empowered to elect a director to fill a vacancy created by the expansion of the Board or the resignation, death, or removal of a director in certain circumstances.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may only be removed from the Board for cause.</w:t>
      </w:r>
    </w:p>
    <w:p>
      <w:pPr>
        <w:spacing w:after="0" w:line="171" w:lineRule="exact"/>
        <w:rPr>
          <w:rFonts w:ascii="Times New Roman" w:cs="Times New Roman" w:eastAsia="Times New Roman" w:hAnsi="Times New Roman"/>
          <w:sz w:val="18"/>
          <w:szCs w:val="18"/>
          <w:color w:val="auto"/>
        </w:rPr>
      </w:pPr>
    </w:p>
    <w:p>
      <w:pPr>
        <w:ind w:left="660" w:right="7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will be classified into three classes of directors. As a result, in most circumstances, a person can gain control of our Board by successfully engaging in a proxy contest at two or more annual meetings.</w:t>
      </w:r>
    </w:p>
    <w:p>
      <w:pPr>
        <w:spacing w:after="0" w:line="107" w:lineRule="exact"/>
        <w:rPr>
          <w:rFonts w:ascii="Times New Roman" w:cs="Times New Roman" w:eastAsia="Times New Roman" w:hAnsi="Times New Roman"/>
          <w:sz w:val="18"/>
          <w:szCs w:val="18"/>
          <w:color w:val="auto"/>
        </w:rPr>
      </w:pPr>
    </w:p>
    <w:p>
      <w:pPr>
        <w:ind w:left="660" w:righ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107" w:lineRule="exact"/>
        <w:rPr>
          <w:rFonts w:ascii="Times New Roman" w:cs="Times New Roman" w:eastAsia="Times New Roman" w:hAnsi="Times New Roman"/>
          <w:sz w:val="18"/>
          <w:szCs w:val="18"/>
          <w:color w:val="auto"/>
        </w:rPr>
      </w:pPr>
    </w:p>
    <w:p>
      <w:pPr>
        <w:ind w:left="660" w:right="80" w:hanging="328"/>
        <w:spacing w:after="0" w:line="312" w:lineRule="auto"/>
        <w:tabs>
          <w:tab w:leader="none" w:pos="65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prohibition on stockholders calling a special meeting and the requirement that a meeting of stockholders may only be called by members of our Board, which may delay the ability of our stockholders to force consideration of a proposal or to take action, including the removal of directors.</w:t>
      </w:r>
    </w:p>
    <w:p>
      <w:pPr>
        <w:spacing w:after="0" w:line="85" w:lineRule="exact"/>
        <w:rPr>
          <w:rFonts w:ascii="Times New Roman" w:cs="Times New Roman" w:eastAsia="Times New Roman" w:hAnsi="Times New Roman"/>
          <w:sz w:val="17"/>
          <w:szCs w:val="17"/>
          <w:color w:val="auto"/>
        </w:rPr>
      </w:pPr>
    </w:p>
    <w:p>
      <w:pPr>
        <w:ind w:left="660" w:right="80" w:hanging="328"/>
        <w:spacing w:after="0" w:line="25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authorized but unissued Class A common stock and preferred stock are available for future issuances without stockholder approval and could be utilized for a variety of corporate purposes, including future offerings to raise additional capital, acquisitions and employee benefit plans. Our Board is entitled, without further stockholder approval, to designate one or more series of preferred stock and the associated voting rights, preferences and privileges of such series of preferred stock. The existence of authorized but unissued and unreserved Class A common stock and preferred stock could render more difficult or discourage an attempt to obtain control of us by means of a proxy contest, tender offer, merger or otherwise.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Forum Selection Clause</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includes a forum selection clause. Our Amended and Restated Certificate of Incorporation provides that, subject to limited exceptions, the Court of Chancery of the State of Delaware and federal court within the State of Delaware will be exclusive forums for any:</w:t>
      </w:r>
    </w:p>
    <w:p>
      <w:pPr>
        <w:spacing w:after="0" w:line="122"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action or proceeding brought on our behalf;</w:t>
      </w:r>
    </w:p>
    <w:p>
      <w:pPr>
        <w:spacing w:after="0" w:line="17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asserting a claim of breach of a fiduciary duty owed by, or other wrongdoing by, any of our directors, officers, stockholders, employees or agents to us or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20"/>
          </w:cols>
          <w:pgMar w:left="320" w:top="1417" w:right="359" w:bottom="1440" w:gutter="0" w:footer="0" w:header="0"/>
        </w:sectPr>
      </w:pPr>
    </w:p>
    <w:bookmarkStart w:id="21" w:name="page22"/>
    <w:bookmarkEnd w:id="21"/>
    <w:p>
      <w:pPr>
        <w:ind w:left="660" w:right="2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asserting a claim against us or any of our directors, officers, stockholders, employees or agents arising pursuant to any provision of the DGCL, our Amended and Restated Certificate of Incorporation or Bylaws or as to which the DGCL confers jurisdiction on the Court of Chancery of the State of Delaware;</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to interpret, apply, enforce or determine the validity of our Amended and Restated Certificate of Incorporation or the Bylaws; or</w:t>
      </w:r>
    </w:p>
    <w:p>
      <w:pPr>
        <w:spacing w:after="0" w:line="17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action asserting a claim against us or any of our directors, officers, stockholders, employees or agents that is governed by the internal affairs doctrine.</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choice of forum provision does not apply to actions brought to enforce a duty or liability created by the Exchange Act or any other claim for which federal courts have exclusive jurisdiction. Furthermore, in accordance with our Bylaws, unless we consent in writing to the selection of an alternative forum, the federal district courts of the United States will be, to the fullest extent permitted by law, the exclusive forum for the resolution of any complaint asserting a cause of action arising under the Securities Act. We intend for this provision to apply to any complaints asserting a cause of action under the Securities Act despite the fact that Section 22 of the Securities Act creates concurrent jurisdiction for the federal and state courts over all actions brought to enforce any duty or liability created by the Securities Act or the rules and regulations promulgated thereunder.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of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Class A common stock and warrants are listed on Nasdaq under the symbols “SMFR” and “SMFRW,”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80"/>
          </w:cols>
          <w:pgMar w:left="320" w:top="1417" w:right="399" w:bottom="1440" w:gutter="0" w:footer="0" w:header="0"/>
        </w:sectPr>
      </w:pPr>
    </w:p>
    <w:bookmarkStart w:id="22" w:name="page23"/>
    <w:bookmarkEnd w:id="22"/>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Selling Securityholders may offer and sell, from time to time, any or all of the shares of Class A common stock or warrants being offered for resale by this prospectus, which consists of:</w:t>
      </w:r>
    </w:p>
    <w:p>
      <w:pPr>
        <w:spacing w:after="0" w:line="108"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18,550,000 Business Combination PIPE Shares;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11,068,750 Founder Shares;</w:t>
      </w:r>
    </w:p>
    <w:p>
      <w:pPr>
        <w:spacing w:after="0" w:line="17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158,805,073 shares of Class A common stock issued or issuable to the Legacy Sema4 Equity Holders in connection with or as a result of the consummation of the Business Combination, consisting of:</w:t>
      </w:r>
    </w:p>
    <w:p>
      <w:pPr>
        <w:spacing w:after="0" w:line="9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139,783,497 shares of our Class A common stock (“Legacy Sema4 Holder Shares”); and</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19,021,576 Earn-Out Shares.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7,236,667 shares of Class A common stock issuable upon the exercise of private placement warrants;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80,000,000 Stock Consideration Shares;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30,864,198 Milestone Shares;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50,000,000 Acquisition PIPE Shares;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7,236,667 private placement warrants.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“Selling Securityholders” includes the securityholders listed in the tables below and their permitted transferees.</w:t>
      </w:r>
    </w:p>
    <w:p>
      <w:pPr>
        <w:spacing w:after="0" w:line="17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following tables provide, as of the date of this prospectus, information regarding the beneficial ownership of our Class A common stock and warrants of each Selling Securityholder, the number of shares of Class A common stock and number of warrants that may be sold by each Selling Securityholder under this prospectus and that each Selling Securityholder will beneficially own after this offering.</w:t>
      </w:r>
    </w:p>
    <w:p>
      <w:pPr>
        <w:spacing w:after="0" w:line="12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Pursuant to the earn-out provisions of the Business Combination Merger Agreement, we may issue an aggregate of up to 19,021,576 shares of Class A common stock upon the occurrence of certain triggering events provided for in the Business Combination Merger Agreement, which shares are comprised of Earn-Out Shares issuable to pre-closing Legacy Sema4 Equity Holders and shares of Class A common stock (“Earn-Out RSU Shares”) issuable upon the vesting of certain RSU awards (“Earn-Out RSUs”) granted to certain Legacy Sema4 Equity Holders. As of the closing date of the Business Combination, the initial allocation of such shares comprised up to 16,331,812 Earn-Out Shares and up to 2,689,764 Earn-Out RSU Shares. Upon any forfeiture of Earn-Out RSUs following the closing date of the Business Combination (for example, as a result of a Legacy Sema4 Equity Holder no longer being an employee of our company), the Business Combination Merger Agreement provides for a forfeiture pool in respect of the Earn-Out RSU Shares that were originally allocated to such forfeited Earn-Out RSUs, with such Earn-Out RSU Shares becoming available for issuance to the other recipients of Earn-Out Shares and Earn-Out RSUs. In the case of a Selling Securityholder that is entitled to receive Earn-Out Shares pursuant to the Business Combination Merger Agreement, the table below includes such Selling Securityholder’s pro rata portion of the initial allocation of Earn-Out Shares as of the closing date of the Business Combination (such Selling Securityholder’s “Initially Allocated Earn-Out Shares”), as well as such Selling Securityholder’s pro rata portion of the reallocated Earn-Out RSU Shares (such Selling Securityholder’s “Reallocated Earn-Out Shares”), assuming that 100% of the Earn-Out RSUs are forfeited after the closing date of the Business Combination.</w:t>
      </w:r>
    </w:p>
    <w:p>
      <w:pPr>
        <w:spacing w:after="0" w:line="1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pursuant to the terms of the Acquisition Merger Agreement, we may issue an aggregate of up to 30,864,198 Milestone Shares to OPKO as consideration for the $150 million in Milestone Payments. Each Milestone Payment, if and to the extent earned under the terms of the Merger Agreement, will be satisfied through the payment and/or issuance of a combination of cash and shares of Class A common stock (valued at $4.86 per share based on the average of the daily volume average weighted price of our Class A common stock over the period of 30 trading days ended January 12, 2022), with such mix to be determined in our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20"/>
          </w:cols>
          <w:pgMar w:left="320" w:top="1440" w:right="359" w:bottom="1440" w:gutter="0" w:footer="0" w:header="0"/>
        </w:sectPr>
      </w:pPr>
    </w:p>
    <w:bookmarkStart w:id="23" w:name="page24"/>
    <w:bookmarkEnd w:id="23"/>
    <w:p>
      <w:pPr>
        <w:spacing w:after="0" w:line="256" w:lineRule="auto"/>
        <w:rPr>
          <w:sz w:val="20"/>
          <w:szCs w:val="20"/>
          <w:color w:val="auto"/>
        </w:rPr>
      </w:pPr>
      <w:r>
        <w:rPr>
          <w:rFonts w:ascii="Times New Roman" w:cs="Times New Roman" w:eastAsia="Times New Roman" w:hAnsi="Times New Roman"/>
          <w:sz w:val="18"/>
          <w:szCs w:val="18"/>
          <w:color w:val="auto"/>
        </w:rPr>
        <w:t>Because each Selling Securityholder may dispose of all, none or some portion of their securities, no estimate can be given as to the number of securities that will be beneficially owned by a Selling Securityholder upon termination of this offering. For purposes of the table below, however, we have assumed that after termination of this offering none of the securities covered by this prospectus will be beneficially owned by the Selling Securityholder and further assumed that the Selling Securityholders will not acquire beneficial ownership of any additional securities during the offering. In addition, the Selling Securityholders may have sold, transferred or otherwise disposed of, or may sell, transfer or otherwise dispose of, at any time and from time to time, our securities in transactions exempt from the registration requirements of the Securities Act after the date on which the information in the tables is presented.</w:t>
      </w:r>
    </w:p>
    <w:p>
      <w:pPr>
        <w:spacing w:after="0" w:line="13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may amend or supplement this prospectus from time to time in the future to update or change this Selling Securityholders list and the securities that may be resold.</w:t>
      </w:r>
    </w:p>
    <w:p>
      <w:pPr>
        <w:spacing w:after="0" w:line="106"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color w:val="auto"/>
        </w:rPr>
        <w:t>Please see the section titled “</w:t>
      </w:r>
      <w:r>
        <w:rPr>
          <w:rFonts w:ascii="Times New Roman" w:cs="Times New Roman" w:eastAsia="Times New Roman" w:hAnsi="Times New Roman"/>
          <w:sz w:val="18"/>
          <w:szCs w:val="18"/>
          <w:i w:val="1"/>
          <w:iCs w:val="1"/>
          <w:u w:val="single" w:color="auto"/>
          <w:color w:val="0000FF"/>
        </w:rPr>
        <w:t>Plan of Distribution</w:t>
      </w:r>
      <w:r>
        <w:rPr>
          <w:rFonts w:ascii="Times New Roman" w:cs="Times New Roman" w:eastAsia="Times New Roman" w:hAnsi="Times New Roman"/>
          <w:sz w:val="18"/>
          <w:szCs w:val="18"/>
          <w:color w:val="auto"/>
          <w:highlight w:val="white"/>
        </w:rPr>
        <w:t>” for further information regarding the Selling</w:t>
      </w:r>
      <w:r>
        <w:rPr>
          <w:rFonts w:ascii="Times New Roman" w:cs="Times New Roman" w:eastAsia="Times New Roman" w:hAnsi="Times New Roman"/>
          <w:sz w:val="18"/>
          <w:szCs w:val="18"/>
          <w:color w:val="auto"/>
        </w:rPr>
        <w:t xml:space="preserve"> Securityholders’ method of distributing these shares of Class A common stock and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40"/>
          </w:cols>
          <w:pgMar w:left="320" w:top="1417" w:right="439" w:bottom="1440" w:gutter="0" w:footer="0" w:header="0"/>
        </w:sectPr>
      </w:pPr>
    </w:p>
    <w:bookmarkStart w:id="24" w:name="page25"/>
    <w:bookmarkEnd w:id="24"/>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300" w:type="dxa"/>
            <w:vAlign w:val="bottom"/>
            <w:gridSpan w:val="8"/>
          </w:tcPr>
          <w:p>
            <w:pPr>
              <w:ind w:left="580"/>
              <w:spacing w:after="0"/>
              <w:rPr>
                <w:sz w:val="20"/>
                <w:szCs w:val="20"/>
                <w:color w:val="auto"/>
              </w:rPr>
            </w:pPr>
            <w:r>
              <w:rPr>
                <w:rFonts w:ascii="Times New Roman" w:cs="Times New Roman" w:eastAsia="Times New Roman" w:hAnsi="Times New Roman"/>
                <w:sz w:val="14"/>
                <w:szCs w:val="14"/>
                <w:b w:val="1"/>
                <w:bCs w:val="1"/>
                <w:color w:val="auto"/>
              </w:rPr>
              <w:t>Shares of Class A Common Stock</w:t>
            </w: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40" w:type="dxa"/>
            <w:vAlign w:val="bottom"/>
            <w:gridSpan w:val="4"/>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Number Beneficially</w:t>
            </w:r>
          </w:p>
        </w:tc>
        <w:tc>
          <w:tcPr>
            <w:tcW w:w="166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Registered for</w:t>
            </w:r>
          </w:p>
        </w:tc>
        <w:tc>
          <w:tcPr>
            <w:tcW w:w="1640" w:type="dxa"/>
            <w:vAlign w:val="bottom"/>
            <w:gridSpan w:val="4"/>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Number Beneficially</w:t>
            </w: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Owned After</w:t>
            </w:r>
          </w:p>
        </w:tc>
        <w:tc>
          <w:tcPr>
            <w:tcW w:w="0" w:type="dxa"/>
            <w:vAlign w:val="bottom"/>
          </w:tcPr>
          <w:p>
            <w:pPr>
              <w:spacing w:after="0"/>
              <w:rPr>
                <w:sz w:val="1"/>
                <w:szCs w:val="1"/>
                <w:color w:val="auto"/>
              </w:rPr>
            </w:pPr>
          </w:p>
        </w:tc>
      </w:tr>
      <w:tr>
        <w:trPr>
          <w:trHeight w:val="146"/>
        </w:trPr>
        <w:tc>
          <w:tcPr>
            <w:tcW w:w="476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40" w:type="dxa"/>
            <w:vAlign w:val="bottom"/>
            <w:gridSpan w:val="4"/>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Owned Prior to</w:t>
            </w:r>
          </w:p>
        </w:tc>
        <w:tc>
          <w:tcPr>
            <w:tcW w:w="1660" w:type="dxa"/>
            <w:vAlign w:val="bottom"/>
            <w:gridSpan w:val="4"/>
            <w:vMerge w:val="continue"/>
          </w:tcPr>
          <w:p>
            <w:pPr>
              <w:spacing w:after="0"/>
              <w:rPr>
                <w:sz w:val="12"/>
                <w:szCs w:val="12"/>
                <w:color w:val="auto"/>
              </w:rPr>
            </w:pPr>
          </w:p>
        </w:tc>
        <w:tc>
          <w:tcPr>
            <w:tcW w:w="1640" w:type="dxa"/>
            <w:vAlign w:val="bottom"/>
            <w:gridSpan w:val="4"/>
            <w:vMerge w:val="continue"/>
          </w:tcPr>
          <w:p>
            <w:pPr>
              <w:spacing w:after="0"/>
              <w:rPr>
                <w:sz w:val="12"/>
                <w:szCs w:val="12"/>
                <w:color w:val="auto"/>
              </w:rPr>
            </w:pP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760" w:type="dxa"/>
            <w:vAlign w:val="bottom"/>
            <w:gridSpan w:val="4"/>
            <w:vMerge w:val="continue"/>
          </w:tcPr>
          <w:p>
            <w:pPr>
              <w:spacing w:after="0"/>
              <w:rPr>
                <w:sz w:val="17"/>
                <w:szCs w:val="17"/>
                <w:color w:val="auto"/>
              </w:rPr>
            </w:pPr>
          </w:p>
        </w:tc>
        <w:tc>
          <w:tcPr>
            <w:tcW w:w="164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Offering</w:t>
            </w:r>
            <w:r>
              <w:rPr>
                <w:rFonts w:ascii="Times New Roman" w:cs="Times New Roman" w:eastAsia="Times New Roman" w:hAnsi="Times New Roman"/>
                <w:sz w:val="9"/>
                <w:szCs w:val="9"/>
                <w:b w:val="1"/>
                <w:bCs w:val="1"/>
                <w:color w:val="auto"/>
              </w:rPr>
              <w:t>(1)</w:t>
            </w:r>
          </w:p>
        </w:tc>
        <w:tc>
          <w:tcPr>
            <w:tcW w:w="166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Sale Hereby</w:t>
            </w:r>
          </w:p>
        </w:tc>
        <w:tc>
          <w:tcPr>
            <w:tcW w:w="164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Owned After Offering</w:t>
            </w:r>
          </w:p>
        </w:tc>
        <w:tc>
          <w:tcPr>
            <w:tcW w:w="154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5"/>
              </w:rPr>
              <w:t xml:space="preserve">Offering </w:t>
            </w:r>
            <w:r>
              <w:rPr>
                <w:rFonts w:ascii="Times New Roman" w:cs="Times New Roman" w:eastAsia="Times New Roman" w:hAnsi="Times New Roman"/>
                <w:sz w:val="18"/>
                <w:szCs w:val="18"/>
                <w:b w:val="1"/>
                <w:bCs w:val="1"/>
                <w:color w:val="auto"/>
                <w:w w:val="95"/>
                <w:vertAlign w:val="superscript"/>
              </w:rPr>
              <w:t>(2)</w:t>
            </w:r>
          </w:p>
        </w:tc>
        <w:tc>
          <w:tcPr>
            <w:tcW w:w="0" w:type="dxa"/>
            <w:vAlign w:val="bottom"/>
          </w:tcPr>
          <w:p>
            <w:pPr>
              <w:spacing w:after="0"/>
              <w:rPr>
                <w:sz w:val="1"/>
                <w:szCs w:val="1"/>
                <w:color w:val="auto"/>
              </w:rPr>
            </w:pPr>
          </w:p>
        </w:tc>
      </w:tr>
      <w:tr>
        <w:trPr>
          <w:trHeight w:val="223"/>
        </w:trPr>
        <w:tc>
          <w:tcPr>
            <w:tcW w:w="4660" w:type="dxa"/>
            <w:vAlign w:val="bottom"/>
            <w:tcBorders>
              <w:top w:val="single" w:sz="8" w:color="auto"/>
            </w:tcBorders>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Entities affiliated with Avidity</w:t>
            </w:r>
            <w:r>
              <w:rPr>
                <w:rFonts w:ascii="Times New Roman" w:cs="Times New Roman" w:eastAsia="Times New Roman" w:hAnsi="Times New Roman"/>
                <w:sz w:val="23"/>
                <w:szCs w:val="23"/>
                <w:color w:val="auto"/>
                <w:vertAlign w:val="superscript"/>
              </w:rPr>
              <w:t>(3)</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950,000</w:t>
            </w:r>
          </w:p>
        </w:tc>
        <w:tc>
          <w:tcPr>
            <w:tcW w:w="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950,000</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60" w:type="dxa"/>
            <w:vAlign w:val="bottom"/>
            <w:gridSpan w:val="4"/>
          </w:tcPr>
          <w:p>
            <w:pPr>
              <w:ind w:left="20"/>
              <w:spacing w:after="0" w:line="230" w:lineRule="exact"/>
              <w:rPr>
                <w:sz w:val="20"/>
                <w:szCs w:val="20"/>
                <w:color w:val="auto"/>
              </w:rPr>
            </w:pPr>
            <w:r>
              <w:rPr>
                <w:rFonts w:ascii="Times New Roman" w:cs="Times New Roman" w:eastAsia="Times New Roman" w:hAnsi="Times New Roman"/>
                <w:sz w:val="18"/>
                <w:szCs w:val="18"/>
                <w:color w:val="auto"/>
              </w:rPr>
              <w:t>Entities affiliated with BlackRock, Inc.</w:t>
            </w:r>
            <w:r>
              <w:rPr>
                <w:rFonts w:ascii="Times New Roman" w:cs="Times New Roman" w:eastAsia="Times New Roman" w:hAnsi="Times New Roman"/>
                <w:sz w:val="23"/>
                <w:szCs w:val="23"/>
                <w:color w:val="auto"/>
                <w:vertAlign w:val="superscript"/>
              </w:rPr>
              <w:t>(4)</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665,899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665,899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60" w:type="dxa"/>
            <w:vAlign w:val="bottom"/>
            <w:gridSpan w:val="4"/>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Entities affiliated with Blackstone</w:t>
            </w:r>
            <w:r>
              <w:rPr>
                <w:rFonts w:ascii="Times New Roman" w:cs="Times New Roman" w:eastAsia="Times New Roman" w:hAnsi="Times New Roman"/>
                <w:sz w:val="23"/>
                <w:szCs w:val="23"/>
                <w:color w:val="auto"/>
                <w:vertAlign w:val="superscript"/>
              </w:rPr>
              <w:t>(5)</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30,945,879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30,845,879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4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29"/>
        </w:trPr>
        <w:tc>
          <w:tcPr>
            <w:tcW w:w="4760" w:type="dxa"/>
            <w:vAlign w:val="bottom"/>
            <w:gridSpan w:val="4"/>
          </w:tcPr>
          <w:p>
            <w:pPr>
              <w:ind w:left="20"/>
              <w:spacing w:after="0" w:line="230" w:lineRule="exact"/>
              <w:rPr>
                <w:sz w:val="20"/>
                <w:szCs w:val="20"/>
                <w:color w:val="auto"/>
              </w:rPr>
            </w:pPr>
            <w:r>
              <w:rPr>
                <w:rFonts w:ascii="Times New Roman" w:cs="Times New Roman" w:eastAsia="Times New Roman" w:hAnsi="Times New Roman"/>
                <w:sz w:val="18"/>
                <w:szCs w:val="18"/>
                <w:color w:val="auto"/>
              </w:rPr>
              <w:t>Entities affiliated with Casdin</w:t>
            </w:r>
            <w:r>
              <w:rPr>
                <w:rFonts w:ascii="Times New Roman" w:cs="Times New Roman" w:eastAsia="Times New Roman" w:hAnsi="Times New Roman"/>
                <w:sz w:val="23"/>
                <w:szCs w:val="23"/>
                <w:color w:val="auto"/>
                <w:vertAlign w:val="superscript"/>
              </w:rPr>
              <w:t>(6)</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16,437,500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16,437,500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60" w:type="dxa"/>
            <w:vAlign w:val="bottom"/>
            <w:gridSpan w:val="4"/>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CMLS Holdings LLC</w:t>
            </w:r>
            <w:r>
              <w:rPr>
                <w:rFonts w:ascii="Times New Roman" w:cs="Times New Roman" w:eastAsia="Times New Roman" w:hAnsi="Times New Roman"/>
                <w:sz w:val="23"/>
                <w:szCs w:val="23"/>
                <w:color w:val="auto"/>
                <w:vertAlign w:val="superscript"/>
              </w:rPr>
              <w:t>(7)</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17,730,419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17,730,419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60" w:type="dxa"/>
            <w:vAlign w:val="bottom"/>
            <w:gridSpan w:val="4"/>
          </w:tcPr>
          <w:p>
            <w:pPr>
              <w:ind w:left="20"/>
              <w:spacing w:after="0" w:line="230" w:lineRule="exact"/>
              <w:rPr>
                <w:sz w:val="20"/>
                <w:szCs w:val="20"/>
                <w:color w:val="auto"/>
              </w:rPr>
            </w:pPr>
            <w:r>
              <w:rPr>
                <w:rFonts w:ascii="Times New Roman" w:cs="Times New Roman" w:eastAsia="Times New Roman" w:hAnsi="Times New Roman"/>
                <w:sz w:val="18"/>
                <w:szCs w:val="18"/>
                <w:color w:val="auto"/>
              </w:rPr>
              <w:t>Connecticut Innovations, Incorporated</w:t>
            </w:r>
            <w:r>
              <w:rPr>
                <w:rFonts w:ascii="Times New Roman" w:cs="Times New Roman" w:eastAsia="Times New Roman" w:hAnsi="Times New Roman"/>
                <w:sz w:val="23"/>
                <w:szCs w:val="23"/>
                <w:color w:val="auto"/>
                <w:vertAlign w:val="superscript"/>
              </w:rPr>
              <w:t>(8)</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578,722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578,722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60" w:type="dxa"/>
            <w:vAlign w:val="bottom"/>
            <w:gridSpan w:val="4"/>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Entities advised by Corvex Management</w:t>
            </w:r>
            <w:r>
              <w:rPr>
                <w:rFonts w:ascii="Times New Roman" w:cs="Times New Roman" w:eastAsia="Times New Roman" w:hAnsi="Times New Roman"/>
                <w:sz w:val="23"/>
                <w:szCs w:val="23"/>
                <w:color w:val="auto"/>
                <w:vertAlign w:val="superscript"/>
              </w:rPr>
              <w:t>(9)</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15,437,500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15,437,500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60" w:type="dxa"/>
            <w:vAlign w:val="bottom"/>
            <w:gridSpan w:val="4"/>
          </w:tcPr>
          <w:p>
            <w:pPr>
              <w:ind w:left="20"/>
              <w:spacing w:after="0" w:line="230" w:lineRule="exact"/>
              <w:rPr>
                <w:sz w:val="20"/>
                <w:szCs w:val="20"/>
                <w:color w:val="auto"/>
              </w:rPr>
            </w:pPr>
            <w:r>
              <w:rPr>
                <w:rFonts w:ascii="Times New Roman" w:cs="Times New Roman" w:eastAsia="Times New Roman" w:hAnsi="Times New Roman"/>
                <w:sz w:val="18"/>
                <w:szCs w:val="18"/>
                <w:color w:val="auto"/>
              </w:rPr>
              <w:t>Decheng Capital China Life Sciences USD Fund III, L.P.</w:t>
            </w:r>
            <w:r>
              <w:rPr>
                <w:rFonts w:ascii="Times New Roman" w:cs="Times New Roman" w:eastAsia="Times New Roman" w:hAnsi="Times New Roman"/>
                <w:sz w:val="23"/>
                <w:szCs w:val="23"/>
                <w:color w:val="auto"/>
                <w:vertAlign w:val="superscript"/>
              </w:rPr>
              <w:t>(10)</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3,795,012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3,795,012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60" w:type="dxa"/>
            <w:vAlign w:val="bottom"/>
            <w:gridSpan w:val="4"/>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Entities affiliated with Deerfield Management Company, L.P.</w:t>
            </w:r>
            <w:r>
              <w:rPr>
                <w:rFonts w:ascii="Times New Roman" w:cs="Times New Roman" w:eastAsia="Times New Roman" w:hAnsi="Times New Roman"/>
                <w:sz w:val="23"/>
                <w:szCs w:val="23"/>
                <w:color w:val="auto"/>
                <w:vertAlign w:val="superscript"/>
              </w:rPr>
              <w:t>(11)</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18,382,120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18,382,120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60" w:type="dxa"/>
            <w:vAlign w:val="bottom"/>
            <w:gridSpan w:val="4"/>
          </w:tcPr>
          <w:p>
            <w:pPr>
              <w:ind w:left="20"/>
              <w:spacing w:after="0" w:line="230" w:lineRule="exact"/>
              <w:rPr>
                <w:sz w:val="20"/>
                <w:szCs w:val="20"/>
                <w:color w:val="auto"/>
              </w:rPr>
            </w:pPr>
            <w:r>
              <w:rPr>
                <w:rFonts w:ascii="Times New Roman" w:cs="Times New Roman" w:eastAsia="Times New Roman" w:hAnsi="Times New Roman"/>
                <w:sz w:val="18"/>
                <w:szCs w:val="18"/>
                <w:color w:val="auto"/>
              </w:rPr>
              <w:t>Emily Leproust</w:t>
            </w:r>
            <w:r>
              <w:rPr>
                <w:rFonts w:ascii="Times New Roman" w:cs="Times New Roman" w:eastAsia="Times New Roman" w:hAnsi="Times New Roman"/>
                <w:sz w:val="23"/>
                <w:szCs w:val="23"/>
                <w:color w:val="auto"/>
                <w:vertAlign w:val="superscript"/>
              </w:rPr>
              <w:t>(12)</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204,502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191,666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tcPr>
          <w:p>
            <w:pPr>
              <w:ind w:left="144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29"/>
        </w:trPr>
        <w:tc>
          <w:tcPr>
            <w:tcW w:w="4760" w:type="dxa"/>
            <w:vAlign w:val="bottom"/>
            <w:gridSpan w:val="4"/>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Icahn School of Medicine at Mount Sinai</w:t>
            </w:r>
            <w:r>
              <w:rPr>
                <w:rFonts w:ascii="Times New Roman" w:cs="Times New Roman" w:eastAsia="Times New Roman" w:hAnsi="Times New Roman"/>
                <w:sz w:val="23"/>
                <w:szCs w:val="23"/>
                <w:color w:val="auto"/>
                <w:vertAlign w:val="superscript"/>
              </w:rPr>
              <w:t>(13)</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106,202,671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106,202,671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60" w:type="dxa"/>
            <w:vAlign w:val="bottom"/>
            <w:gridSpan w:val="4"/>
          </w:tcPr>
          <w:p>
            <w:pPr>
              <w:ind w:left="20"/>
              <w:spacing w:after="0" w:line="230" w:lineRule="exact"/>
              <w:rPr>
                <w:sz w:val="20"/>
                <w:szCs w:val="20"/>
                <w:color w:val="auto"/>
              </w:rPr>
            </w:pPr>
            <w:r>
              <w:rPr>
                <w:rFonts w:ascii="Times New Roman" w:cs="Times New Roman" w:eastAsia="Times New Roman" w:hAnsi="Times New Roman"/>
                <w:sz w:val="18"/>
                <w:szCs w:val="18"/>
                <w:color w:val="auto"/>
              </w:rPr>
              <w:t>JS Capital LLC</w:t>
            </w:r>
            <w:r>
              <w:rPr>
                <w:rFonts w:ascii="Times New Roman" w:cs="Times New Roman" w:eastAsia="Times New Roman" w:hAnsi="Times New Roman"/>
                <w:sz w:val="23"/>
                <w:szCs w:val="23"/>
                <w:color w:val="auto"/>
                <w:vertAlign w:val="superscript"/>
              </w:rPr>
              <w:t>(14)</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60" w:type="dxa"/>
            <w:vAlign w:val="bottom"/>
            <w:gridSpan w:val="4"/>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M. Munib Z. Islam</w:t>
            </w:r>
            <w:r>
              <w:rPr>
                <w:rFonts w:ascii="Times New Roman" w:cs="Times New Roman" w:eastAsia="Times New Roman" w:hAnsi="Times New Roman"/>
                <w:sz w:val="23"/>
                <w:szCs w:val="23"/>
                <w:color w:val="auto"/>
                <w:vertAlign w:val="superscript"/>
              </w:rPr>
              <w:t>(15)</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291,666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291,666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60" w:type="dxa"/>
            <w:vAlign w:val="bottom"/>
            <w:gridSpan w:val="4"/>
          </w:tcPr>
          <w:p>
            <w:pPr>
              <w:ind w:left="20"/>
              <w:spacing w:after="0" w:line="230" w:lineRule="exact"/>
              <w:rPr>
                <w:sz w:val="20"/>
                <w:szCs w:val="20"/>
                <w:color w:val="auto"/>
              </w:rPr>
            </w:pPr>
            <w:r>
              <w:rPr>
                <w:rFonts w:ascii="Times New Roman" w:cs="Times New Roman" w:eastAsia="Times New Roman" w:hAnsi="Times New Roman"/>
                <w:sz w:val="18"/>
                <w:szCs w:val="18"/>
                <w:color w:val="auto"/>
              </w:rPr>
              <w:t>Entities affiliated with Moore</w:t>
            </w:r>
            <w:r>
              <w:rPr>
                <w:rFonts w:ascii="Times New Roman" w:cs="Times New Roman" w:eastAsia="Times New Roman" w:hAnsi="Times New Roman"/>
                <w:sz w:val="23"/>
                <w:szCs w:val="23"/>
                <w:color w:val="auto"/>
                <w:vertAlign w:val="superscript"/>
              </w:rPr>
              <w:t>(16)</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110,977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110,977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60" w:type="dxa"/>
            <w:vAlign w:val="bottom"/>
            <w:gridSpan w:val="4"/>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Nat Turner</w:t>
            </w:r>
            <w:r>
              <w:rPr>
                <w:rFonts w:ascii="Times New Roman" w:cs="Times New Roman" w:eastAsia="Times New Roman" w:hAnsi="Times New Roman"/>
                <w:sz w:val="23"/>
                <w:szCs w:val="23"/>
                <w:color w:val="auto"/>
                <w:vertAlign w:val="superscript"/>
              </w:rPr>
              <w:t>(17)</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204,502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191,666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4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29"/>
        </w:trPr>
        <w:tc>
          <w:tcPr>
            <w:tcW w:w="4760" w:type="dxa"/>
            <w:vAlign w:val="bottom"/>
            <w:gridSpan w:val="4"/>
          </w:tcPr>
          <w:p>
            <w:pPr>
              <w:ind w:left="20"/>
              <w:spacing w:after="0" w:line="230" w:lineRule="exact"/>
              <w:rPr>
                <w:sz w:val="20"/>
                <w:szCs w:val="20"/>
                <w:color w:val="auto"/>
              </w:rPr>
            </w:pPr>
            <w:r>
              <w:rPr>
                <w:rFonts w:ascii="Times New Roman" w:cs="Times New Roman" w:eastAsia="Times New Roman" w:hAnsi="Times New Roman"/>
                <w:sz w:val="18"/>
                <w:szCs w:val="18"/>
                <w:color w:val="auto"/>
              </w:rPr>
              <w:t>Oak HC/FT Partners II, L.P.</w:t>
            </w:r>
            <w:r>
              <w:rPr>
                <w:rFonts w:ascii="Times New Roman" w:cs="Times New Roman" w:eastAsia="Times New Roman" w:hAnsi="Times New Roman"/>
                <w:sz w:val="23"/>
                <w:szCs w:val="23"/>
                <w:color w:val="auto"/>
                <w:vertAlign w:val="superscript"/>
              </w:rPr>
              <w:t>(18)</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6,302,462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6,302,462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60" w:type="dxa"/>
            <w:vAlign w:val="bottom"/>
            <w:gridSpan w:val="4"/>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OPKO Health, Inc.</w:t>
            </w:r>
            <w:r>
              <w:rPr>
                <w:rFonts w:ascii="Times New Roman" w:cs="Times New Roman" w:eastAsia="Times New Roman" w:hAnsi="Times New Roman"/>
                <w:sz w:val="23"/>
                <w:szCs w:val="23"/>
                <w:color w:val="auto"/>
                <w:vertAlign w:val="superscript"/>
              </w:rPr>
              <w:t>(19)</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110,864,198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110,864,198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60" w:type="dxa"/>
            <w:vAlign w:val="bottom"/>
            <w:gridSpan w:val="4"/>
          </w:tcPr>
          <w:p>
            <w:pPr>
              <w:ind w:left="20"/>
              <w:spacing w:after="0" w:line="230" w:lineRule="exact"/>
              <w:rPr>
                <w:sz w:val="20"/>
                <w:szCs w:val="20"/>
                <w:color w:val="auto"/>
              </w:rPr>
            </w:pPr>
            <w:r>
              <w:rPr>
                <w:rFonts w:ascii="Times New Roman" w:cs="Times New Roman" w:eastAsia="Times New Roman" w:hAnsi="Times New Roman"/>
                <w:sz w:val="18"/>
                <w:szCs w:val="18"/>
                <w:color w:val="auto"/>
              </w:rPr>
              <w:t>Perceptive Life Sciences Master Fund, Ltd.</w:t>
            </w:r>
            <w:r>
              <w:rPr>
                <w:rFonts w:ascii="Times New Roman" w:cs="Times New Roman" w:eastAsia="Times New Roman" w:hAnsi="Times New Roman"/>
                <w:sz w:val="23"/>
                <w:szCs w:val="23"/>
                <w:color w:val="auto"/>
                <w:vertAlign w:val="superscript"/>
              </w:rPr>
              <w:t>(20)</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60" w:type="dxa"/>
            <w:vAlign w:val="bottom"/>
            <w:gridSpan w:val="4"/>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Pfizer Inc.</w:t>
            </w:r>
            <w:r>
              <w:rPr>
                <w:rFonts w:ascii="Times New Roman" w:cs="Times New Roman" w:eastAsia="Times New Roman" w:hAnsi="Times New Roman"/>
                <w:sz w:val="23"/>
                <w:szCs w:val="23"/>
                <w:color w:val="auto"/>
                <w:vertAlign w:val="superscript"/>
              </w:rPr>
              <w:t>(21)</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6,250,000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6,250,000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60" w:type="dxa"/>
            <w:vAlign w:val="bottom"/>
            <w:gridSpan w:val="4"/>
          </w:tcPr>
          <w:p>
            <w:pPr>
              <w:ind w:left="20"/>
              <w:spacing w:after="0" w:line="230" w:lineRule="exact"/>
              <w:rPr>
                <w:sz w:val="20"/>
                <w:szCs w:val="20"/>
                <w:color w:val="auto"/>
              </w:rPr>
            </w:pPr>
            <w:r>
              <w:rPr>
                <w:rFonts w:ascii="Times New Roman" w:cs="Times New Roman" w:eastAsia="Times New Roman" w:hAnsi="Times New Roman"/>
                <w:sz w:val="18"/>
                <w:szCs w:val="18"/>
                <w:color w:val="auto"/>
              </w:rPr>
              <w:t>Section 32 Fund 2, L.P.</w:t>
            </w:r>
            <w:r>
              <w:rPr>
                <w:rFonts w:ascii="Times New Roman" w:cs="Times New Roman" w:eastAsia="Times New Roman" w:hAnsi="Times New Roman"/>
                <w:sz w:val="23"/>
                <w:szCs w:val="23"/>
                <w:color w:val="auto"/>
                <w:vertAlign w:val="superscript"/>
              </w:rPr>
              <w:t>(22)</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9,518,643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9,518,643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60" w:type="dxa"/>
            <w:vAlign w:val="bottom"/>
            <w:gridSpan w:val="4"/>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Entities affiliated with Third Point Loan LLC</w:t>
            </w:r>
            <w:r>
              <w:rPr>
                <w:rFonts w:ascii="Times New Roman" w:cs="Times New Roman" w:eastAsia="Times New Roman" w:hAnsi="Times New Roman"/>
                <w:sz w:val="23"/>
                <w:szCs w:val="23"/>
                <w:color w:val="auto"/>
                <w:vertAlign w:val="superscript"/>
              </w:rPr>
              <w:t>(23)</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2,750,000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2,750,000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60" w:type="dxa"/>
            <w:vAlign w:val="bottom"/>
            <w:gridSpan w:val="4"/>
          </w:tcPr>
          <w:p>
            <w:pPr>
              <w:ind w:left="20"/>
              <w:spacing w:after="0" w:line="230" w:lineRule="exact"/>
              <w:rPr>
                <w:sz w:val="20"/>
                <w:szCs w:val="20"/>
                <w:color w:val="auto"/>
              </w:rPr>
            </w:pPr>
            <w:r>
              <w:rPr>
                <w:rFonts w:ascii="Times New Roman" w:cs="Times New Roman" w:eastAsia="Times New Roman" w:hAnsi="Times New Roman"/>
                <w:sz w:val="18"/>
                <w:szCs w:val="18"/>
                <w:color w:val="auto"/>
              </w:rPr>
              <w:t>Entities affiliated with T. Rowe Price Associates, Inc.</w:t>
            </w:r>
            <w:r>
              <w:rPr>
                <w:rFonts w:ascii="Times New Roman" w:cs="Times New Roman" w:eastAsia="Times New Roman" w:hAnsi="Times New Roman"/>
                <w:sz w:val="23"/>
                <w:szCs w:val="23"/>
                <w:color w:val="auto"/>
                <w:vertAlign w:val="superscript"/>
              </w:rPr>
              <w:t>(24)</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60" w:type="dxa"/>
            <w:vAlign w:val="bottom"/>
            <w:gridSpan w:val="4"/>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Entities affiliated with Vaal Investment Partners Q9 LP</w:t>
            </w:r>
            <w:r>
              <w:rPr>
                <w:rFonts w:ascii="Times New Roman" w:cs="Times New Roman" w:eastAsia="Times New Roman" w:hAnsi="Times New Roman"/>
                <w:sz w:val="23"/>
                <w:szCs w:val="23"/>
                <w:color w:val="auto"/>
                <w:vertAlign w:val="superscript"/>
              </w:rPr>
              <w:t>(25)</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2,125,000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2,125,000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7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TOTALS</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356,497,672</w:t>
            </w:r>
          </w:p>
        </w:tc>
        <w:tc>
          <w:tcPr>
            <w:tcW w:w="6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356,524,688</w:t>
            </w:r>
          </w:p>
        </w:tc>
        <w:tc>
          <w:tcPr>
            <w:tcW w:w="4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125,672</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tcBorders>
              <w:top w:val="single" w:sz="8" w:color="auto"/>
              <w:bottom w:val="single" w:sz="8" w:color="auto"/>
            </w:tcBorders>
          </w:tcPr>
          <w:p>
            <w:pPr>
              <w:ind w:left="14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6"/>
        </w:trPr>
        <w:tc>
          <w:tcPr>
            <w:tcW w:w="4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300" w:type="dxa"/>
            <w:vAlign w:val="bottom"/>
            <w:gridSpan w:val="8"/>
          </w:tcPr>
          <w:p>
            <w:pPr>
              <w:ind w:left="160"/>
              <w:spacing w:after="0"/>
              <w:rPr>
                <w:sz w:val="20"/>
                <w:szCs w:val="20"/>
                <w:color w:val="auto"/>
              </w:rPr>
            </w:pPr>
            <w:r>
              <w:rPr>
                <w:rFonts w:ascii="Times New Roman" w:cs="Times New Roman" w:eastAsia="Times New Roman" w:hAnsi="Times New Roman"/>
                <w:sz w:val="14"/>
                <w:szCs w:val="14"/>
                <w:b w:val="1"/>
                <w:bCs w:val="1"/>
                <w:color w:val="auto"/>
              </w:rPr>
              <w:t>Warrants to Purchase Class A Common Stock</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6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4"/>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40" w:type="dxa"/>
            <w:vAlign w:val="bottom"/>
            <w:gridSpan w:val="4"/>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Number Beneficially</w:t>
            </w:r>
          </w:p>
        </w:tc>
        <w:tc>
          <w:tcPr>
            <w:tcW w:w="166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 Registered for</w:t>
            </w:r>
          </w:p>
        </w:tc>
        <w:tc>
          <w:tcPr>
            <w:tcW w:w="1640" w:type="dxa"/>
            <w:vAlign w:val="bottom"/>
            <w:gridSpan w:val="4"/>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Number Beneficially</w:t>
            </w: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Owned After</w:t>
            </w:r>
          </w:p>
        </w:tc>
        <w:tc>
          <w:tcPr>
            <w:tcW w:w="0" w:type="dxa"/>
            <w:vAlign w:val="bottom"/>
          </w:tcPr>
          <w:p>
            <w:pPr>
              <w:spacing w:after="0"/>
              <w:rPr>
                <w:sz w:val="1"/>
                <w:szCs w:val="1"/>
                <w:color w:val="auto"/>
              </w:rPr>
            </w:pPr>
          </w:p>
        </w:tc>
      </w:tr>
      <w:tr>
        <w:trPr>
          <w:trHeight w:val="148"/>
        </w:trPr>
        <w:tc>
          <w:tcPr>
            <w:tcW w:w="476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4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Owned Prior to</w:t>
            </w:r>
          </w:p>
        </w:tc>
        <w:tc>
          <w:tcPr>
            <w:tcW w:w="1660" w:type="dxa"/>
            <w:vAlign w:val="bottom"/>
            <w:gridSpan w:val="4"/>
            <w:vMerge w:val="continue"/>
          </w:tcPr>
          <w:p>
            <w:pPr>
              <w:spacing w:after="0"/>
              <w:rPr>
                <w:sz w:val="12"/>
                <w:szCs w:val="12"/>
                <w:color w:val="auto"/>
              </w:rPr>
            </w:pPr>
          </w:p>
        </w:tc>
        <w:tc>
          <w:tcPr>
            <w:tcW w:w="1640" w:type="dxa"/>
            <w:vAlign w:val="bottom"/>
            <w:gridSpan w:val="4"/>
            <w:vMerge w:val="continue"/>
          </w:tcPr>
          <w:p>
            <w:pPr>
              <w:spacing w:after="0"/>
              <w:rPr>
                <w:sz w:val="12"/>
                <w:szCs w:val="12"/>
                <w:color w:val="auto"/>
              </w:rPr>
            </w:pP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760" w:type="dxa"/>
            <w:vAlign w:val="bottom"/>
            <w:gridSpan w:val="4"/>
            <w:vMerge w:val="continue"/>
          </w:tcPr>
          <w:p>
            <w:pPr>
              <w:spacing w:after="0"/>
              <w:rPr>
                <w:sz w:val="17"/>
                <w:szCs w:val="17"/>
                <w:color w:val="auto"/>
              </w:rPr>
            </w:pPr>
          </w:p>
        </w:tc>
        <w:tc>
          <w:tcPr>
            <w:tcW w:w="164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66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Sale Hereby</w:t>
            </w:r>
          </w:p>
        </w:tc>
        <w:tc>
          <w:tcPr>
            <w:tcW w:w="164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Owned After Offering</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Offering </w:t>
            </w:r>
            <w:r>
              <w:rPr>
                <w:rFonts w:ascii="Times New Roman" w:cs="Times New Roman" w:eastAsia="Times New Roman" w:hAnsi="Times New Roman"/>
                <w:sz w:val="9"/>
                <w:szCs w:val="9"/>
                <w:b w:val="1"/>
                <w:bCs w:val="1"/>
                <w:color w:val="auto"/>
              </w:rPr>
              <w:t>(2)</w:t>
            </w:r>
          </w:p>
        </w:tc>
        <w:tc>
          <w:tcPr>
            <w:tcW w:w="0" w:type="dxa"/>
            <w:vAlign w:val="bottom"/>
          </w:tcPr>
          <w:p>
            <w:pPr>
              <w:spacing w:after="0"/>
              <w:rPr>
                <w:sz w:val="1"/>
                <w:szCs w:val="1"/>
                <w:color w:val="auto"/>
              </w:rPr>
            </w:pPr>
          </w:p>
        </w:tc>
      </w:tr>
      <w:tr>
        <w:trPr>
          <w:trHeight w:val="229"/>
        </w:trPr>
        <w:tc>
          <w:tcPr>
            <w:tcW w:w="4620" w:type="dxa"/>
            <w:vAlign w:val="bottom"/>
            <w:tcBorders>
              <w:top w:val="single" w:sz="8" w:color="auto"/>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CMLS Holdings LLC</w:t>
            </w:r>
            <w:r>
              <w:rPr>
                <w:rFonts w:ascii="Times New Roman" w:cs="Times New Roman" w:eastAsia="Times New Roman" w:hAnsi="Times New Roman"/>
                <w:sz w:val="23"/>
                <w:szCs w:val="23"/>
                <w:color w:val="auto"/>
                <w:vertAlign w:val="superscript"/>
              </w:rPr>
              <w:t>(7)</w:t>
            </w:r>
          </w:p>
        </w:tc>
        <w:tc>
          <w:tcPr>
            <w:tcW w:w="80" w:type="dxa"/>
            <w:vAlign w:val="bottom"/>
            <w:tcBorders>
              <w:top w:val="single" w:sz="8" w:color="CCEEFF"/>
            </w:tcBorders>
            <w:gridSpan w:val="2"/>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6,736,669</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6,736,669</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60" w:type="dxa"/>
            <w:vAlign w:val="bottom"/>
            <w:gridSpan w:val="4"/>
          </w:tcPr>
          <w:p>
            <w:pPr>
              <w:ind w:left="20"/>
              <w:spacing w:after="0" w:line="230" w:lineRule="exact"/>
              <w:rPr>
                <w:sz w:val="20"/>
                <w:szCs w:val="20"/>
                <w:color w:val="auto"/>
              </w:rPr>
            </w:pPr>
            <w:r>
              <w:rPr>
                <w:rFonts w:ascii="Times New Roman" w:cs="Times New Roman" w:eastAsia="Times New Roman" w:hAnsi="Times New Roman"/>
                <w:sz w:val="18"/>
                <w:szCs w:val="18"/>
                <w:color w:val="auto"/>
              </w:rPr>
              <w:t>Nat Turner</w:t>
            </w:r>
            <w:r>
              <w:rPr>
                <w:rFonts w:ascii="Times New Roman" w:cs="Times New Roman" w:eastAsia="Times New Roman" w:hAnsi="Times New Roman"/>
                <w:sz w:val="23"/>
                <w:szCs w:val="23"/>
                <w:color w:val="auto"/>
                <w:vertAlign w:val="superscript"/>
              </w:rPr>
              <w:t>(31)</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166,666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166,666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60" w:type="dxa"/>
            <w:vAlign w:val="bottom"/>
            <w:gridSpan w:val="4"/>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Emily Leproust</w:t>
            </w:r>
            <w:r>
              <w:rPr>
                <w:rFonts w:ascii="Times New Roman" w:cs="Times New Roman" w:eastAsia="Times New Roman" w:hAnsi="Times New Roman"/>
                <w:sz w:val="23"/>
                <w:szCs w:val="23"/>
                <w:color w:val="auto"/>
                <w:vertAlign w:val="superscript"/>
              </w:rPr>
              <w:t>(14)</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166,666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166,666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gridSpan w:val="3"/>
          </w:tcPr>
          <w:p>
            <w:pPr>
              <w:ind w:left="20"/>
              <w:spacing w:after="0" w:line="230" w:lineRule="exact"/>
              <w:rPr>
                <w:sz w:val="20"/>
                <w:szCs w:val="20"/>
                <w:color w:val="auto"/>
              </w:rPr>
            </w:pPr>
            <w:r>
              <w:rPr>
                <w:rFonts w:ascii="Times New Roman" w:cs="Times New Roman" w:eastAsia="Times New Roman" w:hAnsi="Times New Roman"/>
                <w:sz w:val="18"/>
                <w:szCs w:val="18"/>
                <w:color w:val="auto"/>
              </w:rPr>
              <w:t>M. Munib Z. Islam</w:t>
            </w:r>
            <w:r>
              <w:rPr>
                <w:rFonts w:ascii="Times New Roman" w:cs="Times New Roman" w:eastAsia="Times New Roman" w:hAnsi="Times New Roman"/>
                <w:sz w:val="23"/>
                <w:szCs w:val="23"/>
                <w:color w:val="auto"/>
                <w:vertAlign w:val="superscript"/>
              </w:rPr>
              <w:t>(18)</w:t>
            </w:r>
          </w:p>
        </w:tc>
        <w:tc>
          <w:tcPr>
            <w:tcW w:w="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166,666</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166,666</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7,236,667</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7,236,667</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gridSpan w:val="2"/>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5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w:t>
      </w:r>
    </w:p>
    <w:p>
      <w:pPr>
        <w:spacing w:after="0" w:line="15" w:lineRule="exact"/>
        <w:rPr>
          <w:sz w:val="20"/>
          <w:szCs w:val="20"/>
          <w:color w:val="auto"/>
        </w:rPr>
      </w:pPr>
    </w:p>
    <w:p>
      <w:pPr>
        <w:ind w:left="340" w:right="360" w:hanging="332"/>
        <w:spacing w:after="0" w:line="272" w:lineRule="auto"/>
        <w:tabs>
          <w:tab w:leader="none" w:pos="33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first table includes Business Combination PIPE Shares, Founder Shares, Legacy Sema4 Holder Shares, Earn-Out Shares (includes both shares beneficially owned as determined in accordance with Rule 13d-3 of the Exchange Act and shares which the holder has a contingent right to receive), shares of Class A common stock issuable upon exercise of the private placement warrants, Stock Consideration Shares (including both shares beneficially owned as determined in accordance with Rule 13d-3 of the Exchange Act and additional shares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440" w:right="339" w:bottom="1440" w:gutter="0" w:footer="0" w:header="0"/>
        </w:sectPr>
      </w:pPr>
    </w:p>
    <w:bookmarkStart w:id="25" w:name="page26"/>
    <w:bookmarkEnd w:id="25"/>
    <w:p>
      <w:pPr>
        <w:ind w:left="332" w:right="40"/>
        <w:spacing w:after="0" w:line="262" w:lineRule="auto"/>
        <w:rPr>
          <w:sz w:val="20"/>
          <w:szCs w:val="20"/>
          <w:color w:val="auto"/>
        </w:rPr>
      </w:pPr>
      <w:r>
        <w:rPr>
          <w:rFonts w:ascii="Times New Roman" w:cs="Times New Roman" w:eastAsia="Times New Roman" w:hAnsi="Times New Roman"/>
          <w:sz w:val="14"/>
          <w:szCs w:val="14"/>
          <w:color w:val="auto"/>
        </w:rPr>
        <w:t>holder has the contingent right receive), Milestone Shares (including both shares beneficially owned as determined in accordance with Rule 13d-3 of the Exchange Act and additional shares the holder has the contingent right receive) and Acquisition PIPE Shares, and the second table includes the private placement warrants included in this table (collectively, the “Resale Securities”). We do not know when or in what amounts the Selling Securityholders will offer the Resale Securities for sale, if at all.</w:t>
      </w:r>
    </w:p>
    <w:p>
      <w:pPr>
        <w:spacing w:after="0" w:line="2" w:lineRule="exact"/>
        <w:rPr>
          <w:sz w:val="20"/>
          <w:szCs w:val="20"/>
          <w:color w:val="auto"/>
        </w:rPr>
      </w:pPr>
    </w:p>
    <w:p>
      <w:pPr>
        <w:ind w:left="332" w:right="360" w:hanging="332"/>
        <w:spacing w:after="0" w:line="260" w:lineRule="auto"/>
        <w:tabs>
          <w:tab w:leader="none" w:pos="324"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percentage of shares to be beneficially owned after completion of the offering is calculated on the basis of 380,641,510 shares of Class A common stock outstanding, assuming the issuance of 30,864,198 Milestone Shares, the issuance of all Earn-Out Shares and the exercise of all currently outstanding warrants, and the sale of all Resale Securities by the Selling Securityholders.</w:t>
      </w:r>
    </w:p>
    <w:p>
      <w:pPr>
        <w:ind w:left="332" w:right="180" w:hanging="332"/>
        <w:spacing w:after="0" w:line="254" w:lineRule="auto"/>
        <w:tabs>
          <w:tab w:leader="none" w:pos="324"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107,000 Business Combination PIPE Shares held by Avidity Capital Fund II LP (“Avidity Capital”) and 843,000 Business Combination PIPE Shares held by Avidity Master Fund LP (“Avidity Master”).</w:t>
      </w:r>
    </w:p>
    <w:p>
      <w:pPr>
        <w:ind w:left="332" w:hanging="332"/>
        <w:spacing w:after="0" w:line="257" w:lineRule="auto"/>
        <w:tabs>
          <w:tab w:leader="none" w:pos="324"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24,410 Earn-out Shares (consisting of 20,957 Initially Allocated Earn-Out Shares and 3,453 Reallocated Earn-Out Shares) held by BlackRock Global Allocation Collective Fund, 4,005 Earn-out Shares (consisting of 3,438 Initially Allocated Earn-Out Shares and 567 Reallocated Earn-Out Shares) held by BlackRock Global Allocation Fund (Aust), 233,680 Earn-out Shares (consisting of 200,637 Initially Allocated Earn-Out Shares and 33,043 Reallocated Earn-Out Shares) held by BlackRock Global Allocation Fund, Inc., 1,840 Earn-out Shares (consisting of 1,579 Initially Allocated Earn-Out Shares and 261 Reallocated Earn-Out Shares) held by BlackRock Global Allocation Portfolio of BlackRock Series Fund, Inc., 81,840 Earn-out Shares (consisting of 70,268 Initially Allocated Earn-Out Shares and 11,572 Reallocated Earn-Out Shares) held by BlackRock Global Allocation V.I. Fund of BlackRock Variable Series Funds, Inc., 141,325 Earn-out Shares (consisting of 121,342 Initially Allocated Earn-Out Shares and 19,983 Reallocated Earn-Out Shares) held by BlackRock Global Funds - Global Allocation Fund, 12,328 Earn-out Shares (consisting of 10,584 Initially Allocated Earn-Out Shares and 1,744 Reallocated Earn-Out Shares) held by BlackRock Global Funds - Global Dynamic Equity Fund, 166,471 Earn-out Shares (consisting of 142,931 Initially Allocated Earn-Out Shares and 23,540 Reallocated Earn-Out Shares) held by BlackRock Strategic Income Opportunities Portfolio of BlackRock Funds V. The registered holders of the referenced shares to be registered are the following funds and accounts under management by subsidiaries of BlackRock, Inc.: BlackRock Strategic Income Opportunities Portfolio of BlackRock Funds V; BlackRock Global Allocation Collective Fund; BlackRock Global Funds – Global Dynamic Equity Fund; BlackRock Global Allocation Portfolio of BlackRock Series Fund, Inc.; BlackRock Global Allocation Fund, Inc.; BlackRock Global Funds – Global Allocation Fund; BlackRock Global Allocation V.I. Fund of BlackRock Variable Series Funds, Inc.; and BlackRock Global Allocation Fund (Aust). BlackRock, Inc. is the ultimate parent holding company of such subsidiaries. On behalf of such subsidiaries, the applicable portfolio managers, as managing directors (or in other capacities) of such entities, and/or the applicable investment committee members of such funds and accounts, have voting and investment power over the shares held by the funds and accounts which are the registered holders of the referenced shares. Such portfolio managers and/or investment committee members expressly disclaim beneficial ownership of all shares held by such funds and accounts. The address of such funds and accounts, such subsidiaries and such portfolio managers and/or investment committee members is 55 East 52nd Street, New York, NY 10055. Shares shown include only the securities being registered for resale and may not incorporate all shares deemed to be beneficially held by the registered holders or BlackRock, Inc.</w:t>
      </w:r>
    </w:p>
    <w:p>
      <w:pPr>
        <w:spacing w:after="0" w:line="9" w:lineRule="exact"/>
        <w:rPr>
          <w:rFonts w:ascii="Times New Roman" w:cs="Times New Roman" w:eastAsia="Times New Roman" w:hAnsi="Times New Roman"/>
          <w:sz w:val="14"/>
          <w:szCs w:val="14"/>
          <w:color w:val="auto"/>
        </w:rPr>
      </w:pPr>
    </w:p>
    <w:p>
      <w:pPr>
        <w:ind w:left="332" w:right="20" w:hanging="332"/>
        <w:spacing w:after="0" w:line="258" w:lineRule="auto"/>
        <w:tabs>
          <w:tab w:leader="none" w:pos="324"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(i) 2,434,863 Acquisition PIPE Shares, 24,404,324 Legacy Sema4 Holder Shares and 3,203,218 Earn-out Shares (consisting of 2,750,264 Initially Allocated Earn-Out Shares and 452,954 Reallocated Earn-Out Shares) held by BTO Sema4 Holdings L.P. (“BTO Sema4 Holdings”), (ii) 50,402 Acquisition PIPE Shares, 505,095 Legacy Sema4 Holder Shares and 66,297 Earn-out Shares (consisting of 56,922 Initially Allocated Earn-Out Shares and 9,375 Reallocated Earn-Out Shares) held by Blackstone Tactical Opportunities Fund - FD L.P. (“Blackstone Opportunities Fund”), and (iii) 14,735 Acquisition PIPE Shares, 147,574 Legacy Sema4 Holder Shares and 19,371 Earn-out Shares (consisting of 16,632 Initially Allocated Earn-Out Shares and 2,739 Reallocated Earn-Out Shares) held by Blackstone Family Tactical Opportunities Investment Partnership III ESC L.P. (“Blackstone Opportunities Partnership”) held by Blackstone Family Tactical Opportunities Investment Partnership III ESC L.P.</w:t>
      </w:r>
    </w:p>
    <w:p>
      <w:pPr>
        <w:spacing w:after="0" w:line="1" w:lineRule="exact"/>
        <w:rPr>
          <w:rFonts w:ascii="Times New Roman" w:cs="Times New Roman" w:eastAsia="Times New Roman" w:hAnsi="Times New Roman"/>
          <w:sz w:val="14"/>
          <w:szCs w:val="14"/>
          <w:color w:val="auto"/>
        </w:rPr>
      </w:pPr>
    </w:p>
    <w:p>
      <w:pPr>
        <w:ind w:left="332" w:right="160" w:hanging="332"/>
        <w:spacing w:after="0" w:line="257" w:lineRule="auto"/>
        <w:tabs>
          <w:tab w:leader="none" w:pos="324"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11,437,500 Acquisition PIPE Shares and 5,000,000 Business Combination PIPE Shares held by Casdin Partners Master Fund, L.P. Casdin Capital, LLC is the investment adviser to Casdin Partners Master Fund, LP and Casdin Partners GP, LLC is the general partner of Casdin Partners Master Fund LP. Eli Casdin is the managing member of Casdin Capital, LLC and Casdin Partners GP, LLC. As such, each of the foregoing may be deemed to have or share beneficial ownership of the Class A common stock held directly by Casdin Partners Master Fund, LP. Mr. Casdin is member of Sema4 Holdings’ board of directors. The business address of Casdin Partners Master Fund L.P. and Mr. Casdin is c/o Casdin Capital, LLC, 1350 Avenue of the Americas, Suite 2600, New York, NY 10019.</w:t>
      </w:r>
    </w:p>
    <w:p>
      <w:pPr>
        <w:spacing w:after="0" w:line="2" w:lineRule="exact"/>
        <w:rPr>
          <w:rFonts w:ascii="Times New Roman" w:cs="Times New Roman" w:eastAsia="Times New Roman" w:hAnsi="Times New Roman"/>
          <w:sz w:val="14"/>
          <w:szCs w:val="14"/>
          <w:color w:val="auto"/>
        </w:rPr>
      </w:pPr>
    </w:p>
    <w:p>
      <w:pPr>
        <w:ind w:left="332" w:hanging="332"/>
        <w:spacing w:after="0" w:line="259" w:lineRule="auto"/>
        <w:tabs>
          <w:tab w:leader="none" w:pos="324"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purposes of the first table, shares hereby offered consists of 10,993,750 Founder Shares and 6,736,669 shares of Class A common stock underlying warrants that are exercisable within 60 days of the date of this prospectus held by the Former Sponsor. For the purposes of the second table, consists of 6,736,669 warrants held by the Former Sponsor. The first table assumes the exercise in full of the warrants held by the Former Sponsor, and the second table assumes no exercise of the warrants held by the Former Sponsor. The Board of Managers of the Former Sponsor, or CMLS Holdings LLC, is comprised of Mr. Eli Casdin and Mr. Keith Meister who share voting and investment discretion with respect to the Class A common stock held of record by CMLS Holdings LLC. Mr. Casdin is a member of Sema4 Holdings’ board of directors. C-LSH LLC and M-LSH LLC are the members of CMLS Holdings LLC, and Mr. Casdin and Mr. Meister are the 5 managing members of C-LSH LLC and M-LSH LLC, respectively. As such, each of the foregoing may be deemed to have or share beneficial ownership of the Class A common stock held directly by CMLS Holdings LLC. The business address of the Former Sponsor is c/o Corvex Management LP, 667 Madison Avenue, New York, NY 10065. Since January 2022, Keith Meister, Managing Partner and Chief Investment Officer of Corvex Management LP, has served as a director on the Board and as Chairman of the Audit Committee.</w:t>
      </w:r>
    </w:p>
    <w:p>
      <w:pPr>
        <w:spacing w:after="0" w:line="162" w:lineRule="exact"/>
        <w:rPr>
          <w:rFonts w:ascii="Times New Roman" w:cs="Times New Roman" w:eastAsia="Times New Roman" w:hAnsi="Times New Roman"/>
          <w:sz w:val="14"/>
          <w:szCs w:val="14"/>
          <w:color w:val="auto"/>
        </w:rPr>
      </w:pPr>
    </w:p>
    <w:p>
      <w:pPr>
        <w:ind w:left="332" w:right="140" w:hanging="332"/>
        <w:spacing w:after="0" w:line="254" w:lineRule="auto"/>
        <w:tabs>
          <w:tab w:leader="none" w:pos="324"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520,380 Legacy Sema4 Holder Shares and 58,342 Earn-out Shares (consisting of 50,093 Initially Allocated Earn- Out Shares and 8,249 Reallocated Earn-Out Shares).</w:t>
      </w:r>
    </w:p>
    <w:p>
      <w:pPr>
        <w:ind w:left="332" w:right="140" w:hanging="332"/>
        <w:spacing w:after="0" w:line="260" w:lineRule="auto"/>
        <w:tabs>
          <w:tab w:leader="none" w:pos="324"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f (i) 7,320,000 Acquisition PIPE Shares and 3,696,000 Business Combination PIPE Shares held by Corvex Select Equity Master Fund LP (“Corvex Select Fund”), (ii) 3,557,000 Acquisition PIPE Shares and 240,000 Business Combination PIPE Shares held by Corvex Master Fund LP (“Corvex Master Fund”), and (iii) 560,500 Acquisition PIPE Shares and 64,000 Business Combination PIPE Shares held by Corvex Dynamic Equity Select Master Fund LP (“Corvex Dynamic Fund”). Since January 2022, Keith Meister, Managing Partner and Chief Investment Officer of Corvex Management LP, has served as a director on the Board and as Chairman of the Audit Committee.</w:t>
      </w:r>
    </w:p>
    <w:p>
      <w:pPr>
        <w:spacing w:after="0" w:line="1" w:lineRule="exact"/>
        <w:rPr>
          <w:rFonts w:ascii="Times New Roman" w:cs="Times New Roman" w:eastAsia="Times New Roman" w:hAnsi="Times New Roman"/>
          <w:sz w:val="14"/>
          <w:szCs w:val="14"/>
          <w:color w:val="auto"/>
        </w:rPr>
      </w:pPr>
    </w:p>
    <w:p>
      <w:pPr>
        <w:ind w:left="332" w:right="200" w:hanging="332"/>
        <w:spacing w:after="0" w:line="263" w:lineRule="auto"/>
        <w:tabs>
          <w:tab w:leader="none" w:pos="329"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3,418,929 Legacy Sema4 Holder Shares and 376,083 Earn-out Shares (consisting of 322,902 Initially Allocated Earn-Out Shares and 53,181 Reallocated Earn-Out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32"/>
          </w:cols>
          <w:pgMar w:left="328" w:top="1413" w:right="339" w:bottom="1440" w:gutter="0" w:footer="0" w:header="0"/>
        </w:sectPr>
      </w:pPr>
    </w:p>
    <w:bookmarkStart w:id="26" w:name="page27"/>
    <w:bookmarkEnd w:id="26"/>
    <w:p>
      <w:pPr>
        <w:ind w:left="332" w:right="20" w:hanging="332"/>
        <w:spacing w:after="0" w:line="258" w:lineRule="auto"/>
        <w:tabs>
          <w:tab w:leader="none" w:pos="323"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(i) an aggregate of 10,049,244 Acquisition PIPE Shares, Business Combination PIPE Shares and Legacy Sema4 Holder Shares and 610,416 Earn-out Shares (consisting of 524,100 Initially Allocated Earn-Out Shares and 86,316 Reallocated Earn-Out Shares) held by Deerfield Private Design Fund V, L.P. (“Deerfield Private Design”), and (ii) an aggregate of 7,112,044 Acquisition PIPE Shares, Business Combination PIPE Shares and Legacy Sema4 Holder Shares and 610,416 Earn-out Shares (consisting of 524,100 Initially Allocated Earn-Out Shares and 86,316 Reallocated Earn-Out Shares) held by Deerfield Partners, L.P. (“Deerfield Partners”). Deerfield Private Design and Deerfield Partners have informed us that they do not delineate among the Acquisition PIPE Shares, Business Combination PIPE Shares and Legacy Sema4 Holder Shares they respectively hold and, accordingly, we have assumed their shares comprise 3,125,000 Acquisition PIPE Shares, 1,375,000 Business Combination PIPE Shares and 5,549,244 Legacy Sema4 Holder Shares held by Deerfield Private Design, and 1,875,000 Acquisition PIPE Shares, 1,375,000 Business Combination PIPE Shares and 3,862,044 Legacy Sema4 Holder Shares held by Deerfield Partners. Deerfield Mgmt V, L.P. is the general partner of Deerfield Private Design Fund V, L.P. Deerfield Mgmt, L.P. is the general partner of Deerfield Partners, L.P. Deerfield Management Company, L.P. is the investment manager of each of Deerfield Private Design Fund V, L.P. and Deerfield Partners, L.P. Mr. James E. Flynn is the sole member of the general partner of each of Deerfield Private Design Fund V, L.P., Deerfield Partners, L.P. and Deerfield Management Company, L.P. Deerfield Mgmt V, L.P. may be deemed to beneficially own the securities held by Deerfield Private Design Fund V, L.P. Deerfield Mgmt, L.P. may be deemed to beneficially own the securities held by Deerfield Partners, L.P. Each of Deerfield Management Company, L.P. and Mr. Flynn may be deemed to beneficially own the securities held by each of Deerfield Private Design Fund V, L.P. and Deerfield Partners, L.P. The address for the foregoing entities and individual is 345 Park Avenue South, 12th Floor, New York, NY 10010.</w:t>
      </w:r>
    </w:p>
    <w:p>
      <w:pPr>
        <w:spacing w:after="0" w:line="7" w:lineRule="exact"/>
        <w:rPr>
          <w:rFonts w:ascii="Times New Roman" w:cs="Times New Roman" w:eastAsia="Times New Roman" w:hAnsi="Times New Roman"/>
          <w:sz w:val="14"/>
          <w:szCs w:val="14"/>
          <w:color w:val="auto"/>
        </w:rPr>
      </w:pPr>
    </w:p>
    <w:p>
      <w:pPr>
        <w:ind w:left="332" w:right="20" w:hanging="332"/>
        <w:spacing w:after="0" w:line="260" w:lineRule="auto"/>
        <w:tabs>
          <w:tab w:leader="none" w:pos="329"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the first table, shares hereby offered consist of 166,666 shares of Class A common stock underlying warrants that are exercisable within 60 days of the date of this prospectus held by Emily Leproust and 25,000 Founder Shares. For the purposes of the second table, consists of 166,666 warrants. The first table assumes the exercise in full of the warrants held by Ms. Leproust, and the second table assumes no exercise of the warrants held by Ms. Leproust. Ms. Leproust is member of Sema4 Holdings’ board of directors.</w:t>
      </w:r>
    </w:p>
    <w:p>
      <w:pPr>
        <w:ind w:left="332" w:right="20" w:hanging="332"/>
        <w:spacing w:after="0" w:line="257" w:lineRule="auto"/>
        <w:tabs>
          <w:tab w:leader="none" w:pos="329"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6,250,000 Acquisition PIPE Shares, 88,355,473 Legacy Sema4 Holder Shares and 11,597,198 Earn-out Shares (consisting of 9,957,284 Initially Allocated Earn-Out Shares and 1,639,914 Reallocated Earn-Out Shares). The shares are held by ISMMS, a New York Education Corporation. The responsibility and authority for the voting and investment decisions with respect to the shares held by ISMMS is vested in those persons who from time to time are the executive officers of ISMMS under the oversight and direction of its board of directors and its sole member, Mount Sinai Health System, Inc., a New York Not-for-Profit Corporation. The address for Icahn School of Medicine at Mount Sinai is One Gustave L. Levy Place, New York, New York 10029.</w:t>
      </w:r>
    </w:p>
    <w:p>
      <w:pPr>
        <w:spacing w:after="0" w:line="2"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1,000,000 Business Combination PIPE Shares held by JS Capital LLC.</w:t>
      </w:r>
    </w:p>
    <w:p>
      <w:pPr>
        <w:spacing w:after="0" w:line="14" w:lineRule="exact"/>
        <w:rPr>
          <w:rFonts w:ascii="Times New Roman" w:cs="Times New Roman" w:eastAsia="Times New Roman" w:hAnsi="Times New Roman"/>
          <w:sz w:val="14"/>
          <w:szCs w:val="14"/>
          <w:color w:val="auto"/>
        </w:rPr>
      </w:pPr>
    </w:p>
    <w:p>
      <w:pPr>
        <w:ind w:left="332" w:right="120" w:hanging="332"/>
        <w:spacing w:after="0" w:line="254" w:lineRule="auto"/>
        <w:tabs>
          <w:tab w:leader="none" w:pos="329"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the first table, shares hereby offered consist of 100,000 Business Combination PIPE Shares and 166,666 shares of Class A common stock underlying warrants that are exercisable within 60 days of the date of this prospectus held by M. Munib Z. For the purposes of the second table, consists of 166,666 warrants. The first table assumes the exercise in full of the warrants held by M. Munib Z., and the second table assumes no exercise of the warrants held by M. Munib Z.</w:t>
      </w:r>
    </w:p>
    <w:p>
      <w:pPr>
        <w:spacing w:after="0" w:line="1" w:lineRule="exact"/>
        <w:rPr>
          <w:rFonts w:ascii="Times New Roman" w:cs="Times New Roman" w:eastAsia="Times New Roman" w:hAnsi="Times New Roman"/>
          <w:sz w:val="14"/>
          <w:szCs w:val="14"/>
          <w:color w:val="auto"/>
        </w:rPr>
      </w:pPr>
    </w:p>
    <w:p>
      <w:pPr>
        <w:ind w:left="332" w:right="380" w:hanging="332"/>
        <w:spacing w:after="0" w:line="256" w:lineRule="auto"/>
        <w:tabs>
          <w:tab w:leader="none" w:pos="329"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110,977 Earn-out Shares (consisting of 95,283 Initially Allocated Earn-Out Shares and 15,694 Reallocated Earn- Out Shares) held by Moore Strategic Ventures, LLC (“MSV LLC”). Louis Bacon is the indirect majority owner of MSV LLC, has voting and investment control over shares held by MSV LLC, and may be deemed the beneficial owner of shares held by MSV LLC. The address of MSV LLC and Mr. Bacon is 11 Times Square, 38th Floor, New York, New York 10036.</w:t>
      </w:r>
    </w:p>
    <w:p>
      <w:pPr>
        <w:spacing w:after="0" w:line="1" w:lineRule="exact"/>
        <w:rPr>
          <w:rFonts w:ascii="Times New Roman" w:cs="Times New Roman" w:eastAsia="Times New Roman" w:hAnsi="Times New Roman"/>
          <w:sz w:val="14"/>
          <w:szCs w:val="14"/>
          <w:color w:val="auto"/>
        </w:rPr>
      </w:pPr>
    </w:p>
    <w:p>
      <w:pPr>
        <w:ind w:left="332" w:hanging="332"/>
        <w:spacing w:after="0" w:line="260" w:lineRule="auto"/>
        <w:tabs>
          <w:tab w:leader="none" w:pos="329"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the first table, shares hereby offered consist of 166,666 shares of Class A common stock underlying warrants that are exercisable within 60 days of the date of this prospectus held by Nat Turner and 25,000 Founder Shares. For the purposes of the second table, consists of 166,666 warrants. The first table assumes the exercise in full of the warrants held by Mr. Turner, and the second table assumes no exercise of the warrants held by Mr. Turner.</w:t>
      </w:r>
    </w:p>
    <w:p>
      <w:pPr>
        <w:ind w:left="332" w:right="100" w:hanging="332"/>
        <w:spacing w:after="0" w:line="254" w:lineRule="auto"/>
        <w:tabs>
          <w:tab w:leader="none" w:pos="329"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5,571,207 Legacy Sema4 Holder Shares and 731,255 Earn-Out Shares (consisting of 627,851 Initially Allocated Earn-Out Shares and 103,404 Reallocated Earn-Out Shares).</w:t>
      </w:r>
    </w:p>
    <w:p>
      <w:pPr>
        <w:ind w:left="312" w:hanging="312"/>
        <w:spacing w:after="0"/>
        <w:tabs>
          <w:tab w:leader="none" w:pos="31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(i) 80,000,000 Stock Consideration Shares and (ii) 30,864,198 Milestone Shares held by OPKO.</w:t>
      </w:r>
    </w:p>
    <w:p>
      <w:pPr>
        <w:spacing w:after="0" w:line="11"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2,500,000 Acquisition PIPE Shares and 2,500,000 Business Combination PIPE Shares held by Perceptive Life Sciences Master Fund, Ltd.</w:t>
      </w:r>
    </w:p>
    <w:p>
      <w:pPr>
        <w:spacing w:after="0" w:line="14"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6,250,000 Acquisition PIPE Shares held by Pfizer Inc.</w:t>
      </w:r>
    </w:p>
    <w:p>
      <w:pPr>
        <w:spacing w:after="0" w:line="14" w:lineRule="exact"/>
        <w:rPr>
          <w:rFonts w:ascii="Times New Roman" w:cs="Times New Roman" w:eastAsia="Times New Roman" w:hAnsi="Times New Roman"/>
          <w:sz w:val="14"/>
          <w:szCs w:val="14"/>
          <w:color w:val="auto"/>
        </w:rPr>
      </w:pPr>
    </w:p>
    <w:p>
      <w:pPr>
        <w:ind w:left="332" w:right="100" w:hanging="332"/>
        <w:spacing w:after="0" w:line="255" w:lineRule="auto"/>
        <w:tabs>
          <w:tab w:leader="none" w:pos="329"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1,250,000 Acquisition PIPE Shares, 7,449,227 Legacy Sema4 Holder Shares and 819,416 Earn-Out Shares (consisting of 703,545 Initially Allocated Earn-Out Shares and 115,871 Reallocated Earn-Out Shares). held by Section 32 Fund 2, L.P. The general partner of Section 32 Fund 2, LP is Section 32 GP 2, LLC. The general partner of Section 32 Fund 2, LP, may be deemed to have voting and dispositive power over the shares held by Section 32 Fund 2, LP. Investment decisions with respect to the shares held by Section 32 Fund 2, LP are made by the managing member of Section 32 GP 2, LLC, William J. Maris, and, therefore, Mr. Maris may be deemed to be the beneficial ownership of all shares held by Section 32 Fund 2, LP. Michael Pellini serves on the Board of Directors of Sema4 and is a Member of Section 32 GP 2, LLC. The address for all entities and individuals affiliated with Section 32 Fund 2, LP is 171 Main St. #671, Los Altos, CA 94022.</w:t>
      </w:r>
    </w:p>
    <w:p>
      <w:pPr>
        <w:spacing w:after="0" w:line="2" w:lineRule="exact"/>
        <w:rPr>
          <w:rFonts w:ascii="Times New Roman" w:cs="Times New Roman" w:eastAsia="Times New Roman" w:hAnsi="Times New Roman"/>
          <w:sz w:val="14"/>
          <w:szCs w:val="14"/>
          <w:color w:val="auto"/>
        </w:rPr>
      </w:pPr>
    </w:p>
    <w:p>
      <w:pPr>
        <w:ind w:left="332" w:right="60" w:hanging="332"/>
        <w:spacing w:after="0" w:line="257" w:lineRule="auto"/>
        <w:tabs>
          <w:tab w:leader="none" w:pos="329"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1,250,000 Acquisition PIPE Shares and1,500,000 Business Combination PIPE Shares held by Third Point Loan LLC. (“TP Loan”). TP Loan holds the securities listed herein as nominee for funds managed and/or advised by Third Point LLC (Third Point”) and not in its individual capacity. Daniel S. Loeb is the Chief Executive Officer of Third Point. By reason of the provisions of Rule 13d-3 under the Securities Exchange Act of 1934, as amended, Third Point and Mr. Loeb may be deemed to be the beneficial owners of the securities beneficially owned by TP Loan. Third Point and Mr. Loeb hereby disclaim beneficial ownership of all such securities, except to the extent of any indirect pecuniary interest therein. The business address for Mr. Loeb and the entities identified in this footnote is c/o Third Point LLC, 55 Hudson Yards, 51st Floor, New York, NY 10001.</w:t>
      </w:r>
    </w:p>
    <w:p>
      <w:pPr>
        <w:spacing w:after="0" w:line="2" w:lineRule="exact"/>
        <w:rPr>
          <w:rFonts w:ascii="Times New Roman" w:cs="Times New Roman" w:eastAsia="Times New Roman" w:hAnsi="Times New Roman"/>
          <w:sz w:val="14"/>
          <w:szCs w:val="14"/>
          <w:color w:val="auto"/>
        </w:rPr>
      </w:pPr>
    </w:p>
    <w:p>
      <w:pPr>
        <w:ind w:left="332" w:right="20" w:hanging="332"/>
        <w:spacing w:after="0" w:line="270" w:lineRule="auto"/>
        <w:tabs>
          <w:tab w:leader="none" w:pos="329"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666,431 Business Combination PIPE Shares held by T. Rowe Price Health Sciences Fund (“T. Rowe Health Sciences Fund”), 53,808 Business Combination PIPE Shares held by TD Mutual Funds - TD Health Sciences Fund (“TD Health Sciences Fund”) and 29,761 Business Combination PIPE Shares held by T. Rowe Price Health Sciences Portfolio (“T. Rowe Health Sciences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32"/>
          </w:cols>
          <w:pgMar w:left="328" w:top="1413" w:right="339" w:bottom="1440" w:gutter="0" w:footer="0" w:header="0"/>
        </w:sectPr>
      </w:pPr>
    </w:p>
    <w:bookmarkStart w:id="27" w:name="page28"/>
    <w:bookmarkEnd w:id="27"/>
    <w:p>
      <w:pPr>
        <w:ind w:left="340" w:right="460" w:hanging="332"/>
        <w:spacing w:after="0" w:line="302" w:lineRule="auto"/>
        <w:tabs>
          <w:tab w:leader="none" w:pos="337"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(i) 1,632,963 Acquisition PIPE Shares held by Vaal Investment Partners Q9 LP, (ii) 329,665 Acquisition PIPE Shares held by RUGU2 LLC and (iii) 162,372 Acquisition PIPE Shares held by Kariba LLC. These entities are affiliated with Joshua Ruch, a member of our Board.</w:t>
      </w:r>
    </w:p>
    <w:p>
      <w:pPr>
        <w:spacing w:after="0" w:line="11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entered into the Amended and Restated Registration Rights Agreement, the Business Combination Subscription Agreements, the Shareholder Agreements and/or the Acquisition Subscription Agreements with the Selling Securityholders party thereto pursuant to which, among other things, we have provided them with certain registration rights and agreed to pay certain expenses and indemnify them from certain liabilities in connection with this offering. For more information, see “Plan of Distribution”.</w:t>
      </w:r>
    </w:p>
    <w:p>
      <w:pPr>
        <w:spacing w:after="0" w:line="126"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For additional information regarding certain related party transactions involving our officers, directors and other related parties, see the section “Certain Relationships and Related Party Transactions and Director Independence” beginning on page 171 of our Annual Report on Form 10-K for the fiscal year ended December 31, 2021,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20"/>
          </w:cols>
          <w:pgMar w:left="320" w:top="1413" w:right="359" w:bottom="1440" w:gutter="0" w:footer="0" w:header="0"/>
        </w:sectPr>
      </w:pPr>
    </w:p>
    <w:bookmarkStart w:id="28" w:name="page29"/>
    <w:bookmarkEnd w:id="28"/>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75"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The Selling Securityholders, which as used herein includes donees, pledgees, transferees, distributees or other successors-in-interest selling shares of our Class A common stock or warrants or interests in our Class A common stock or warrants received after the date of this prospectus from the Selling Securityholders as a gift, pledge, partnership distribution or other transfer, may, from time to time, sell, transfer, distribute or otherwise dispose of certain of their shares of Class A common stock or warrants or interests in our Class A common stock or warrants on any stock exchange, market or trading facility on which shares of our Class A common stock or warrants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1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Selling Securityholders may use any one or more of the following methods when disposing of their shares of Class A common stock or warrants or interests therein:</w:t>
      </w:r>
    </w:p>
    <w:p>
      <w:pPr>
        <w:spacing w:after="0" w:line="108"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17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underwritten offerings; block trades (which may involve crosses) in which the broker-dealer will attempt to sell the shares of Class A common stock or warrants as agent, but may position and resell a portion of the block as principal to facilitate the transaction;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and/or secondary distribution in accordance with the rules of the applicable exchange;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their employees, partners, members or stockholders;</w:t>
      </w:r>
    </w:p>
    <w:p>
      <w:pPr>
        <w:spacing w:after="0" w:line="171"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(including short sales “against the box”) effected after the date of the registration statement of which this prospectus is a part is declared effective by the SEC;</w:t>
      </w:r>
    </w:p>
    <w:p>
      <w:pPr>
        <w:spacing w:after="0" w:line="107"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standardized or over-the-counter options or other hedging transactions, whether through an options exchange or otherwise;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market transactions, including transactions on a national securities exchange or quotations service or over-the-counter market;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pledge to secure debts and other obligation;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including our affiliates and stockholders, in a rights offering or otherwise;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71"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Securityholders to sell a specified number of such shares of Class A common stock or warrants at a stipulated price per share;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 or any other method permitted by applicable law.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Selling Securityholders may effect the distribution of our Class A common stock and warrants from time to time in one or more transactions either:</w:t>
      </w:r>
    </w:p>
    <w:p>
      <w:pPr>
        <w:spacing w:after="0" w:line="171"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 from time to time;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relating to the prevailing market prices;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20"/>
          </w:cols>
          <w:pgMar w:left="320" w:top="1440" w:right="359" w:bottom="1440" w:gutter="0" w:footer="0" w:header="0"/>
        </w:sectPr>
      </w:pPr>
    </w:p>
    <w:bookmarkStart w:id="29" w:name="page30"/>
    <w:bookmarkEnd w:id="29"/>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17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Selling Securityholders may, from time to time, pledge or grant a security interest in some shares of our Class A common stock or warrants owned by them and, if a Selling Securityholder defaults in the performance of its secured obligations, the pledgees or secured parties may offer and sell such shares of Class A common stock or warrants from time to time, under this prospectus, or under an amendment or supplement to this prospectus under Rule 424(b)(3) or other applicable provision of the Securities Act amending the list of the Selling Securityholders to include the pledgee, transferee or other successors in interest as the Selling Securityholders under this prospectus. The Selling Securityholders also may transfer shares of our Class A common stock or warrants in other circumstances, in which case the transferees, pledgees or other successors in interest will be the selling beneficial owners for purposes of this prospectus.</w:t>
      </w:r>
    </w:p>
    <w:p>
      <w:pPr>
        <w:spacing w:after="0" w:line="13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We and the Selling Securityholders may agree to indemnify an underwriter, broker-dealer or agent against certain liabilities related to the sale of our Class A common stock and warrants, including liabilities under the Securities Act. The Selling Securityholders have advised us that they have not entered into any agreements, understandings or arrangements with any underwriters or broker-dealers regarding the sale of their Class A common stock and warrants. Upon our notification by a Selling Securityholder that any material arrangement has been entered into with an underwriter or broker-dealer for the sale of Class A common stock and warrants through a block trade, special offering, exchange distribution, secondary distribution or a purchase by an underwriter or broker-dealer, we will file a supplement to this prospectus, if required, pursuant to Rule 424(b) under the Securities Act, disclosing certain material information, including:</w:t>
      </w:r>
    </w:p>
    <w:p>
      <w:pPr>
        <w:spacing w:after="0" w:line="135"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Selling Securityholder;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Class A common stock and warrants being offered;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offering;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the participating underwriters, broker-dealers or agents;</w:t>
      </w:r>
    </w:p>
    <w:p>
      <w:pPr>
        <w:spacing w:after="0" w:line="17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commissions or other compensation paid to underwriters or broker-dealers and any discounts, commissions or concessions allowed or reallowed or paid by any underwriters to dealers;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price;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net proceeds to us from the sale of the Class A common stock and warrants;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delayed delivery arrangements;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material terms of the offering.</w:t>
      </w:r>
    </w:p>
    <w:p>
      <w:pPr>
        <w:spacing w:after="0" w:line="17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addition, upon being notified by a Selling Securityholder that a donee, pledgee, transferee or other successor-in-interest intends to sell Class A common stock and warrants, we will, to the extent required, promptly file a supplement to this prospectus to name specifically such person as a Selling Securityholder.</w:t>
      </w:r>
    </w:p>
    <w:p>
      <w:pPr>
        <w:spacing w:after="0" w:line="122"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Agents, broker-dealers and underwriters or their affiliates may engage in transactions with, or perform services for, the Selling Securityholders (or their affiliates) in the ordinary course of business. The Selling Securityholders may also use underwriters or other third parties with whom such Selling Securityholders have a material relationship. The Selling Securityholders (or their affiliates) will describe the nature of any such relationship in the applicable prospectus supplement.</w:t>
      </w:r>
    </w:p>
    <w:p>
      <w:pPr>
        <w:spacing w:after="0" w:line="12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There can be no assurances that the Selling Securityholders will sell, nor are the Selling Securityholders required to sell, any or all of the Class A common stock and warrants offered under this prospectus.</w:t>
      </w:r>
    </w:p>
    <w:p>
      <w:pPr>
        <w:spacing w:after="0" w:line="108"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 connection with the sale of shares of our Class A common stock or warrants or interests therein, the Selling Securityholder may enter into hedging transactions with broker-dealers or other financial institutions, which may in turn engage in short sales of our Class A common stock or warrants in the course of hedging the positions they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417" w:right="339" w:bottom="1440" w:gutter="0" w:footer="0" w:header="0"/>
        </w:sectPr>
      </w:pPr>
    </w:p>
    <w:bookmarkStart w:id="30" w:name="page31"/>
    <w:bookmarkEnd w:id="30"/>
    <w:p>
      <w:pPr>
        <w:ind w:right="20"/>
        <w:spacing w:after="0" w:line="256" w:lineRule="auto"/>
        <w:rPr>
          <w:sz w:val="20"/>
          <w:szCs w:val="20"/>
          <w:color w:val="auto"/>
        </w:rPr>
      </w:pPr>
      <w:r>
        <w:rPr>
          <w:rFonts w:ascii="Times New Roman" w:cs="Times New Roman" w:eastAsia="Times New Roman" w:hAnsi="Times New Roman"/>
          <w:sz w:val="18"/>
          <w:szCs w:val="18"/>
          <w:color w:val="auto"/>
        </w:rPr>
        <w:t>assume. The Selling Securityholders may also sell shares of our Class A common stock or warrants short and deliver these securities to close out their short positions, or loan or pledge shares of our Class A common stock or warrants to broker-dealers that in turn may sell these securities. The Selling Securityholders may also enter into option or other transactions with broker-dealers or other financial institutions or the creation of one or more derivative securities that require the delivery to such broker-dealer or other financial institution of shares of our Class A common stock offered by this prospectus, which shares such broker-dealer or other financial institution may resell pursuant to this prospectus (as supplemented or amended to reflect such transaction).</w:t>
      </w:r>
    </w:p>
    <w:p>
      <w:pPr>
        <w:spacing w:after="0" w:line="13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aggregate proceeds to the Selling Securityholders from the sale of shares of our Class A common stock or warrants offered by them will be the purchase price of such shares of our Class A common stock or warrants less discounts or commissions, if any. The Selling Securityholders reserve the right to accept and, together with their agents from time to time, to reject, in whole or in part, any proposed purchase of shares of our Class A common stock or warrants to be made directly or through agents. We will not receive any of the proceeds from any offering by the Selling Securityholders.</w:t>
      </w:r>
    </w:p>
    <w:p>
      <w:pPr>
        <w:spacing w:after="0" w:line="12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Selling Securityholders also may in the future resell a portion of our Class A common stock or warrants in open market transactions in reliance upon Rule 144 under the Securities Act, provided that they meet the criteria and conform to the requirements of that rule, or pursuant to other available exemptions from the registration requirements of the Securities Act.</w:t>
      </w:r>
    </w:p>
    <w:p>
      <w:pPr>
        <w:spacing w:after="0" w:line="12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Selling Securityholders and any underwriters, broker-dealers or agents that participate in the sale of shares of our Class A common stock or warrants or interests therein may be “underwriters” within the meaning of Section 2(11) of the Securities Act. Any discounts, commissions, concessions or profit they earn on any resale of shares of our Class A common stock or warrants may be underwriting discounts and commissions under the Securities Act. If any Selling Securityholder is an “underwriter” within the meaning of Section 2(11) of the Securities Act, then the Selling Securityholder will be subject to the prospectus delivery requirements of the Securities Act. Underwriters and their controlling persons, dealers and agents may be entitled, under agreements entered into with us and the Selling Securityholders, to indemnification against and contribution toward specific civil liabilities, including liabilities under the Securities Act.</w:t>
      </w:r>
    </w:p>
    <w:p>
      <w:pPr>
        <w:spacing w:after="0" w:line="135"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To the extent required, our Class A common stock or warrants to be sold, the respective purchase price and public offering price, the names of any agent, dealer or underwriter, and any applicable discounts, commissions, concessions or other compensation with respect to a particular offer will be set forth in an accompanying prospectus supplement or, if appropriate, a post-effective amendment to the registration statement that includes this prospectus.</w:t>
      </w:r>
    </w:p>
    <w:p>
      <w:pPr>
        <w:spacing w:after="0" w:line="12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To facilitate the offering of shares of our Class A common stock and warrants offered by the Selling Securityholders, certain persons participating in the offering may engage in transactions that stabilize, maintain or otherwise affect the price of our Class A common stock or warrants. This may include over-allotments or short sales, which involve the sale by persons participating in the offering of more shares of Class A common stock or warrants than were sold to them. In these circumstances, these persons would cover such over-allotments or short positions by making purchases in the open market or by exercising their over-allotment option, if any. In addition, these persons may stabilize or maintain the price of our Class A common stock or warrants by bidding for or purchasing shares of Class A common stock or warrants in the open market or by imposing penalty bids, whereby selling concessions allowed to dealers participating in the offering may be reclaimed if shares of Class A common stock or warrants sold by them are repurchased in connection with stabilization transactions. The effect of these transactions may be to stabilize or maintain the market price of our Class A common stock or warrants at a level above that which might otherwise prevail in the open market. These transactions may be discontinued at any time. These transactions may be effected on any exchange on which the securities are traded, in the over-the-counter market or otherwise.</w:t>
      </w:r>
    </w:p>
    <w:p>
      <w:pPr>
        <w:spacing w:after="0" w:line="14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Pursuant to the Amended and Restated Registration Rights Agreement, the Business Combination Subscription Agreements, the Shareholder Agreements and the Acquisition Subscription Agreements, we have agreed to indemnify the applicable Selling Securityholders party thereto against certain liabilities that they may incur in connection with the sale of the securities registered hereunder, including liabilities under the Securities Act, and to contribute to payments that the Selling Securityholders may be required to make with respect thereto. In addition,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417" w:right="339" w:bottom="1440" w:gutter="0" w:footer="0" w:header="0"/>
        </w:sectPr>
      </w:pPr>
    </w:p>
    <w:bookmarkStart w:id="31" w:name="page32"/>
    <w:bookmarkEnd w:id="31"/>
    <w:p>
      <w:pPr>
        <w:ind w:right="320"/>
        <w:spacing w:after="0" w:line="282" w:lineRule="auto"/>
        <w:rPr>
          <w:sz w:val="20"/>
          <w:szCs w:val="20"/>
          <w:color w:val="auto"/>
        </w:rPr>
      </w:pPr>
      <w:r>
        <w:rPr>
          <w:rFonts w:ascii="Times New Roman" w:cs="Times New Roman" w:eastAsia="Times New Roman" w:hAnsi="Times New Roman"/>
          <w:sz w:val="18"/>
          <w:szCs w:val="18"/>
          <w:color w:val="auto"/>
        </w:rPr>
        <w:t>we and the Selling Securityholders may agree to indemnify any underwriter, broker-dealer or agent against certain liabilities related to the selling of the securities, including liabilities arising under the Securities Act.</w:t>
      </w:r>
    </w:p>
    <w:p>
      <w:pPr>
        <w:spacing w:after="0" w:line="108"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Pursuant to the Amended and Restated Registration Rights Agreement and the Shareholder Agreements, we have agreed to use our commercially reasonable efforts to cause the registration statement of which this prospectus forms a part to remain effective with respect to any securities registered hereunder pursuant to such agreement, as applicable, until: (i) such securities have been sold, transferred, disposed of or exchanged in accordance with such registration statement; (ii) such securities have ceased to be outstanding; (iii) such securities have been otherwise transferred, new certificates for such securities not bearing a legend restricting further transfer will have been delivered by us and subsequent public distribution of such securities will not require registration under the Securities Act; (iv) with respect to a Selling Securityholder party to such agreement, as applicable, all such securities held by such Selling Securityholder could be sold pursuant to Rule 144 without restriction on volume or manner of sale in any three-month period and without the requirement for us to be in compliance with the public information required under Rule 144; or (v) such securities have been sold to, or through, a broker, dealer or underwriter in a public distribution or other public securities transaction. Under each Business Combination Subscription Agreement and Acquisition Subscription Agreement, we have agreed to our commercially reasonable efforts to maintain the continuous effectiveness of the registration statement of which this prospectus forms a part with respect to any securities registered hereunder pursuant to such agreement, as applicable, until: (A) with respect to a Selling Securityholder party to such agreement, as applicable, such Selling Securityholder ceases to hold any such securities; (B) the date all such securities held by such Selling Securityholder may be sold without restriction under Rule 144, including without limitation, any volume and manner of sale restrictions which may be applicable to affiliates under Rule 144, and without the requirement for us to be in compliance with the current public information required under Rule 144; or (C) when such securities shall have ceased to be outstanding or three years from the date of effectiveness of our registration statement on Form S-1 (File No. 333-258467), originally filed with the SEC on August 4, 2021, or our registration statement on Form S-1 (File No. 333-264626), originally filed with the SEC on May 3, 2022, as applicable; or (B) such shorter period upon which such Selling Securityholder has notified us that such securities have actually been sold. Under the warrant agreement, we have agreed to maintain the effectiveness of this registration statement in respect of the shares of Class A common stock issuable upon the exercise of the public warrants and the private placement warrants until the expiration or redemption of such warrants. We have agreed to pay all expenses in connection with this offering, other than underwriting fees, discounts, selling commissions, stock transfer taxes and certain legal expenses. The Selling Securityholders will pay, on a pro rata basis, any underwriting fees, discounts, selling commissions, stock transfer taxes and certain legal expenses relating to the offering.</w:t>
      </w:r>
    </w:p>
    <w:p>
      <w:pPr>
        <w:spacing w:after="0" w:line="15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Selling Securityholders may use this prospectus in connection with resales of shares of our Class A common stock and warrants. This prospectus and any accompanying prospectus supplement will identify the Selling Securityholders, the terms of our Class A common stock or warrants and any material relationships between us and the Selling Securityholders. Selling Securityholders may be deemed to be underwriters under the Securities Act in connection with shares of our Class A common stock or warrants they resell and any profits on the sales may be deemed to be underwriting discounts and commissions under the Securities Act. Unless otherwise set forth in a prospectus supplement, the Selling Securityholders will receive all the net proceeds from the resale of shares of our Class A common stock or warrants.</w:t>
      </w:r>
    </w:p>
    <w:p>
      <w:pPr>
        <w:spacing w:after="0" w:line="13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 Selling Securityholders that is an entity may elect to make an in-kind distribution of Class A common stock or warrants to its members, partners or stockholders pursuant to the registration statement of which this prospectus is a part by delivering a prospectus, as amended or supplemented. To the extent that such transferees are not affiliates of ours, such transferees will receive freely tradable shares of Class A common stock or warrants pursuant to the distribution effected through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417" w:right="339" w:bottom="1440" w:gutter="0" w:footer="0" w:header="0"/>
        </w:sectPr>
      </w:pPr>
    </w:p>
    <w:bookmarkStart w:id="32" w:name="page33"/>
    <w:bookmarkEnd w:id="32"/>
    <w:p>
      <w:pPr>
        <w:spacing w:after="0" w:line="13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validity of the securities offered hereby has been passed upon for us by Fenwick &amp; West LLP. Any underwriters or agents will be advised about other issues relating to the offering by counsel to be named in the applicable prospectus supplement.</w:t>
      </w:r>
    </w:p>
    <w:p>
      <w:pPr>
        <w:spacing w:after="0" w:line="10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Sema4 Holdings Corp. appearing in Sema4 Holdings Corp.’s Annual Report (Form 10-K) for the year ended December 31, 2021, have been audited by Ernst &amp; Young LLP, independent registered public accounting firm, as set forth in their report thereon included therein, and incorporated herein by reference. Such financial statements are, and audited financial statements to be included in subsequently filed documents will be, incorporated herein in reliance upon the report of Ernst &amp; Young LLP pertaining to such financial statements (to the extent covered by consents filed with the Securities and Exchange Commission) given on the authority of such firm as experts in accounting and auditing.</w:t>
      </w:r>
    </w:p>
    <w:p>
      <w:pPr>
        <w:spacing w:after="0" w:line="1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combined carve out financial statements of GeneDx, Inc. and subsidiary at December 31, 2021 and 2020, and for each of the two years in the period ended December 31, 2021, included in the Proxy Statement of Sema4 Holdings Corp. dated March 31, 2022, incorporated by reference in this Prospectus and Registration Statement have been audited by Ernst &amp; Young LLP, independent auditors, as set forth in their report thereon, and are incorporated herein by reference in reliance upon such report given on the authority of such firm as experts in accounting and auditing.</w:t>
      </w:r>
    </w:p>
    <w:p>
      <w:pPr>
        <w:spacing w:after="0" w:line="1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 INCORPORATION BY REFERENCE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75" w:lineRule="exact"/>
        <w:rPr>
          <w:sz w:val="20"/>
          <w:szCs w:val="20"/>
          <w:color w:val="auto"/>
        </w:rPr>
      </w:pPr>
    </w:p>
    <w:p>
      <w:pPr>
        <w:ind w:right="560"/>
        <w:spacing w:after="0" w:line="312" w:lineRule="auto"/>
        <w:rPr>
          <w:sz w:val="20"/>
          <w:szCs w:val="20"/>
          <w:color w:val="auto"/>
        </w:rPr>
      </w:pPr>
      <w:r>
        <w:rPr>
          <w:rFonts w:ascii="Times New Roman" w:cs="Times New Roman" w:eastAsia="Times New Roman" w:hAnsi="Times New Roman"/>
          <w:sz w:val="17"/>
          <w:szCs w:val="17"/>
          <w:color w:val="auto"/>
        </w:rPr>
        <w:t>We file reports, proxy statements and other information with the SEC. The SEC maintains a website that contains reports, proxy and information statements and other information about issuers, such as us, who file electronically with the SEC. The address of that website is http://www.sec.gov.</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website address is www.sema4.com. The information on our website, however, is not, and should not be deemed to be, a part of this prospectus.</w:t>
      </w:r>
    </w:p>
    <w:p>
      <w:pPr>
        <w:spacing w:after="0" w:line="17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This prospectus and any applicable prospectus supplement are part of a registration statement that we filed with the SEC and do not contain all of the information in the registration statement. The full registration statement may be obtained from the SEC or us, as provided below.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7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1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This prospectus and any accompanying prospectus supplement incorporate by reference the documents set forth below that have previously been filed with the SEC:</w:t>
      </w:r>
    </w:p>
    <w:p>
      <w:pPr>
        <w:spacing w:after="0" w:line="108"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December 31, 2021, filed with the SEC on </w:t>
      </w:r>
      <w:hyperlink r:id="rId13">
        <w:r>
          <w:rPr>
            <w:rFonts w:ascii="Times New Roman" w:cs="Times New Roman" w:eastAsia="Times New Roman" w:hAnsi="Times New Roman"/>
            <w:sz w:val="18"/>
            <w:szCs w:val="18"/>
            <w:u w:val="single" w:color="auto"/>
            <w:color w:val="0000FF"/>
          </w:rPr>
          <w:t>March 14, 2022</w:t>
        </w:r>
      </w:hyperlink>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9"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w:t>
      </w:r>
    </w:p>
    <w:p>
      <w:pPr>
        <w:sectPr>
          <w:pgSz w:w="11900" w:h="16838" w:orient="portrait"/>
          <w:cols w:equalWidth="0" w:num="1">
            <w:col w:w="11160"/>
          </w:cols>
          <w:pgMar w:left="320" w:top="1440" w:right="419" w:bottom="1440" w:gutter="0" w:footer="0" w:header="0"/>
        </w:sectPr>
      </w:pPr>
    </w:p>
    <w:bookmarkStart w:id="33" w:name="page34"/>
    <w:bookmarkEnd w:id="33"/>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quarterly period ended March 31, 2022, filed with the SEC on </w:t>
      </w:r>
      <w:hyperlink r:id="rId14">
        <w:r>
          <w:rPr>
            <w:rFonts w:ascii="Times New Roman" w:cs="Times New Roman" w:eastAsia="Times New Roman" w:hAnsi="Times New Roman"/>
            <w:sz w:val="18"/>
            <w:szCs w:val="18"/>
            <w:u w:val="single" w:color="auto"/>
            <w:color w:val="0000FF"/>
          </w:rPr>
          <w:t>May 12, 2022</w:t>
        </w:r>
      </w:hyperlink>
      <w:r>
        <w:rPr>
          <w:rFonts w:ascii="Times New Roman" w:cs="Times New Roman" w:eastAsia="Times New Roman" w:hAnsi="Times New Roman"/>
          <w:sz w:val="18"/>
          <w:szCs w:val="18"/>
          <w:color w:val="auto"/>
        </w:rPr>
        <w:t xml:space="preserve">, and our Quarterly Report on Form 10-Q for the quarterly period ended June 30, 2022, filed with the SEC on </w:t>
      </w:r>
      <w:hyperlink r:id="rId15">
        <w:r>
          <w:rPr>
            <w:rFonts w:ascii="Times New Roman" w:cs="Times New Roman" w:eastAsia="Times New Roman" w:hAnsi="Times New Roman"/>
            <w:sz w:val="18"/>
            <w:szCs w:val="18"/>
            <w:u w:val="single" w:color="auto"/>
            <w:color w:val="0000FF"/>
          </w:rPr>
          <w:t>August 15, 2022</w:t>
        </w:r>
      </w:hyperlink>
      <w:r>
        <w:rPr>
          <w:rFonts w:ascii="Times New Roman" w:cs="Times New Roman" w:eastAsia="Times New Roman" w:hAnsi="Times New Roman"/>
          <w:sz w:val="18"/>
          <w:szCs w:val="18"/>
          <w:color w:val="auto"/>
        </w:rPr>
        <w:t>;</w:t>
      </w:r>
    </w:p>
    <w:p>
      <w:pPr>
        <w:spacing w:after="0" w:line="107" w:lineRule="exact"/>
        <w:rPr>
          <w:rFonts w:ascii="Times New Roman" w:cs="Times New Roman" w:eastAsia="Times New Roman" w:hAnsi="Times New Roman"/>
          <w:sz w:val="18"/>
          <w:szCs w:val="18"/>
          <w:color w:val="auto"/>
        </w:rPr>
      </w:pPr>
    </w:p>
    <w:p>
      <w:pPr>
        <w:ind w:left="660" w:right="180" w:hanging="328"/>
        <w:spacing w:after="0" w:line="258" w:lineRule="auto"/>
        <w:tabs>
          <w:tab w:leader="none" w:pos="655" w:val="left"/>
        </w:tabs>
        <w:numPr>
          <w:ilvl w:val="0"/>
          <w:numId w:val="21"/>
        </w:numPr>
        <w:rPr>
          <w:rFonts w:ascii="Times New Roman" w:cs="Times New Roman" w:eastAsia="Times New Roman" w:hAnsi="Times New Roman"/>
          <w:sz w:val="18"/>
          <w:szCs w:val="18"/>
          <w:color w:val="000000"/>
        </w:rPr>
      </w:pPr>
      <w:r>
        <w:rPr>
          <w:rFonts w:ascii="Times New Roman" w:cs="Times New Roman" w:eastAsia="Times New Roman" w:hAnsi="Times New Roman"/>
          <w:sz w:val="18"/>
          <w:szCs w:val="18"/>
          <w:color w:val="auto"/>
        </w:rPr>
        <w:t xml:space="preserve">our Current Reports on Form 8-K filed with the SEC on </w:t>
      </w:r>
      <w:hyperlink r:id="rId16">
        <w:r>
          <w:rPr>
            <w:rFonts w:ascii="Times New Roman" w:cs="Times New Roman" w:eastAsia="Times New Roman" w:hAnsi="Times New Roman"/>
            <w:sz w:val="18"/>
            <w:szCs w:val="18"/>
            <w:u w:val="single" w:color="auto"/>
            <w:color w:val="0000FF"/>
          </w:rPr>
          <w:t>January 18,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(but only with respect to Items 1.01, 3.02, 5.02 and Exhibits 2.1, 10.1, </w:t>
      </w:r>
      <w:hyperlink r:id="rId17">
        <w:r>
          <w:rPr>
            <w:rFonts w:ascii="Times New Roman" w:cs="Times New Roman" w:eastAsia="Times New Roman" w:hAnsi="Times New Roman"/>
            <w:sz w:val="18"/>
            <w:szCs w:val="18"/>
            <w:color w:val="auto"/>
          </w:rPr>
          <w:t xml:space="preserve">10.2, 10.3 and 10.4 thereto), </w:t>
        </w:r>
        <w:r>
          <w:rPr>
            <w:rFonts w:ascii="Times New Roman" w:cs="Times New Roman" w:eastAsia="Times New Roman" w:hAnsi="Times New Roman"/>
            <w:sz w:val="18"/>
            <w:szCs w:val="18"/>
            <w:u w:val="single" w:color="auto"/>
            <w:color w:val="0000FF"/>
          </w:rPr>
          <w:t>January 31,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March 14, 2022</w:t>
        </w:r>
        <w:r>
          <w:rPr>
            <w:rFonts w:ascii="Times New Roman" w:cs="Times New Roman" w:eastAsia="Times New Roman" w:hAnsi="Times New Roman"/>
            <w:sz w:val="18"/>
            <w:szCs w:val="18"/>
            <w:color w:val="auto"/>
          </w:rPr>
          <w:t xml:space="preserve"> (but only with respect to Item 4.02 and 9.01 thereto), </w:t>
        </w:r>
        <w:r>
          <w:rPr>
            <w:rFonts w:ascii="Times New Roman" w:cs="Times New Roman" w:eastAsia="Times New Roman" w:hAnsi="Times New Roman"/>
            <w:sz w:val="18"/>
            <w:szCs w:val="18"/>
            <w:u w:val="single" w:color="auto"/>
            <w:color w:val="0000FF"/>
          </w:rPr>
          <w:t>April 27,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May 2,</w:t>
        </w:r>
      </w:hyperlink>
      <w:r>
        <w:rPr>
          <w:rFonts w:ascii="Times New Roman" w:cs="Times New Roman" w:eastAsia="Times New Roman" w:hAnsi="Times New Roman"/>
          <w:sz w:val="18"/>
          <w:szCs w:val="18"/>
          <w:color w:val="auto"/>
        </w:rPr>
        <w:t xml:space="preserve"> </w:t>
      </w:r>
      <w:hyperlink r:id="rId17">
        <w:r>
          <w:rPr>
            <w:rFonts w:ascii="Times New Roman" w:cs="Times New Roman" w:eastAsia="Times New Roman" w:hAnsi="Times New Roman"/>
            <w:sz w:val="18"/>
            <w:szCs w:val="18"/>
            <w:u w:val="single" w:color="auto"/>
            <w:color w:val="0000FF"/>
          </w:rPr>
          <w:t>2022</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(but only with respect to Items 1.01, 2.01, 3.02, 5.02, 5.03, 8.01, 9.01(a) and 9.01(b), and Exhibits 2.1, 3.1, 10.1, 10.2, 23.1, 99.2 and </w:t>
        </w:r>
      </w:hyperlink>
      <w:r>
        <w:rPr>
          <w:rFonts w:ascii="Times New Roman" w:cs="Times New Roman" w:eastAsia="Times New Roman" w:hAnsi="Times New Roman"/>
          <w:sz w:val="18"/>
          <w:szCs w:val="18"/>
          <w:color w:val="0000FF"/>
        </w:rPr>
        <w:t xml:space="preserve">99.3 </w:t>
      </w:r>
      <w:r>
        <w:rPr>
          <w:rFonts w:ascii="Times New Roman" w:cs="Times New Roman" w:eastAsia="Times New Roman" w:hAnsi="Times New Roman"/>
          <w:sz w:val="18"/>
          <w:szCs w:val="18"/>
          <w:color w:val="000000"/>
        </w:rPr>
        <w:t xml:space="preserve">thereto), </w:t>
      </w:r>
      <w:hyperlink r:id="rId18">
        <w:r>
          <w:rPr>
            <w:rFonts w:ascii="Times New Roman" w:cs="Times New Roman" w:eastAsia="Times New Roman" w:hAnsi="Times New Roman"/>
            <w:sz w:val="18"/>
            <w:szCs w:val="18"/>
            <w:u w:val="single" w:color="auto"/>
            <w:color w:val="0000FF"/>
          </w:rPr>
          <w:t>June 14, 2022</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 xml:space="preserve">(but only with respect to Items 5.02 and 9.01), </w:t>
      </w:r>
      <w:hyperlink r:id="rId19">
        <w:r>
          <w:rPr>
            <w:rFonts w:ascii="Times New Roman" w:cs="Times New Roman" w:eastAsia="Times New Roman" w:hAnsi="Times New Roman"/>
            <w:sz w:val="18"/>
            <w:szCs w:val="18"/>
            <w:u w:val="single" w:color="auto"/>
            <w:color w:val="0000FF"/>
          </w:rPr>
          <w:t>July 1, 2022</w:t>
        </w:r>
      </w:hyperlink>
      <w:r>
        <w:rPr>
          <w:rFonts w:ascii="Times New Roman" w:cs="Times New Roman" w:eastAsia="Times New Roman" w:hAnsi="Times New Roman"/>
          <w:sz w:val="18"/>
          <w:szCs w:val="18"/>
          <w:color w:val="000000"/>
        </w:rPr>
        <w:t xml:space="preserve">, and </w:t>
      </w:r>
      <w:hyperlink r:id="rId20">
        <w:r>
          <w:rPr>
            <w:rFonts w:ascii="Times New Roman" w:cs="Times New Roman" w:eastAsia="Times New Roman" w:hAnsi="Times New Roman"/>
            <w:sz w:val="18"/>
            <w:szCs w:val="18"/>
            <w:u w:val="single" w:color="auto"/>
            <w:color w:val="0000FF"/>
          </w:rPr>
          <w:t>August 26, 2022</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(but only with respect to Items 5.02, 8.01, 9.01(a) and 9.01(b), and Exhibits 10.1, 99.2 and 99.3);</w:t>
      </w:r>
    </w:p>
    <w:p>
      <w:pPr>
        <w:spacing w:after="0" w:line="129" w:lineRule="exact"/>
        <w:rPr>
          <w:rFonts w:ascii="Times New Roman" w:cs="Times New Roman" w:eastAsia="Times New Roman" w:hAnsi="Times New Roman"/>
          <w:sz w:val="18"/>
          <w:szCs w:val="18"/>
          <w:color w:val="000000"/>
        </w:rPr>
      </w:pPr>
    </w:p>
    <w:p>
      <w:pPr>
        <w:ind w:left="660" w:right="12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audited combined carve-out balance sheets of GeneDx and subsidiary as of December 31, 2021 and 2020, the related audited combined carve out statements of comprehensive loss, equity and cash flows for each of the two years in the period ended December 31, 2021, and the related notes are included in our definitive proxy statement filed with the SEC on </w:t>
      </w:r>
      <w:hyperlink r:id="rId21">
        <w:r>
          <w:rPr>
            <w:rFonts w:ascii="Times New Roman" w:cs="Times New Roman" w:eastAsia="Times New Roman" w:hAnsi="Times New Roman"/>
            <w:sz w:val="18"/>
            <w:szCs w:val="18"/>
            <w:u w:val="single" w:color="auto"/>
            <w:color w:val="0000FF"/>
          </w:rPr>
          <w:t>March 31,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beginning on page F-41; and</w:t>
      </w:r>
    </w:p>
    <w:p>
      <w:pPr>
        <w:spacing w:after="0" w:line="121" w:lineRule="exact"/>
        <w:rPr>
          <w:rFonts w:ascii="Times New Roman" w:cs="Times New Roman" w:eastAsia="Times New Roman" w:hAnsi="Times New Roman"/>
          <w:sz w:val="18"/>
          <w:szCs w:val="18"/>
          <w:color w:val="auto"/>
        </w:rPr>
      </w:pPr>
    </w:p>
    <w:p>
      <w:pPr>
        <w:ind w:left="660" w:right="34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Class A common stock contained in our Registration Statement on </w:t>
      </w:r>
      <w:hyperlink r:id="rId22">
        <w:r>
          <w:rPr>
            <w:rFonts w:ascii="Times New Roman" w:cs="Times New Roman" w:eastAsia="Times New Roman" w:hAnsi="Times New Roman"/>
            <w:sz w:val="18"/>
            <w:szCs w:val="18"/>
            <w:u w:val="single" w:color="auto"/>
            <w:color w:val="0000FF"/>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with the SEC on August 31, 2020, as updated by the description of our Class A common stock contained in Exhibit 4.4 to our Annual Report on </w:t>
      </w:r>
      <w:hyperlink r:id="rId13">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2021, including any subsequent amendments or reports filed for the purpose of updating such description.</w:t>
      </w:r>
    </w:p>
    <w:p>
      <w:pPr>
        <w:spacing w:after="0" w:line="122" w:lineRule="exact"/>
        <w:rPr>
          <w:rFonts w:ascii="Times New Roman" w:cs="Times New Roman" w:eastAsia="Times New Roman" w:hAnsi="Times New Roman"/>
          <w:sz w:val="18"/>
          <w:szCs w:val="18"/>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All reports and other documents we subsequently file pursuant to Section 13(a), 13(c), 14 or 15(d) of the Exchange Act in this prospectus,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126" w:lineRule="exact"/>
        <w:rPr>
          <w:rFonts w:ascii="Times New Roman" w:cs="Times New Roman" w:eastAsia="Times New Roman" w:hAnsi="Times New Roman"/>
          <w:sz w:val="18"/>
          <w:szCs w:val="18"/>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We will provide, without charge, to each person, including any beneficial owner, to whom a copy of this prospectus is delivered, upon written or oral request of such person, a copy of any or all of the documents incorporated by reference in this prospectus, other than exhibits to such documents unless such exhibits are specifically incorporated by reference into such documents. Requests may be made by telephone at 1(800) 298-6470, or by sending a written request to Sema4 Holdings Corp., 333 Ludlow Street, North Tower, 8th Floor, Stamford, Connecticut 06902, Attention: Investor Relations.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4"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sectPr>
      <w:pgSz w:w="11900" w:h="16838" w:orient="portrait"/>
      <w:cols w:equalWidth="0" w:num="1">
        <w:col w:w="11220"/>
      </w:cols>
      <w:pgMar w:left="320" w:top="141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lowerLetter"/>
      <w:start w:val="1"/>
    </w:lvl>
  </w:abstractNum>
  <w:abstractNum w:abstractNumId="1">
    <w:nsid w:val="1190CDE7"/>
    <w:multiLevelType w:val="hybridMultilevel"/>
    <w:lvl w:ilvl="0">
      <w:lvlJc w:val="left"/>
      <w:lvlText w:val="%1."/>
      <w:numFmt w:val="lowerLetter"/>
      <w:start w:val="1"/>
    </w:lvl>
    <w:lvl w:ilvl="1">
      <w:lvlJc w:val="left"/>
      <w:lvlText w:val="(%2)"/>
      <w:numFmt w:val="lowerRoman"/>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lvl w:ilvl="1">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2"/>
    </w:lvl>
  </w:abstractNum>
  <w:abstractNum w:abstractNumId="13">
    <w:nsid w:val="519B500D"/>
    <w:multiLevelType w:val="hybridMultilevel"/>
    <w:lvl w:ilvl="0">
      <w:lvlJc w:val="left"/>
      <w:lvlText w:val="(%1)"/>
      <w:numFmt w:val="decimal"/>
      <w:start w:val="11"/>
    </w:lvl>
  </w:abstractNum>
  <w:abstractNum w:abstractNumId="14">
    <w:nsid w:val="431BD7B7"/>
    <w:multiLevelType w:val="hybridMultilevel"/>
    <w:lvl w:ilvl="0">
      <w:lvlJc w:val="left"/>
      <w:lvlText w:val="(%1)"/>
      <w:numFmt w:val="decimal"/>
      <w:start w:val="25"/>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
      <w:numFmt w:val="bullet"/>
      <w:start w:val="1"/>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s://www.sec.gov/ix?doc=/Archives/edgar/data/1818331/000181833122000037/cmlf-20211231.htm" TargetMode="External"/><Relationship Id="rId14" Type="http://schemas.openxmlformats.org/officeDocument/2006/relationships/hyperlink" Target="https://www.sec.gov/ix?doc=/Archives/edgar/data/1818331/000181833122000046/cmlf-20220331.htm" TargetMode="External"/><Relationship Id="rId15" Type="http://schemas.openxmlformats.org/officeDocument/2006/relationships/hyperlink" Target="https://www.sec.gov/ix?doc=/Archives/edgar/data/1818331/000181833122000069/cmlf-20220630.htm" TargetMode="External"/><Relationship Id="rId16" Type="http://schemas.openxmlformats.org/officeDocument/2006/relationships/hyperlink" Target="https://www.sec.gov/ix?doc=/Archives/edgar/data/0001818331/000181833122000010/smfr-20220114.htm" TargetMode="External"/><Relationship Id="rId17" Type="http://schemas.openxmlformats.org/officeDocument/2006/relationships/hyperlink" Target="https://www.sec.gov/ix?doc=/Archives/edgar/data/0001818331/000162828022011605/smfr-20220429.htm" TargetMode="External"/><Relationship Id="rId18" Type="http://schemas.openxmlformats.org/officeDocument/2006/relationships/hyperlink" Target="https://www.sec.gov/ix?doc=/Archives/edgar/data/1818331/000181833122000053/smfr-20220610.htm" TargetMode="External"/><Relationship Id="rId19" Type="http://schemas.openxmlformats.org/officeDocument/2006/relationships/hyperlink" Target="https://www.sec.gov/ix?doc=/Archives/edgar/data/1818331/000181833122000060/smfr-20220627.htm" TargetMode="External"/><Relationship Id="rId20" Type="http://schemas.openxmlformats.org/officeDocument/2006/relationships/hyperlink" Target="https://www.sec.gov/ix?doc=/Archives/edgar/data/0001818331/000162828022023779/smfr-20220825.htm" TargetMode="External"/><Relationship Id="rId21" Type="http://schemas.openxmlformats.org/officeDocument/2006/relationships/hyperlink" Target="https://www.sec.gov/Archives/edgar/data/0001818331/000162828022008073/sema4-2022finalproxy.htm#i9dc8683d5f754346aae9d53d48e80fdd_1049" TargetMode="External"/><Relationship Id="rId22" Type="http://schemas.openxmlformats.org/officeDocument/2006/relationships/hyperlink" Target="https://www.sec.gov/Archives/edgar/data/0001818331/000121390020024549/ea126225-8a12b_cmlifescienc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2022-09-07T16:28:30Z</dcterms:created>
  <dcterms:modified xsi:type="dcterms:W3CDTF">2022-09-07T16:28:30Z</dcterms:modified>
</cp:coreProperties>
</file>