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7706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3"/>
                <w:szCs w:val="23"/>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175"/>
        </w:trPr>
        <w:tc>
          <w:tcPr>
            <w:tcW w:w="42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5"/>
                <w:szCs w:val="15"/>
                <w:color w:val="auto"/>
              </w:rPr>
            </w:pPr>
          </w:p>
        </w:tc>
        <w:tc>
          <w:tcPr>
            <w:tcW w:w="4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0"/>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62" w:lineRule="exact"/>
        <w:rPr>
          <w:sz w:val="20"/>
          <w:szCs w:val="20"/>
          <w:color w:val="auto"/>
        </w:rPr>
      </w:pPr>
    </w:p>
    <w:p>
      <w:pPr>
        <w:ind w:right="520"/>
        <w:spacing w:after="0" w:line="368" w:lineRule="auto"/>
        <w:rPr>
          <w:sz w:val="20"/>
          <w:szCs w:val="20"/>
          <w:color w:val="auto"/>
        </w:rPr>
      </w:pPr>
      <w:r>
        <w:rPr>
          <w:rFonts w:ascii="Arial" w:cs="Arial" w:eastAsia="Arial" w:hAnsi="Arial"/>
          <w:sz w:val="16"/>
          <w:szCs w:val="16"/>
          <w:color w:val="auto"/>
        </w:rPr>
        <w:t>On December 15, 2021, Sema4 Holdings Corp., a Delaware corporation (the “Company”) announced that it has decided to discontinue COVID-19 testing services by March 31, 2022 and begun notifying its COVID-19 testing solutions customers of this decision.</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As a result of this decision, management currently estimates that it expects to incur inventory write-off charges of approximately $0.6 million to $0.8 million in the three months and year ending December 31, 2021. The amount of this expected charge is an estimate, and the amount and timing of actual charges may vary due to a variety of factors.</w:t>
      </w:r>
    </w:p>
    <w:p>
      <w:pPr>
        <w:spacing w:after="0" w:line="210"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Nationwide and regional lab capacity for COVID-19 testing has increased since the Company entered the market in the first half of 2020. Management believes it is the appropriate time to discontinue this line of services and dedicate all of the Company’s efforts and resources on its core mission to transform healthcare by using artificial intelligence to enable the delivery of precision medicine as the standard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6"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6820" w:type="dxa"/>
            <w:vAlign w:val="bottom"/>
            <w:gridSpan w:val="2"/>
          </w:tcPr>
          <w:p>
            <w:pPr>
              <w:ind w:left="1260"/>
              <w:spacing w:after="0"/>
              <w:rPr>
                <w:sz w:val="20"/>
                <w:szCs w:val="20"/>
                <w:color w:val="auto"/>
              </w:rPr>
            </w:pPr>
            <w:r>
              <w:rPr>
                <w:rFonts w:ascii="Arial" w:cs="Arial" w:eastAsia="Arial" w:hAnsi="Arial"/>
                <w:sz w:val="20"/>
                <w:szCs w:val="20"/>
                <w:b w:val="1"/>
                <w:bCs w:val="1"/>
                <w:color w:val="auto"/>
              </w:rPr>
              <w:t>Sema4 Holdings Corp.</w:t>
            </w:r>
          </w:p>
        </w:tc>
      </w:tr>
      <w:tr>
        <w:trPr>
          <w:trHeight w:val="603"/>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3000" w:type="dxa"/>
            <w:vAlign w:val="bottom"/>
          </w:tcPr>
          <w:p>
            <w:pPr>
              <w:ind w:left="180"/>
              <w:spacing w:after="0"/>
              <w:rPr>
                <w:sz w:val="20"/>
                <w:szCs w:val="20"/>
                <w:color w:val="auto"/>
              </w:rPr>
            </w:pPr>
            <w:r>
              <w:rPr>
                <w:rFonts w:ascii="Arial" w:cs="Arial" w:eastAsia="Arial" w:hAnsi="Arial"/>
                <w:sz w:val="20"/>
                <w:szCs w:val="20"/>
                <w:color w:val="auto"/>
              </w:rPr>
              <w:t>December 15, 2021</w:t>
            </w:r>
          </w:p>
        </w:tc>
        <w:tc>
          <w:tcPr>
            <w:tcW w:w="2140" w:type="dxa"/>
            <w:vAlign w:val="bottom"/>
          </w:tcPr>
          <w:p>
            <w:pPr>
              <w:ind w:left="1260"/>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Eric Schadt</w:t>
            </w:r>
          </w:p>
        </w:tc>
      </w:tr>
      <w:tr>
        <w:trPr>
          <w:trHeight w:val="233"/>
        </w:trPr>
        <w:tc>
          <w:tcPr>
            <w:tcW w:w="6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40" w:type="dxa"/>
            <w:vAlign w:val="bottom"/>
          </w:tcPr>
          <w:p>
            <w:pPr>
              <w:ind w:left="126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50"/>
        </w:trPr>
        <w:tc>
          <w:tcPr>
            <w:tcW w:w="6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140" w:type="dxa"/>
            <w:vAlign w:val="bottom"/>
          </w:tcPr>
          <w:p>
            <w:pPr>
              <w:ind w:left="126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2021-12-16T05:18:23Z</dcterms:created>
  <dcterms:modified xsi:type="dcterms:W3CDTF">2021-12-16T05:18:23Z</dcterms:modified>
</cp:coreProperties>
</file>