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-235585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3"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0"/>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22225</wp:posOffset>
            </wp:positionV>
            <wp:extent cx="6992620" cy="5486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48640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Saad Kareem</w:t>
        </w:r>
      </w:hyperlink>
    </w:p>
    <w:p>
      <w:pPr>
        <w:spacing w:after="0" w:line="300"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1080"/>
        <w:spacing w:after="0" w:line="380" w:lineRule="auto"/>
        <w:rPr>
          <w:sz w:val="20"/>
          <w:szCs w:val="20"/>
          <w:color w:val="auto"/>
        </w:rPr>
      </w:pPr>
      <w:r>
        <w:rPr>
          <w:rFonts w:ascii="Arial" w:cs="Arial" w:eastAsia="Arial" w:hAnsi="Arial"/>
          <w:sz w:val="16"/>
          <w:szCs w:val="16"/>
          <w:color w:val="0000FF"/>
        </w:rPr>
        <w:t>C/O GENEDX HOLDINGS CORP. 333 LUDLOW ST, NORTH TOWER</w:t>
      </w: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4"/>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STAMFORD</w:t>
            </w:r>
          </w:p>
        </w:tc>
        <w:tc>
          <w:tcPr>
            <w:tcW w:w="980" w:type="dxa"/>
            <w:vAlign w:val="bottom"/>
          </w:tcPr>
          <w:p>
            <w:pPr>
              <w:ind w:left="160"/>
              <w:spacing w:after="0"/>
              <w:rPr>
                <w:sz w:val="20"/>
                <w:szCs w:val="20"/>
                <w:color w:val="auto"/>
              </w:rPr>
            </w:pPr>
            <w:r>
              <w:rPr>
                <w:rFonts w:ascii="Arial" w:cs="Arial" w:eastAsia="Arial" w:hAnsi="Arial"/>
                <w:sz w:val="17"/>
                <w:szCs w:val="17"/>
                <w:color w:val="0000FF"/>
              </w:rPr>
              <w:t>CT</w:t>
            </w:r>
          </w:p>
        </w:tc>
        <w:tc>
          <w:tcPr>
            <w:tcW w:w="1600" w:type="dxa"/>
            <w:vAlign w:val="bottom"/>
          </w:tcPr>
          <w:p>
            <w:pPr>
              <w:ind w:left="420"/>
              <w:spacing w:after="0"/>
              <w:rPr>
                <w:sz w:val="20"/>
                <w:szCs w:val="20"/>
                <w:color w:val="auto"/>
              </w:rPr>
            </w:pPr>
            <w:r>
              <w:rPr>
                <w:rFonts w:ascii="Arial" w:cs="Arial" w:eastAsia="Arial" w:hAnsi="Arial"/>
                <w:sz w:val="17"/>
                <w:szCs w:val="17"/>
                <w:color w:val="0000FF"/>
              </w:rPr>
              <w:t>06902</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GeneDx Holdings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WGS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00" w:type="dxa"/>
            <w:vAlign w:val="bottom"/>
            <w:tcBorders>
              <w:bottom w:val="single" w:sz="8" w:color="0000EE"/>
            </w:tcBorders>
          </w:tcPr>
          <w:p>
            <w:pPr>
              <w:spacing w:after="0"/>
              <w:rPr>
                <w:sz w:val="3"/>
                <w:szCs w:val="3"/>
                <w:color w:val="auto"/>
              </w:rPr>
            </w:pPr>
          </w:p>
        </w:tc>
        <w:tc>
          <w:tcPr>
            <w:tcW w:w="1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vMerge w:val="restart"/>
          </w:tcPr>
          <w:p>
            <w:pPr>
              <w:ind w:left="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60" w:type="dxa"/>
            <w:vAlign w:val="bottom"/>
          </w:tcPr>
          <w:p>
            <w:pPr>
              <w:ind w:left="100"/>
              <w:spacing w:after="0" w:line="118"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100" w:type="dxa"/>
            <w:vAlign w:val="bottom"/>
            <w:gridSpan w:val="3"/>
          </w:tcPr>
          <w:p>
            <w:pPr>
              <w:ind w:left="80"/>
              <w:spacing w:after="0"/>
              <w:rPr>
                <w:sz w:val="20"/>
                <w:szCs w:val="20"/>
                <w:color w:val="auto"/>
              </w:rPr>
            </w:pPr>
            <w:r>
              <w:rPr>
                <w:rFonts w:ascii="Arial" w:cs="Arial" w:eastAsia="Arial" w:hAnsi="Arial"/>
                <w:sz w:val="17"/>
                <w:szCs w:val="17"/>
                <w:color w:val="0000FF"/>
              </w:rPr>
              <w:t>10/01/2023</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2"/>
            <w:vMerge w:val="restart"/>
          </w:tcPr>
          <w:p>
            <w:pPr>
              <w:ind w:left="160"/>
              <w:spacing w:after="0"/>
              <w:rPr>
                <w:sz w:val="20"/>
                <w:szCs w:val="20"/>
                <w:color w:val="auto"/>
              </w:rPr>
            </w:pPr>
            <w:r>
              <w:rPr>
                <w:rFonts w:ascii="Arial" w:cs="Arial" w:eastAsia="Arial" w:hAnsi="Arial"/>
                <w:sz w:val="17"/>
                <w:szCs w:val="17"/>
                <w:color w:val="0000FF"/>
              </w:rPr>
              <w:t>Chief Transformation Officer</w:t>
            </w:r>
          </w:p>
        </w:tc>
        <w:tc>
          <w:tcPr>
            <w:tcW w:w="0" w:type="dxa"/>
            <w:vAlign w:val="bottom"/>
          </w:tcPr>
          <w:p>
            <w:pPr>
              <w:spacing w:after="0"/>
              <w:rPr>
                <w:sz w:val="1"/>
                <w:szCs w:val="1"/>
                <w:color w:val="auto"/>
              </w:rPr>
            </w:pPr>
          </w:p>
        </w:tc>
      </w:tr>
      <w:tr>
        <w:trPr>
          <w:trHeight w:val="77"/>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0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1"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40" w:right="580"/>
        <w:spacing w:after="0" w:line="244"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54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40" w:type="dxa"/>
            <w:vAlign w:val="bottom"/>
            <w:gridSpan w:val="2"/>
          </w:tcPr>
          <w:p>
            <w:pPr>
              <w:ind w:left="54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8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gridSpan w:val="2"/>
          </w:tcPr>
          <w:p>
            <w:pPr>
              <w:ind w:left="620"/>
              <w:spacing w:after="0"/>
              <w:rPr>
                <w:sz w:val="20"/>
                <w:szCs w:val="20"/>
                <w:color w:val="auto"/>
              </w:rPr>
            </w:pPr>
            <w:r>
              <w:rPr>
                <w:rFonts w:ascii="Arial" w:cs="Arial" w:eastAsia="Arial" w:hAnsi="Arial"/>
                <w:sz w:val="17"/>
                <w:szCs w:val="17"/>
                <w:color w:val="0000FF"/>
              </w:rPr>
              <w:t>10/01/2023</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Pr>
          <w:p>
            <w:pPr>
              <w:ind w:left="280"/>
              <w:spacing w:after="0"/>
              <w:rPr>
                <w:sz w:val="20"/>
                <w:szCs w:val="20"/>
                <w:color w:val="auto"/>
              </w:rPr>
            </w:pPr>
            <w:r>
              <w:rPr>
                <w:rFonts w:ascii="Arial" w:cs="Arial" w:eastAsia="Arial" w:hAnsi="Arial"/>
                <w:sz w:val="17"/>
                <w:szCs w:val="17"/>
                <w:color w:val="0000FF"/>
              </w:rPr>
              <w:t>273</w:t>
            </w:r>
          </w:p>
        </w:tc>
        <w:tc>
          <w:tcPr>
            <w:tcW w:w="660" w:type="dxa"/>
            <w:vAlign w:val="bottom"/>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Pr>
          <w:p>
            <w:pPr>
              <w:jc w:val="right"/>
              <w:ind w:right="96"/>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ind w:left="320"/>
              <w:spacing w:after="0"/>
              <w:rPr>
                <w:sz w:val="20"/>
                <w:szCs w:val="20"/>
                <w:color w:val="auto"/>
              </w:rPr>
            </w:pPr>
            <w:r>
              <w:rPr>
                <w:rFonts w:ascii="Arial" w:cs="Arial" w:eastAsia="Arial" w:hAnsi="Arial"/>
                <w:sz w:val="17"/>
                <w:szCs w:val="17"/>
                <w:color w:val="0000FF"/>
              </w:rPr>
              <w:t>18,244</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80" w:type="dxa"/>
            <w:vAlign w:val="bottom"/>
            <w:tcBorders>
              <w:bottom w:val="single" w:sz="8" w:color="2C2C2C"/>
            </w:tcBorders>
            <w:gridSpan w:val="3"/>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10/03/2023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70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85</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3.5607</w:t>
            </w:r>
            <w:r>
              <w:rPr>
                <w:rFonts w:ascii="Arial" w:cs="Arial" w:eastAsia="Arial" w:hAnsi="Arial"/>
                <w:sz w:val="21"/>
                <w:szCs w:val="21"/>
                <w:color w:val="008000"/>
                <w:w w:val="83"/>
                <w:vertAlign w:val="superscript"/>
              </w:rPr>
              <w:t>(3)</w:t>
            </w:r>
          </w:p>
        </w:tc>
        <w:tc>
          <w:tcPr>
            <w:tcW w:w="116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18,159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9"/>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(4)</w:t>
            </w:r>
          </w:p>
        </w:tc>
        <w:tc>
          <w:tcPr>
            <w:tcW w:w="660" w:type="dxa"/>
            <w:vAlign w:val="bottom"/>
          </w:tcPr>
          <w:p>
            <w:pPr>
              <w:ind w:left="120"/>
              <w:spacing w:after="0"/>
              <w:rPr>
                <w:sz w:val="20"/>
                <w:szCs w:val="20"/>
                <w:color w:val="auto"/>
              </w:rPr>
            </w:pPr>
            <w:r>
              <w:rPr>
                <w:rFonts w:ascii="Arial" w:cs="Arial" w:eastAsia="Arial" w:hAnsi="Arial"/>
                <w:sz w:val="13"/>
                <w:szCs w:val="13"/>
                <w:color w:val="0000FF"/>
              </w:rPr>
              <w:t>Class A</w:t>
            </w:r>
          </w:p>
        </w:tc>
        <w:tc>
          <w:tcPr>
            <w:tcW w:w="560" w:type="dxa"/>
            <w:vAlign w:val="bottom"/>
            <w:vMerge w:val="restart"/>
          </w:tcPr>
          <w:p>
            <w:pPr>
              <w:ind w:left="140"/>
              <w:spacing w:after="0"/>
              <w:rPr>
                <w:sz w:val="20"/>
                <w:szCs w:val="20"/>
                <w:color w:val="auto"/>
              </w:rPr>
            </w:pPr>
            <w:r>
              <w:rPr>
                <w:rFonts w:ascii="Arial" w:cs="Arial" w:eastAsia="Arial" w:hAnsi="Arial"/>
                <w:sz w:val="17"/>
                <w:szCs w:val="17"/>
                <w:color w:val="0000FF"/>
              </w:rPr>
              <w:t>273</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rPr>
              <w:t>10/01/2023</w:t>
            </w:r>
          </w:p>
        </w:tc>
        <w:tc>
          <w:tcPr>
            <w:tcW w:w="1100" w:type="dxa"/>
            <w:vAlign w:val="bottom"/>
          </w:tcPr>
          <w:p>
            <w:pPr>
              <w:spacing w:after="0"/>
              <w:rPr>
                <w:sz w:val="5"/>
                <w:szCs w:val="5"/>
                <w:color w:val="auto"/>
              </w:rPr>
            </w:pPr>
          </w:p>
        </w:tc>
        <w:tc>
          <w:tcPr>
            <w:tcW w:w="440" w:type="dxa"/>
            <w:vAlign w:val="bottom"/>
            <w:vMerge w:val="restart"/>
          </w:tcPr>
          <w:p>
            <w:pPr>
              <w:ind w:left="140"/>
              <w:spacing w:after="0" w:line="144"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5"/>
                <w:szCs w:val="5"/>
                <w:color w:val="auto"/>
              </w:rPr>
            </w:pPr>
          </w:p>
        </w:tc>
        <w:tc>
          <w:tcPr>
            <w:tcW w:w="700" w:type="dxa"/>
            <w:vAlign w:val="bottom"/>
            <w:vMerge w:val="restart"/>
          </w:tcPr>
          <w:p>
            <w:pPr>
              <w:ind w:left="380"/>
              <w:spacing w:after="0" w:line="144" w:lineRule="exact"/>
              <w:rPr>
                <w:sz w:val="20"/>
                <w:szCs w:val="20"/>
                <w:color w:val="auto"/>
              </w:rPr>
            </w:pPr>
            <w:r>
              <w:rPr>
                <w:rFonts w:ascii="Arial" w:cs="Arial" w:eastAsia="Arial" w:hAnsi="Arial"/>
                <w:sz w:val="13"/>
                <w:szCs w:val="13"/>
                <w:color w:val="0000FF"/>
              </w:rPr>
              <w:t>273</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ind w:left="80"/>
              <w:spacing w:after="0" w:line="144"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restart"/>
          </w:tcPr>
          <w:p>
            <w:pPr>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6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w w:val="98"/>
              </w:rPr>
              <w:t>2,728</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 Unit</w:t>
            </w: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1 share of the Issuer's Class A Common Stock upon settlement for no consideration.</w:t>
      </w:r>
    </w:p>
    <w:p>
      <w:pPr>
        <w:spacing w:after="0" w:line="45" w:lineRule="exact"/>
        <w:rPr>
          <w:rFonts w:ascii="Arial" w:cs="Arial" w:eastAsia="Arial" w:hAnsi="Arial"/>
          <w:sz w:val="13"/>
          <w:szCs w:val="13"/>
          <w:color w:val="008000"/>
        </w:rPr>
      </w:pPr>
    </w:p>
    <w:p>
      <w:pPr>
        <w:ind w:left="40" w:right="420" w:firstLine="3"/>
        <w:spacing w:after="0" w:line="253"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represent shares sold by the Reporting Person to cover tax withholding obligations in connection with the vesting and settlement of RSUs. The sales were to satisfy tax withholding obligations to be funded by a "sell to cover" transaction.</w:t>
      </w:r>
    </w:p>
    <w:p>
      <w:pPr>
        <w:spacing w:after="0" w:line="23" w:lineRule="exact"/>
        <w:rPr>
          <w:rFonts w:ascii="Arial" w:cs="Arial" w:eastAsia="Arial" w:hAnsi="Arial"/>
          <w:sz w:val="13"/>
          <w:szCs w:val="13"/>
          <w:color w:val="008000"/>
        </w:rPr>
      </w:pPr>
    </w:p>
    <w:p>
      <w:pPr>
        <w:ind w:left="40" w:right="28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$3.56 to $3.62,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6.25% vest in quarterly installments over the 4-year period on April 4, 2022 until fully vested, subject to the Reporting Person's continued service to the Issuer on each vesting date</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6"/>
              </w:rPr>
              <w:t>/s/ Devin Schaffer, Attorney-</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10/03/2023</w:t>
            </w:r>
          </w:p>
        </w:tc>
        <w:tc>
          <w:tcPr>
            <w:tcW w:w="0" w:type="dxa"/>
            <w:vAlign w:val="bottom"/>
          </w:tcPr>
          <w:p>
            <w:pPr>
              <w:spacing w:after="0"/>
              <w:rPr>
                <w:sz w:val="1"/>
                <w:szCs w:val="1"/>
                <w:color w:val="auto"/>
              </w:rPr>
            </w:pPr>
          </w:p>
        </w:tc>
      </w:tr>
      <w:tr>
        <w:trPr>
          <w:trHeight w:val="84"/>
        </w:trPr>
        <w:tc>
          <w:tcPr>
            <w:tcW w:w="480" w:type="dxa"/>
            <w:vAlign w:val="bottom"/>
            <w:tcBorders>
              <w:top w:val="single" w:sz="8" w:color="auto"/>
            </w:tcBorders>
            <w:vMerge w:val="restart"/>
          </w:tcPr>
          <w:p>
            <w:pPr>
              <w:spacing w:after="0" w:line="189" w:lineRule="exact"/>
              <w:rPr>
                <w:sz w:val="20"/>
                <w:szCs w:val="20"/>
                <w:color w:val="auto"/>
              </w:rPr>
            </w:pPr>
            <w:r>
              <w:rPr>
                <w:rFonts w:ascii="Arial" w:cs="Arial" w:eastAsia="Arial" w:hAnsi="Arial"/>
                <w:sz w:val="17"/>
                <w:szCs w:val="17"/>
                <w:color w:val="0000FF"/>
                <w:w w:val="88"/>
              </w:rPr>
              <w:t>in-Fact</w:t>
            </w:r>
          </w:p>
        </w:tc>
        <w:tc>
          <w:tcPr>
            <w:tcW w:w="148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continue"/>
          </w:tcPr>
          <w:p>
            <w:pPr>
              <w:spacing w:after="0"/>
              <w:rPr>
                <w:sz w:val="7"/>
                <w:szCs w:val="7"/>
                <w:color w:val="auto"/>
              </w:rPr>
            </w:pPr>
          </w:p>
        </w:tc>
        <w:tc>
          <w:tcPr>
            <w:tcW w:w="148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805"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2023-10-03T15:22:59Z</dcterms:created>
  <dcterms:modified xsi:type="dcterms:W3CDTF">2023-10-03T15:22:59Z</dcterms:modified>
</cp:coreProperties>
</file>