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04/19/2022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17"/>
        <w:spacing w:after="0"/>
        <w:rPr>
          <w:sz w:val="20"/>
          <w:szCs w:val="20"/>
          <w:color w:val="auto"/>
        </w:rPr>
      </w:pPr>
      <w:r>
        <w:rPr>
          <w:rFonts w:ascii="Arial" w:cs="Arial" w:eastAsia="Arial" w:hAnsi="Arial"/>
          <w:sz w:val="17"/>
          <w:szCs w:val="17"/>
          <w:color w:val="0000FF"/>
        </w:rPr>
        <w:t>Chief Business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04/19/2022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000FF"/>
              </w:rPr>
              <w:t>18,014</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70,558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04/20/2022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6,269</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2.49</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64,289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18,014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04/19/2022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18,014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198,158</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25"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3/16th of the total shares vested on October 25, 2021, 1/16th of the total shares vested on January 25, 2022, and thereafter will vest as to 1/16th of the total shares underlying the award in quarterly installments until fully vested on January 19,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04/21/2022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2022-04-21T15:30:04Z</dcterms:created>
  <dcterms:modified xsi:type="dcterms:W3CDTF">2022-04-21T15:30:04Z</dcterms:modified>
</cp:coreProperties>
</file>