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Saad Kareem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Transformation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9,005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104,935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126,076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1 share of the Issuer's Class A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4-year period on April 4, 2022 until fully vested, subject to the Reporting Person's continued service to the Issuer on each vesting 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Bridget Brown,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89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805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2023-01-04T19:06:24Z</dcterms:created>
  <dcterms:modified xsi:type="dcterms:W3CDTF">2023-01-04T19:06:24Z</dcterms:modified>
</cp:coreProperties>
</file>