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Stueland Katherine</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right="480"/>
        <w:spacing w:after="0" w:line="345" w:lineRule="auto"/>
        <w:rPr>
          <w:sz w:val="20"/>
          <w:szCs w:val="20"/>
          <w:color w:val="auto"/>
        </w:rPr>
      </w:pPr>
      <w:r>
        <w:rPr>
          <w:rFonts w:ascii="Times New Roman" w:cs="Times New Roman" w:eastAsia="Times New Roman" w:hAnsi="Times New Roman"/>
          <w:sz w:val="16"/>
          <w:szCs w:val="16"/>
          <w:color w:val="0000FF"/>
        </w:rPr>
        <w:t>C/O GENEDX HOLDINGS CORP. 333 LUDLOW ST., NORTH TOWER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GeneDx Holdings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12/16/2024</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77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1"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206"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4"/>
          <w:szCs w:val="24"/>
          <w:color w:val="auto"/>
        </w:rPr>
      </w:pPr>
    </w:p>
    <w:p>
      <w:pPr>
        <w:sectPr>
          <w:pgSz w:w="11900" w:h="16838" w:orient="portrait"/>
          <w:cols w:equalWidth="0" w:num="2">
            <w:col w:w="3740" w:space="160"/>
            <w:col w:w="718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Transaction</w:t>
            </w:r>
          </w:p>
        </w:tc>
        <w:tc>
          <w:tcPr>
            <w:tcW w:w="190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w w:val="95"/>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40" w:type="dxa"/>
            <w:vAlign w:val="bottom"/>
            <w:gridSpan w:val="2"/>
          </w:tcPr>
          <w:p>
            <w:pPr>
              <w:ind w:left="68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12/16/2024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18,750</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jc w:val="right"/>
              <w:spacing w:after="0" w:line="310"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81,647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4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7"/>
                <w:szCs w:val="17"/>
                <w:color w:val="0000FF"/>
              </w:rPr>
              <w:t>12/16/2024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10,501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76.7541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71,146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8"/>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vMerge w:val="restart"/>
          </w:tcPr>
          <w:p>
            <w:pPr>
              <w:jc w:val="right"/>
              <w:ind w:right="236"/>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Class A</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8"/>
              </w:rPr>
              <w:t>18,750</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12/16/2024</w:t>
            </w:r>
          </w:p>
        </w:tc>
        <w:tc>
          <w:tcPr>
            <w:tcW w:w="1140" w:type="dxa"/>
            <w:vAlign w:val="bottom"/>
          </w:tcPr>
          <w:p>
            <w:pPr>
              <w:spacing w:after="0"/>
              <w:rPr>
                <w:sz w:val="5"/>
                <w:szCs w:val="5"/>
                <w:color w:val="auto"/>
              </w:rPr>
            </w:pPr>
          </w:p>
        </w:tc>
        <w:tc>
          <w:tcPr>
            <w:tcW w:w="60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840" w:type="dxa"/>
            <w:vAlign w:val="bottom"/>
            <w:vMerge w:val="restart"/>
          </w:tcPr>
          <w:p>
            <w:pPr>
              <w:ind w:left="380"/>
              <w:spacing w:after="0" w:line="142" w:lineRule="exact"/>
              <w:rPr>
                <w:sz w:val="20"/>
                <w:szCs w:val="20"/>
                <w:color w:val="auto"/>
              </w:rPr>
            </w:pPr>
            <w:r>
              <w:rPr>
                <w:rFonts w:ascii="Times New Roman" w:cs="Times New Roman" w:eastAsia="Times New Roman" w:hAnsi="Times New Roman"/>
                <w:sz w:val="13"/>
                <w:szCs w:val="13"/>
                <w:color w:val="0000FF"/>
              </w:rPr>
              <w:t>18,750</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60" w:type="dxa"/>
            <w:vAlign w:val="bottom"/>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vMerge w:val="restart"/>
          </w:tcPr>
          <w:p>
            <w:pPr>
              <w:ind w:left="200"/>
              <w:spacing w:after="0" w:line="142" w:lineRule="exact"/>
              <w:rPr>
                <w:sz w:val="20"/>
                <w:szCs w:val="20"/>
                <w:color w:val="auto"/>
              </w:rPr>
            </w:pPr>
            <w:r>
              <w:rPr>
                <w:rFonts w:ascii="Times New Roman" w:cs="Times New Roman" w:eastAsia="Times New Roman" w:hAnsi="Times New Roman"/>
                <w:sz w:val="13"/>
                <w:szCs w:val="13"/>
                <w:color w:val="0000FF"/>
              </w:rPr>
              <w:t>168,750</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4" w:lineRule="exact"/>
        <w:rPr>
          <w:rFonts w:ascii="Times New Roman" w:cs="Times New Roman" w:eastAsia="Times New Roman" w:hAnsi="Times New Roman"/>
          <w:sz w:val="13"/>
          <w:szCs w:val="13"/>
          <w:color w:val="008000"/>
        </w:rPr>
      </w:pPr>
    </w:p>
    <w:p>
      <w:pPr>
        <w:ind w:left="40" w:right="5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RSUs. The sales were to satisfy tax withholding obligations to be funded by a "sell to cover" transaction</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vest in quarterly installments over the 4-year period commencing on March 16, 2023 until fully vested, subject to the Reporting Person's continued service to the Issuer on each vesting date.</w:t>
      </w:r>
    </w:p>
    <w:p>
      <w:pPr>
        <w:ind w:left="6600"/>
        <w:spacing w:after="0" w:line="186"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3"/>
          <w:szCs w:val="33"/>
          <w:color w:val="0000FF"/>
          <w:vertAlign w:val="subscript"/>
        </w:rPr>
        <w:t>12/18/2024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9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9575"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2024-12-18T17:26:54Z</dcterms:created>
  <dcterms:modified xsi:type="dcterms:W3CDTF">2024-12-18T17:26:54Z</dcterms:modified>
</cp:coreProperties>
</file>