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91440</wp:posOffset>
            </wp:positionV>
            <wp:extent cx="178308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8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102870</wp:posOffset>
            </wp:positionV>
            <wp:extent cx="178308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38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(Mark One)</w:t>
      </w:r>
    </w:p>
    <w:p>
      <w:pPr>
        <w:spacing w:after="0" w:line="22" w:lineRule="exact"/>
        <w:rPr>
          <w:sz w:val="24"/>
          <w:szCs w:val="24"/>
          <w:color w:val="auto"/>
        </w:rPr>
      </w:pPr>
    </w:p>
    <w:p>
      <w:pPr>
        <w:jc w:val="center"/>
        <w:ind w:left="3880" w:right="940" w:hanging="2932"/>
        <w:spacing w:after="0" w:line="382" w:lineRule="auto"/>
        <w:tabs>
          <w:tab w:leader="none" w:pos="1150" w:val="left"/>
        </w:tabs>
        <w:numPr>
          <w:ilvl w:val="1"/>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June 30, 2021</w:t>
      </w:r>
    </w:p>
    <w:p>
      <w:pPr>
        <w:spacing w:after="0" w:line="29" w:lineRule="exact"/>
        <w:rPr>
          <w:rFonts w:ascii="MS PGothic" w:cs="MS PGothic" w:eastAsia="MS PGothic" w:hAnsi="MS PGothic"/>
          <w:sz w:val="18"/>
          <w:szCs w:val="18"/>
          <w:color w:val="auto"/>
        </w:rPr>
      </w:pPr>
    </w:p>
    <w:p>
      <w:pPr>
        <w:ind w:left="1140" w:hanging="199"/>
        <w:spacing w:after="0"/>
        <w:tabs>
          <w:tab w:leader="none" w:pos="114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131"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5780" w:type="dxa"/>
            <w:vAlign w:val="bottom"/>
            <w:gridSpan w:val="4"/>
          </w:tcPr>
          <w:p>
            <w:pPr>
              <w:ind w:left="3420"/>
              <w:spacing w:after="0"/>
              <w:rPr>
                <w:sz w:val="20"/>
                <w:szCs w:val="20"/>
                <w:color w:val="auto"/>
              </w:rPr>
            </w:pPr>
            <w:r>
              <w:rPr>
                <w:rFonts w:ascii="Arial" w:cs="Arial" w:eastAsia="Arial" w:hAnsi="Arial"/>
                <w:sz w:val="18"/>
                <w:szCs w:val="18"/>
                <w:b w:val="1"/>
                <w:bCs w:val="1"/>
                <w:color w:val="auto"/>
                <w:w w:val="92"/>
              </w:rPr>
              <w:t>For the transition period from</w:t>
            </w:r>
          </w:p>
        </w:tc>
        <w:tc>
          <w:tcPr>
            <w:tcW w:w="960" w:type="dxa"/>
            <w:vAlign w:val="bottom"/>
            <w:tcBorders>
              <w:bottom w:val="single" w:sz="8" w:color="auto"/>
            </w:tcBorders>
          </w:tcPr>
          <w:p>
            <w:pPr>
              <w:spacing w:after="0"/>
              <w:rPr>
                <w:sz w:val="17"/>
                <w:szCs w:val="17"/>
                <w:color w:val="auto"/>
              </w:rPr>
            </w:pPr>
          </w:p>
        </w:tc>
        <w:tc>
          <w:tcPr>
            <w:tcW w:w="180" w:type="dxa"/>
            <w:vAlign w:val="bottom"/>
          </w:tcPr>
          <w:p>
            <w:pPr>
              <w:spacing w:after="0"/>
              <w:rPr>
                <w:sz w:val="20"/>
                <w:szCs w:val="20"/>
                <w:color w:val="auto"/>
              </w:rPr>
            </w:pPr>
            <w:r>
              <w:rPr>
                <w:rFonts w:ascii="Arial" w:cs="Arial" w:eastAsia="Arial" w:hAnsi="Arial"/>
                <w:sz w:val="18"/>
                <w:szCs w:val="18"/>
                <w:b w:val="1"/>
                <w:bCs w:val="1"/>
                <w:color w:val="auto"/>
                <w:w w:val="93"/>
              </w:rPr>
              <w:t>to</w:t>
            </w:r>
          </w:p>
        </w:tc>
        <w:tc>
          <w:tcPr>
            <w:tcW w:w="900" w:type="dxa"/>
            <w:vAlign w:val="bottom"/>
            <w:tcBorders>
              <w:bottom w:val="single" w:sz="8" w:color="auto"/>
            </w:tcBorders>
            <w:gridSpan w:val="2"/>
          </w:tcPr>
          <w:p>
            <w:pPr>
              <w:spacing w:after="0"/>
              <w:rPr>
                <w:sz w:val="17"/>
                <w:szCs w:val="17"/>
                <w:color w:val="auto"/>
              </w:rPr>
            </w:pPr>
          </w:p>
        </w:tc>
        <w:tc>
          <w:tcPr>
            <w:tcW w:w="3420" w:type="dxa"/>
            <w:vAlign w:val="bottom"/>
          </w:tcPr>
          <w:p>
            <w:pPr>
              <w:spacing w:after="0"/>
              <w:rPr>
                <w:sz w:val="17"/>
                <w:szCs w:val="17"/>
                <w:color w:val="auto"/>
              </w:rPr>
            </w:pPr>
          </w:p>
        </w:tc>
      </w:tr>
      <w:tr>
        <w:trPr>
          <w:trHeight w:val="453"/>
        </w:trPr>
        <w:tc>
          <w:tcPr>
            <w:tcW w:w="4220" w:type="dxa"/>
            <w:vAlign w:val="bottom"/>
          </w:tcPr>
          <w:p>
            <w:pPr>
              <w:spacing w:after="0"/>
              <w:rPr>
                <w:sz w:val="24"/>
                <w:szCs w:val="24"/>
                <w:color w:val="auto"/>
              </w:rPr>
            </w:pPr>
          </w:p>
        </w:tc>
        <w:tc>
          <w:tcPr>
            <w:tcW w:w="7020" w:type="dxa"/>
            <w:vAlign w:val="bottom"/>
            <w:gridSpan w:val="8"/>
          </w:tcPr>
          <w:p>
            <w:pPr>
              <w:jc w:val="center"/>
              <w:ind w:right="4110"/>
              <w:spacing w:after="0"/>
              <w:rPr>
                <w:sz w:val="20"/>
                <w:szCs w:val="20"/>
                <w:color w:val="auto"/>
              </w:rPr>
            </w:pPr>
            <w:r>
              <w:rPr>
                <w:rFonts w:ascii="Arial" w:cs="Arial" w:eastAsia="Arial" w:hAnsi="Arial"/>
                <w:sz w:val="18"/>
                <w:szCs w:val="18"/>
                <w:b w:val="1"/>
                <w:bCs w:val="1"/>
                <w:color w:val="auto"/>
                <w:w w:val="89"/>
              </w:rPr>
              <w:t>Commission File No. 001-39482</w:t>
            </w:r>
          </w:p>
        </w:tc>
      </w:tr>
      <w:tr>
        <w:trPr>
          <w:trHeight w:val="142"/>
        </w:trPr>
        <w:tc>
          <w:tcPr>
            <w:tcW w:w="4220" w:type="dxa"/>
            <w:vAlign w:val="bottom"/>
          </w:tcPr>
          <w:p>
            <w:pPr>
              <w:spacing w:after="0"/>
              <w:rPr>
                <w:sz w:val="12"/>
                <w:szCs w:val="12"/>
                <w:color w:val="auto"/>
              </w:rPr>
            </w:pPr>
          </w:p>
        </w:tc>
        <w:tc>
          <w:tcPr>
            <w:tcW w:w="130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0" w:type="dxa"/>
            <w:vAlign w:val="bottom"/>
          </w:tcPr>
          <w:p>
            <w:pPr>
              <w:spacing w:after="0"/>
              <w:rPr>
                <w:sz w:val="12"/>
                <w:szCs w:val="12"/>
                <w:color w:val="auto"/>
              </w:rPr>
            </w:pPr>
          </w:p>
        </w:tc>
        <w:tc>
          <w:tcPr>
            <w:tcW w:w="3420" w:type="dxa"/>
            <w:vAlign w:val="bottom"/>
          </w:tcPr>
          <w:p>
            <w:pPr>
              <w:spacing w:after="0"/>
              <w:rPr>
                <w:sz w:val="12"/>
                <w:szCs w:val="12"/>
                <w:color w:val="auto"/>
              </w:rPr>
            </w:pPr>
          </w:p>
        </w:tc>
      </w:tr>
      <w:tr>
        <w:trPr>
          <w:trHeight w:val="346"/>
        </w:trPr>
        <w:tc>
          <w:tcPr>
            <w:tcW w:w="4220" w:type="dxa"/>
            <w:vAlign w:val="bottom"/>
          </w:tcPr>
          <w:p>
            <w:pPr>
              <w:spacing w:after="0"/>
              <w:rPr>
                <w:sz w:val="24"/>
                <w:szCs w:val="24"/>
                <w:color w:val="auto"/>
              </w:rPr>
            </w:pPr>
          </w:p>
        </w:tc>
        <w:tc>
          <w:tcPr>
            <w:tcW w:w="2520" w:type="dxa"/>
            <w:vAlign w:val="bottom"/>
            <w:gridSpan w:val="4"/>
          </w:tcPr>
          <w:p>
            <w:pPr>
              <w:jc w:val="center"/>
              <w:ind w:left="210"/>
              <w:spacing w:after="0"/>
              <w:rPr>
                <w:sz w:val="20"/>
                <w:szCs w:val="20"/>
                <w:color w:val="auto"/>
              </w:rPr>
            </w:pPr>
            <w:r>
              <w:rPr>
                <w:rFonts w:ascii="Arial" w:cs="Arial" w:eastAsia="Arial" w:hAnsi="Arial"/>
                <w:sz w:val="18"/>
                <w:szCs w:val="18"/>
                <w:b w:val="1"/>
                <w:bCs w:val="1"/>
                <w:color w:val="auto"/>
              </w:rPr>
              <w:t>CM LIFE SCIENCES, INC.</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234"/>
        </w:trPr>
        <w:tc>
          <w:tcPr>
            <w:tcW w:w="11240" w:type="dxa"/>
            <w:vAlign w:val="bottom"/>
            <w:gridSpan w:val="9"/>
          </w:tcPr>
          <w:p>
            <w:pPr>
              <w:jc w:val="center"/>
              <w:spacing w:after="0"/>
              <w:rPr>
                <w:sz w:val="20"/>
                <w:szCs w:val="20"/>
                <w:color w:val="auto"/>
              </w:rPr>
            </w:pPr>
            <w:r>
              <w:rPr>
                <w:rFonts w:ascii="Arial" w:cs="Arial" w:eastAsia="Arial" w:hAnsi="Arial"/>
                <w:sz w:val="18"/>
                <w:szCs w:val="18"/>
                <w:b w:val="1"/>
                <w:bCs w:val="1"/>
                <w:color w:val="auto"/>
                <w:w w:val="89"/>
              </w:rPr>
              <w:t>(Exact name of registrant as specified in its charter)</w:t>
            </w:r>
          </w:p>
        </w:tc>
      </w:tr>
      <w:tr>
        <w:trPr>
          <w:trHeight w:val="142"/>
        </w:trPr>
        <w:tc>
          <w:tcPr>
            <w:tcW w:w="4220" w:type="dxa"/>
            <w:vAlign w:val="bottom"/>
          </w:tcPr>
          <w:p>
            <w:pPr>
              <w:spacing w:after="0"/>
              <w:rPr>
                <w:sz w:val="12"/>
                <w:szCs w:val="12"/>
                <w:color w:val="auto"/>
              </w:rPr>
            </w:pPr>
          </w:p>
        </w:tc>
        <w:tc>
          <w:tcPr>
            <w:tcW w:w="130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0" w:type="dxa"/>
            <w:vAlign w:val="bottom"/>
          </w:tcPr>
          <w:p>
            <w:pPr>
              <w:spacing w:after="0"/>
              <w:rPr>
                <w:sz w:val="12"/>
                <w:szCs w:val="12"/>
                <w:color w:val="auto"/>
              </w:rPr>
            </w:pPr>
          </w:p>
        </w:tc>
        <w:tc>
          <w:tcPr>
            <w:tcW w:w="3420" w:type="dxa"/>
            <w:vAlign w:val="bottom"/>
          </w:tcPr>
          <w:p>
            <w:pPr>
              <w:spacing w:after="0"/>
              <w:rPr>
                <w:sz w:val="12"/>
                <w:szCs w:val="12"/>
                <w:color w:val="auto"/>
              </w:rPr>
            </w:pPr>
          </w:p>
        </w:tc>
      </w:tr>
      <w:tr>
        <w:trPr>
          <w:trHeight w:val="372"/>
        </w:trPr>
        <w:tc>
          <w:tcPr>
            <w:tcW w:w="6740" w:type="dxa"/>
            <w:vAlign w:val="bottom"/>
            <w:gridSpan w:val="5"/>
          </w:tcPr>
          <w:p>
            <w:pPr>
              <w:jc w:val="center"/>
              <w:ind w:right="1220"/>
              <w:spacing w:after="0"/>
              <w:rPr>
                <w:sz w:val="20"/>
                <w:szCs w:val="20"/>
                <w:color w:val="auto"/>
              </w:rPr>
            </w:pPr>
            <w:r>
              <w:rPr>
                <w:rFonts w:ascii="Arial" w:cs="Arial" w:eastAsia="Arial" w:hAnsi="Arial"/>
                <w:sz w:val="18"/>
                <w:szCs w:val="18"/>
                <w:b w:val="1"/>
                <w:bCs w:val="1"/>
                <w:color w:val="auto"/>
                <w:w w:val="91"/>
              </w:rPr>
              <w:t>Delaware</w:t>
            </w:r>
          </w:p>
        </w:tc>
        <w:tc>
          <w:tcPr>
            <w:tcW w:w="4500" w:type="dxa"/>
            <w:vAlign w:val="bottom"/>
            <w:gridSpan w:val="4"/>
          </w:tcPr>
          <w:p>
            <w:pPr>
              <w:jc w:val="center"/>
              <w:ind w:right="910"/>
              <w:spacing w:after="0"/>
              <w:rPr>
                <w:sz w:val="20"/>
                <w:szCs w:val="20"/>
                <w:color w:val="auto"/>
              </w:rPr>
            </w:pPr>
            <w:r>
              <w:rPr>
                <w:rFonts w:ascii="Arial" w:cs="Arial" w:eastAsia="Arial" w:hAnsi="Arial"/>
                <w:sz w:val="18"/>
                <w:szCs w:val="18"/>
                <w:b w:val="1"/>
                <w:bCs w:val="1"/>
                <w:color w:val="auto"/>
                <w:w w:val="89"/>
              </w:rPr>
              <w:t>85-1966622</w:t>
            </w:r>
          </w:p>
        </w:tc>
      </w:tr>
      <w:tr>
        <w:trPr>
          <w:trHeight w:val="198"/>
        </w:trPr>
        <w:tc>
          <w:tcPr>
            <w:tcW w:w="5520" w:type="dxa"/>
            <w:vAlign w:val="bottom"/>
            <w:tcBorders>
              <w:top w:val="single" w:sz="8" w:color="auto"/>
            </w:tcBorders>
            <w:gridSpan w:val="2"/>
          </w:tcPr>
          <w:p>
            <w:pPr>
              <w:jc w:val="center"/>
              <w:spacing w:after="0" w:line="198" w:lineRule="exact"/>
              <w:rPr>
                <w:sz w:val="20"/>
                <w:szCs w:val="20"/>
                <w:color w:val="auto"/>
              </w:rPr>
            </w:pPr>
            <w:r>
              <w:rPr>
                <w:rFonts w:ascii="Arial" w:cs="Arial" w:eastAsia="Arial" w:hAnsi="Arial"/>
                <w:sz w:val="18"/>
                <w:szCs w:val="18"/>
                <w:b w:val="1"/>
                <w:bCs w:val="1"/>
                <w:color w:val="auto"/>
                <w:w w:val="90"/>
              </w:rPr>
              <w:t>(State or other jurisdiction of</w:t>
            </w:r>
          </w:p>
        </w:tc>
        <w:tc>
          <w:tcPr>
            <w:tcW w:w="220" w:type="dxa"/>
            <w:vAlign w:val="bottom"/>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3420" w:type="dxa"/>
            <w:vAlign w:val="bottom"/>
            <w:tcBorders>
              <w:top w:val="single" w:sz="8" w:color="auto"/>
            </w:tcBorders>
          </w:tcPr>
          <w:p>
            <w:pPr>
              <w:jc w:val="center"/>
              <w:ind w:right="1990"/>
              <w:spacing w:after="0" w:line="198" w:lineRule="exact"/>
              <w:rPr>
                <w:sz w:val="20"/>
                <w:szCs w:val="20"/>
                <w:color w:val="auto"/>
              </w:rPr>
            </w:pPr>
            <w:r>
              <w:rPr>
                <w:rFonts w:ascii="Arial" w:cs="Arial" w:eastAsia="Arial" w:hAnsi="Arial"/>
                <w:sz w:val="18"/>
                <w:szCs w:val="18"/>
                <w:b w:val="1"/>
                <w:bCs w:val="1"/>
                <w:color w:val="auto"/>
                <w:w w:val="94"/>
              </w:rPr>
              <w:t>(I.R.S. Employer</w:t>
            </w:r>
          </w:p>
        </w:tc>
      </w:tr>
      <w:tr>
        <w:trPr>
          <w:trHeight w:val="234"/>
        </w:trPr>
        <w:tc>
          <w:tcPr>
            <w:tcW w:w="6740" w:type="dxa"/>
            <w:vAlign w:val="bottom"/>
            <w:gridSpan w:val="5"/>
          </w:tcPr>
          <w:p>
            <w:pPr>
              <w:jc w:val="center"/>
              <w:ind w:right="1240"/>
              <w:spacing w:after="0"/>
              <w:rPr>
                <w:sz w:val="20"/>
                <w:szCs w:val="20"/>
                <w:color w:val="auto"/>
              </w:rPr>
            </w:pPr>
            <w:r>
              <w:rPr>
                <w:rFonts w:ascii="Arial" w:cs="Arial" w:eastAsia="Arial" w:hAnsi="Arial"/>
                <w:sz w:val="18"/>
                <w:szCs w:val="18"/>
                <w:b w:val="1"/>
                <w:bCs w:val="1"/>
                <w:color w:val="auto"/>
                <w:w w:val="91"/>
              </w:rPr>
              <w:t>incorporation or organization)</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20" w:type="dxa"/>
            <w:vAlign w:val="bottom"/>
            <w:gridSpan w:val="2"/>
          </w:tcPr>
          <w:p>
            <w:pPr>
              <w:jc w:val="center"/>
              <w:ind w:right="1190"/>
              <w:spacing w:after="0"/>
              <w:rPr>
                <w:sz w:val="20"/>
                <w:szCs w:val="20"/>
                <w:color w:val="auto"/>
              </w:rPr>
            </w:pPr>
            <w:r>
              <w:rPr>
                <w:rFonts w:ascii="Arial" w:cs="Arial" w:eastAsia="Arial" w:hAnsi="Arial"/>
                <w:sz w:val="18"/>
                <w:szCs w:val="18"/>
                <w:b w:val="1"/>
                <w:bCs w:val="1"/>
                <w:color w:val="auto"/>
                <w:w w:val="93"/>
              </w:rPr>
              <w:t>Identification No.)</w:t>
            </w:r>
          </w:p>
        </w:tc>
      </w:tr>
    </w:tbl>
    <w:p>
      <w:pPr>
        <w:spacing w:after="0" w:line="11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 Corvex Management LP</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667 Madison Avenue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New York, New York 10065</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(Address of Principal Executive Offices, including zip code)</w:t>
      </w:r>
    </w:p>
    <w:p>
      <w:pPr>
        <w:spacing w:after="0" w:line="12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(212) 474-6745</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w:t>
      </w:r>
    </w:p>
    <w:p>
      <w:pPr>
        <w:spacing w:after="0" w:line="12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91440</wp:posOffset>
            </wp:positionV>
            <wp:extent cx="178308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8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144"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41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6"/>
              </w:rPr>
              <w:t>Title of each class</w:t>
            </w:r>
          </w:p>
        </w:tc>
        <w:tc>
          <w:tcPr>
            <w:tcW w:w="32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Trading Symbol(s)</w:t>
            </w:r>
          </w:p>
        </w:tc>
        <w:tc>
          <w:tcPr>
            <w:tcW w:w="380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198"/>
        </w:trPr>
        <w:tc>
          <w:tcPr>
            <w:tcW w:w="4060" w:type="dxa"/>
            <w:vAlign w:val="bottom"/>
            <w:tcBorders>
              <w:top w:val="single" w:sz="8" w:color="auto"/>
            </w:tcBorders>
            <w:shd w:val="clear" w:color="auto" w:fill="CCEEFF"/>
          </w:tcPr>
          <w:p>
            <w:pPr>
              <w:jc w:val="center"/>
              <w:spacing w:after="0" w:line="198" w:lineRule="exact"/>
              <w:rPr>
                <w:sz w:val="20"/>
                <w:szCs w:val="20"/>
                <w:color w:val="auto"/>
              </w:rPr>
            </w:pPr>
            <w:r>
              <w:rPr>
                <w:rFonts w:ascii="Arial" w:cs="Arial" w:eastAsia="Arial" w:hAnsi="Arial"/>
                <w:sz w:val="18"/>
                <w:szCs w:val="18"/>
                <w:b w:val="1"/>
                <w:bCs w:val="1"/>
                <w:color w:val="auto"/>
                <w:w w:val="86"/>
              </w:rPr>
              <w:t>Units, each consisting of one share of Class A</w:t>
            </w:r>
          </w:p>
        </w:tc>
        <w:tc>
          <w:tcPr>
            <w:tcW w:w="120" w:type="dxa"/>
            <w:vAlign w:val="bottom"/>
            <w:tcBorders>
              <w:top w:val="single" w:sz="8" w:color="CCEEFF"/>
            </w:tcBorders>
            <w:shd w:val="clear" w:color="auto" w:fill="CCEEFF"/>
          </w:tcPr>
          <w:p>
            <w:pPr>
              <w:spacing w:after="0"/>
              <w:rPr>
                <w:sz w:val="17"/>
                <w:szCs w:val="17"/>
                <w:color w:val="auto"/>
              </w:rPr>
            </w:pPr>
          </w:p>
        </w:tc>
        <w:tc>
          <w:tcPr>
            <w:tcW w:w="3140" w:type="dxa"/>
            <w:vAlign w:val="bottom"/>
            <w:tcBorders>
              <w:top w:val="single" w:sz="8" w:color="auto"/>
            </w:tcBorders>
            <w:shd w:val="clear" w:color="auto" w:fill="CCEEFF"/>
          </w:tcPr>
          <w:p>
            <w:pPr>
              <w:jc w:val="center"/>
              <w:spacing w:after="0" w:line="198" w:lineRule="exact"/>
              <w:rPr>
                <w:sz w:val="20"/>
                <w:szCs w:val="20"/>
                <w:color w:val="auto"/>
              </w:rPr>
            </w:pPr>
            <w:r>
              <w:rPr>
                <w:rFonts w:ascii="Arial" w:cs="Arial" w:eastAsia="Arial" w:hAnsi="Arial"/>
                <w:sz w:val="18"/>
                <w:szCs w:val="18"/>
                <w:b w:val="1"/>
                <w:bCs w:val="1"/>
                <w:color w:val="auto"/>
              </w:rPr>
              <w:t>CMLFU</w:t>
            </w:r>
          </w:p>
        </w:tc>
        <w:tc>
          <w:tcPr>
            <w:tcW w:w="120" w:type="dxa"/>
            <w:vAlign w:val="bottom"/>
            <w:tcBorders>
              <w:top w:val="single" w:sz="8" w:color="CCEEFF"/>
            </w:tcBorders>
            <w:shd w:val="clear" w:color="auto" w:fill="CCEEFF"/>
          </w:tcPr>
          <w:p>
            <w:pPr>
              <w:spacing w:after="0"/>
              <w:rPr>
                <w:sz w:val="17"/>
                <w:szCs w:val="17"/>
                <w:color w:val="auto"/>
              </w:rPr>
            </w:pPr>
          </w:p>
        </w:tc>
        <w:tc>
          <w:tcPr>
            <w:tcW w:w="3800" w:type="dxa"/>
            <w:vAlign w:val="bottom"/>
            <w:tcBorders>
              <w:top w:val="single" w:sz="8" w:color="auto"/>
            </w:tcBorders>
            <w:shd w:val="clear" w:color="auto" w:fill="CCEEFF"/>
          </w:tcPr>
          <w:p>
            <w:pPr>
              <w:jc w:val="center"/>
              <w:spacing w:after="0" w:line="198" w:lineRule="exact"/>
              <w:rPr>
                <w:sz w:val="20"/>
                <w:szCs w:val="20"/>
                <w:color w:val="auto"/>
              </w:rPr>
            </w:pPr>
            <w:r>
              <w:rPr>
                <w:rFonts w:ascii="Arial" w:cs="Arial" w:eastAsia="Arial" w:hAnsi="Arial"/>
                <w:sz w:val="18"/>
                <w:szCs w:val="18"/>
                <w:b w:val="1"/>
                <w:bCs w:val="1"/>
                <w:color w:val="auto"/>
                <w:w w:val="94"/>
              </w:rPr>
              <w:t>The Nasdaq Stock Market LLC</w:t>
            </w:r>
          </w:p>
        </w:tc>
      </w:tr>
      <w:tr>
        <w:trPr>
          <w:trHeight w:val="216"/>
        </w:trPr>
        <w:tc>
          <w:tcPr>
            <w:tcW w:w="41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b w:val="1"/>
                <w:bCs w:val="1"/>
                <w:color w:val="auto"/>
                <w:w w:val="88"/>
              </w:rPr>
              <w:t>common stock and one-third of one redeemable</w:t>
            </w:r>
          </w:p>
        </w:tc>
        <w:tc>
          <w:tcPr>
            <w:tcW w:w="3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0" w:type="dxa"/>
            <w:vAlign w:val="bottom"/>
            <w:shd w:val="clear" w:color="auto" w:fill="CCEEFF"/>
          </w:tcPr>
          <w:p>
            <w:pPr>
              <w:spacing w:after="0"/>
              <w:rPr>
                <w:sz w:val="18"/>
                <w:szCs w:val="18"/>
                <w:color w:val="auto"/>
              </w:rPr>
            </w:pPr>
          </w:p>
        </w:tc>
      </w:tr>
      <w:tr>
        <w:trPr>
          <w:trHeight w:val="234"/>
        </w:trPr>
        <w:tc>
          <w:tcPr>
            <w:tcW w:w="418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b w:val="1"/>
                <w:bCs w:val="1"/>
                <w:color w:val="auto"/>
                <w:w w:val="95"/>
              </w:rPr>
              <w:t>warrant</w:t>
            </w:r>
          </w:p>
        </w:tc>
        <w:tc>
          <w:tcPr>
            <w:tcW w:w="3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800" w:type="dxa"/>
            <w:vAlign w:val="bottom"/>
            <w:shd w:val="clear" w:color="auto" w:fill="CCEEFF"/>
          </w:tcPr>
          <w:p>
            <w:pPr>
              <w:spacing w:after="0"/>
              <w:rPr>
                <w:sz w:val="20"/>
                <w:szCs w:val="20"/>
                <w:color w:val="auto"/>
              </w:rPr>
            </w:pPr>
          </w:p>
        </w:tc>
      </w:tr>
      <w:tr>
        <w:trPr>
          <w:trHeight w:val="216"/>
        </w:trPr>
        <w:tc>
          <w:tcPr>
            <w:tcW w:w="41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Class A common stock, par value $0.0001 per share</w:t>
            </w:r>
          </w:p>
        </w:tc>
        <w:tc>
          <w:tcPr>
            <w:tcW w:w="32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rPr>
              <w:t>CMLF</w:t>
            </w:r>
          </w:p>
        </w:tc>
        <w:tc>
          <w:tcPr>
            <w:tcW w:w="3800" w:type="dxa"/>
            <w:vAlign w:val="bottom"/>
          </w:tcPr>
          <w:p>
            <w:pPr>
              <w:jc w:val="center"/>
              <w:spacing w:after="0"/>
              <w:rPr>
                <w:sz w:val="20"/>
                <w:szCs w:val="20"/>
                <w:color w:val="auto"/>
              </w:rPr>
            </w:pPr>
            <w:r>
              <w:rPr>
                <w:rFonts w:ascii="Arial" w:cs="Arial" w:eastAsia="Arial" w:hAnsi="Arial"/>
                <w:sz w:val="18"/>
                <w:szCs w:val="18"/>
                <w:b w:val="1"/>
                <w:bCs w:val="1"/>
                <w:color w:val="auto"/>
                <w:w w:val="94"/>
              </w:rPr>
              <w:t>The Nasdaq Stock Market LLC</w:t>
            </w:r>
          </w:p>
        </w:tc>
      </w:tr>
      <w:tr>
        <w:trPr>
          <w:trHeight w:val="198"/>
        </w:trPr>
        <w:tc>
          <w:tcPr>
            <w:tcW w:w="4180" w:type="dxa"/>
            <w:vAlign w:val="bottom"/>
            <w:gridSpan w:val="2"/>
            <w:shd w:val="clear" w:color="auto" w:fill="CCEEFF"/>
          </w:tcPr>
          <w:p>
            <w:pPr>
              <w:jc w:val="center"/>
              <w:ind w:right="120"/>
              <w:spacing w:after="0" w:line="198" w:lineRule="exact"/>
              <w:rPr>
                <w:sz w:val="20"/>
                <w:szCs w:val="20"/>
                <w:color w:val="auto"/>
              </w:rPr>
            </w:pPr>
            <w:r>
              <w:rPr>
                <w:rFonts w:ascii="Arial" w:cs="Arial" w:eastAsia="Arial" w:hAnsi="Arial"/>
                <w:sz w:val="18"/>
                <w:szCs w:val="18"/>
                <w:b w:val="1"/>
                <w:bCs w:val="1"/>
                <w:color w:val="auto"/>
                <w:w w:val="90"/>
              </w:rPr>
              <w:t>Redeemable warrants, each whole warrant</w:t>
            </w:r>
          </w:p>
        </w:tc>
        <w:tc>
          <w:tcPr>
            <w:tcW w:w="3260" w:type="dxa"/>
            <w:vAlign w:val="bottom"/>
            <w:gridSpan w:val="2"/>
            <w:shd w:val="clear" w:color="auto" w:fill="CCEEFF"/>
          </w:tcPr>
          <w:p>
            <w:pPr>
              <w:jc w:val="center"/>
              <w:ind w:right="120"/>
              <w:spacing w:after="0" w:line="198" w:lineRule="exact"/>
              <w:rPr>
                <w:sz w:val="20"/>
                <w:szCs w:val="20"/>
                <w:color w:val="auto"/>
              </w:rPr>
            </w:pPr>
            <w:r>
              <w:rPr>
                <w:rFonts w:ascii="Arial" w:cs="Arial" w:eastAsia="Arial" w:hAnsi="Arial"/>
                <w:sz w:val="18"/>
                <w:szCs w:val="18"/>
                <w:b w:val="1"/>
                <w:bCs w:val="1"/>
                <w:color w:val="auto"/>
              </w:rPr>
              <w:t>CMLFW</w:t>
            </w:r>
          </w:p>
        </w:tc>
        <w:tc>
          <w:tcPr>
            <w:tcW w:w="3800" w:type="dxa"/>
            <w:vAlign w:val="bottom"/>
            <w:shd w:val="clear" w:color="auto" w:fill="CCEEFF"/>
          </w:tcPr>
          <w:p>
            <w:pPr>
              <w:jc w:val="center"/>
              <w:spacing w:after="0" w:line="198" w:lineRule="exact"/>
              <w:rPr>
                <w:sz w:val="20"/>
                <w:szCs w:val="20"/>
                <w:color w:val="auto"/>
              </w:rPr>
            </w:pPr>
            <w:r>
              <w:rPr>
                <w:rFonts w:ascii="Arial" w:cs="Arial" w:eastAsia="Arial" w:hAnsi="Arial"/>
                <w:sz w:val="18"/>
                <w:szCs w:val="18"/>
                <w:b w:val="1"/>
                <w:bCs w:val="1"/>
                <w:color w:val="auto"/>
                <w:w w:val="94"/>
              </w:rPr>
              <w:t>The Nasdaq Stock Market LLC</w:t>
            </w:r>
          </w:p>
        </w:tc>
      </w:tr>
      <w:tr>
        <w:trPr>
          <w:trHeight w:val="216"/>
        </w:trPr>
        <w:tc>
          <w:tcPr>
            <w:tcW w:w="41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b w:val="1"/>
                <w:bCs w:val="1"/>
                <w:color w:val="auto"/>
                <w:w w:val="87"/>
              </w:rPr>
              <w:t>exercisable for one share of Class A common stock,</w:t>
            </w:r>
          </w:p>
        </w:tc>
        <w:tc>
          <w:tcPr>
            <w:tcW w:w="3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0" w:type="dxa"/>
            <w:vAlign w:val="bottom"/>
            <w:shd w:val="clear" w:color="auto" w:fill="CCEEFF"/>
          </w:tcPr>
          <w:p>
            <w:pPr>
              <w:spacing w:after="0"/>
              <w:rPr>
                <w:sz w:val="18"/>
                <w:szCs w:val="18"/>
                <w:color w:val="auto"/>
              </w:rPr>
            </w:pPr>
          </w:p>
        </w:tc>
      </w:tr>
      <w:tr>
        <w:trPr>
          <w:trHeight w:val="234"/>
        </w:trPr>
        <w:tc>
          <w:tcPr>
            <w:tcW w:w="41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b w:val="1"/>
                <w:bCs w:val="1"/>
                <w:color w:val="auto"/>
                <w:w w:val="88"/>
              </w:rPr>
              <w:t>each at an exercise price of $11.50 per share</w:t>
            </w:r>
          </w:p>
        </w:tc>
        <w:tc>
          <w:tcPr>
            <w:tcW w:w="3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800" w:type="dxa"/>
            <w:vAlign w:val="bottom"/>
            <w:shd w:val="clear" w:color="auto" w:fill="CCEEFF"/>
          </w:tcPr>
          <w:p>
            <w:pPr>
              <w:spacing w:after="0"/>
              <w:rPr>
                <w:sz w:val="20"/>
                <w:szCs w:val="20"/>
                <w:color w:val="auto"/>
              </w:rPr>
            </w:pPr>
          </w:p>
        </w:tc>
      </w:tr>
    </w:tbl>
    <w:p>
      <w:pPr>
        <w:spacing w:after="0" w:line="121" w:lineRule="exact"/>
        <w:rPr>
          <w:sz w:val="24"/>
          <w:szCs w:val="24"/>
          <w:color w:val="auto"/>
        </w:rPr>
      </w:pPr>
    </w:p>
    <w:p>
      <w:pPr>
        <w:jc w:val="both"/>
        <w:ind w:firstLine="356"/>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03" w:lineRule="exact"/>
        <w:rPr>
          <w:sz w:val="24"/>
          <w:szCs w:val="24"/>
          <w:color w:val="auto"/>
        </w:rPr>
      </w:pPr>
    </w:p>
    <w:p>
      <w:pPr>
        <w:jc w:val="both"/>
        <w:ind w:firstLine="356"/>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03" w:lineRule="exact"/>
        <w:rPr>
          <w:sz w:val="24"/>
          <w:szCs w:val="24"/>
          <w:color w:val="auto"/>
        </w:rPr>
      </w:pPr>
    </w:p>
    <w:p>
      <w:pPr>
        <w:jc w:val="both"/>
        <w:ind w:firstLine="356"/>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70"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200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320" w:type="dxa"/>
            <w:vAlign w:val="bottom"/>
          </w:tcPr>
          <w:p>
            <w:pPr>
              <w:ind w:left="380"/>
              <w:spacing w:after="0" w:line="181" w:lineRule="exact"/>
              <w:rPr>
                <w:sz w:val="20"/>
                <w:szCs w:val="20"/>
                <w:color w:val="auto"/>
              </w:rPr>
            </w:pPr>
            <w:r>
              <w:rPr>
                <w:rFonts w:ascii="MS PGothic" w:cs="MS PGothic" w:eastAsia="MS PGothic" w:hAnsi="MS PGothic"/>
                <w:sz w:val="18"/>
                <w:szCs w:val="18"/>
                <w:color w:val="auto"/>
              </w:rPr>
              <w:t>☐</w:t>
            </w:r>
          </w:p>
        </w:tc>
        <w:tc>
          <w:tcPr>
            <w:tcW w:w="5060" w:type="dxa"/>
            <w:vAlign w:val="bottom"/>
          </w:tcPr>
          <w:p>
            <w:pPr>
              <w:ind w:left="2780"/>
              <w:spacing w:after="0"/>
              <w:rPr>
                <w:sz w:val="20"/>
                <w:szCs w:val="20"/>
                <w:color w:val="auto"/>
              </w:rPr>
            </w:pPr>
            <w:r>
              <w:rPr>
                <w:rFonts w:ascii="Arial" w:cs="Arial" w:eastAsia="Arial" w:hAnsi="Arial"/>
                <w:sz w:val="18"/>
                <w:szCs w:val="18"/>
                <w:color w:val="auto"/>
              </w:rPr>
              <w:t>Accelerated filer</w:t>
            </w:r>
          </w:p>
        </w:tc>
        <w:tc>
          <w:tcPr>
            <w:tcW w:w="460" w:type="dxa"/>
            <w:vAlign w:val="bottom"/>
          </w:tcPr>
          <w:p>
            <w:pPr>
              <w:ind w:left="3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2000" w:type="dxa"/>
            <w:vAlign w:val="bottom"/>
          </w:tcPr>
          <w:p>
            <w:pPr>
              <w:spacing w:after="0"/>
              <w:rPr>
                <w:sz w:val="20"/>
                <w:szCs w:val="20"/>
                <w:color w:val="auto"/>
              </w:rPr>
            </w:pPr>
            <w:r>
              <w:rPr>
                <w:rFonts w:ascii="Arial" w:cs="Arial" w:eastAsia="Arial" w:hAnsi="Arial"/>
                <w:sz w:val="18"/>
                <w:szCs w:val="18"/>
                <w:color w:val="auto"/>
              </w:rPr>
              <w:t>Non-accelerated filer</w:t>
            </w:r>
          </w:p>
        </w:tc>
        <w:tc>
          <w:tcPr>
            <w:tcW w:w="3320" w:type="dxa"/>
            <w:vAlign w:val="bottom"/>
          </w:tcPr>
          <w:p>
            <w:pPr>
              <w:ind w:left="380"/>
              <w:spacing w:after="0" w:line="181" w:lineRule="exact"/>
              <w:rPr>
                <w:sz w:val="20"/>
                <w:szCs w:val="20"/>
                <w:color w:val="auto"/>
              </w:rPr>
            </w:pPr>
            <w:r>
              <w:rPr>
                <w:rFonts w:ascii="MS PGothic" w:cs="MS PGothic" w:eastAsia="MS PGothic" w:hAnsi="MS PGothic"/>
                <w:sz w:val="18"/>
                <w:szCs w:val="18"/>
                <w:color w:val="auto"/>
              </w:rPr>
              <w:t>☒</w:t>
            </w:r>
          </w:p>
        </w:tc>
        <w:tc>
          <w:tcPr>
            <w:tcW w:w="5060" w:type="dxa"/>
            <w:vAlign w:val="bottom"/>
          </w:tcPr>
          <w:p>
            <w:pPr>
              <w:ind w:left="2780"/>
              <w:spacing w:after="0"/>
              <w:rPr>
                <w:sz w:val="20"/>
                <w:szCs w:val="20"/>
                <w:color w:val="auto"/>
              </w:rPr>
            </w:pPr>
            <w:r>
              <w:rPr>
                <w:rFonts w:ascii="Arial" w:cs="Arial" w:eastAsia="Arial" w:hAnsi="Arial"/>
                <w:sz w:val="18"/>
                <w:szCs w:val="18"/>
                <w:color w:val="auto"/>
              </w:rPr>
              <w:t>Smaller reporting company</w:t>
            </w:r>
          </w:p>
        </w:tc>
        <w:tc>
          <w:tcPr>
            <w:tcW w:w="460" w:type="dxa"/>
            <w:vAlign w:val="bottom"/>
          </w:tcPr>
          <w:p>
            <w:pPr>
              <w:ind w:left="3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00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5060" w:type="dxa"/>
            <w:vAlign w:val="bottom"/>
          </w:tcPr>
          <w:p>
            <w:pPr>
              <w:ind w:left="2780"/>
              <w:spacing w:after="0"/>
              <w:rPr>
                <w:sz w:val="20"/>
                <w:szCs w:val="20"/>
                <w:color w:val="auto"/>
              </w:rPr>
            </w:pPr>
            <w:r>
              <w:rPr>
                <w:rFonts w:ascii="Arial" w:cs="Arial" w:eastAsia="Arial" w:hAnsi="Arial"/>
                <w:sz w:val="18"/>
                <w:szCs w:val="18"/>
                <w:color w:val="auto"/>
              </w:rPr>
              <w:t>Emerging growth company</w:t>
            </w:r>
          </w:p>
        </w:tc>
        <w:tc>
          <w:tcPr>
            <w:tcW w:w="460" w:type="dxa"/>
            <w:vAlign w:val="bottom"/>
          </w:tcPr>
          <w:p>
            <w:pPr>
              <w:ind w:left="30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01" w:lineRule="exact"/>
        <w:rPr>
          <w:sz w:val="24"/>
          <w:szCs w:val="24"/>
          <w:color w:val="auto"/>
        </w:rPr>
      </w:pPr>
    </w:p>
    <w:p>
      <w:pPr>
        <w:ind w:firstLine="356"/>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69" w:lineRule="exact"/>
        <w:rPr>
          <w:sz w:val="24"/>
          <w:szCs w:val="24"/>
          <w:color w:val="auto"/>
        </w:rPr>
      </w:pPr>
    </w:p>
    <w:p>
      <w:pPr>
        <w:ind w:left="360"/>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77" w:lineRule="exact"/>
        <w:rPr>
          <w:sz w:val="24"/>
          <w:szCs w:val="24"/>
          <w:color w:val="auto"/>
        </w:rPr>
      </w:pPr>
    </w:p>
    <w:p>
      <w:pPr>
        <w:ind w:firstLine="356"/>
        <w:spacing w:after="0" w:line="277" w:lineRule="auto"/>
        <w:rPr>
          <w:sz w:val="20"/>
          <w:szCs w:val="20"/>
          <w:color w:val="auto"/>
        </w:rPr>
      </w:pPr>
      <w:r>
        <w:rPr>
          <w:rFonts w:ascii="Arial" w:cs="Arial" w:eastAsia="Arial" w:hAnsi="Arial"/>
          <w:sz w:val="18"/>
          <w:szCs w:val="18"/>
          <w:color w:val="auto"/>
        </w:rPr>
        <w:t>As of July 19, 2021, 44,275,000 Class A ordinary shares, $0.0001 par value, and 11,068,750 Class B ordinary shares, $0.0001 par value, were issued and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CM LIFE SCIENCES,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Quarterly Report on Form 10-Q</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Borders>
              <w:bottom w:val="single" w:sz="8" w:color="auto"/>
            </w:tcBorders>
          </w:tcPr>
          <w:p>
            <w:pPr>
              <w:ind w:left="360"/>
              <w:spacing w:after="0"/>
              <w:rPr>
                <w:sz w:val="20"/>
                <w:szCs w:val="20"/>
                <w:color w:val="auto"/>
              </w:rPr>
            </w:pPr>
            <w:r>
              <w:rPr>
                <w:rFonts w:ascii="Arial" w:cs="Arial" w:eastAsia="Arial" w:hAnsi="Arial"/>
                <w:sz w:val="18"/>
                <w:szCs w:val="18"/>
                <w:b w:val="1"/>
                <w:bCs w:val="1"/>
                <w:color w:val="auto"/>
              </w:rPr>
              <w:t>Page</w:t>
            </w:r>
          </w:p>
        </w:tc>
      </w:tr>
      <w:tr>
        <w:trPr>
          <w:trHeight w:val="216"/>
        </w:trPr>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196"/>
        </w:trPr>
        <w:tc>
          <w:tcPr>
            <w:tcW w:w="10120" w:type="dxa"/>
            <w:vAlign w:val="bottom"/>
            <w:gridSpan w:val="21"/>
            <w:shd w:val="clear" w:color="auto" w:fill="CCEEFF"/>
          </w:tcPr>
          <w:p>
            <w:pPr>
              <w:spacing w:after="0" w:line="176" w:lineRule="exact"/>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 – FINANCIAL INFORMATION</w:t>
              </w:r>
            </w:hyperlink>
          </w:p>
        </w:tc>
        <w:tc>
          <w:tcPr>
            <w:tcW w:w="1120" w:type="dxa"/>
            <w:vAlign w:val="bottom"/>
            <w:shd w:val="clear" w:color="auto" w:fill="CCEEFF"/>
          </w:tcPr>
          <w:p>
            <w:pPr>
              <w:spacing w:after="0"/>
              <w:rPr>
                <w:sz w:val="17"/>
                <w:szCs w:val="17"/>
                <w:color w:val="auto"/>
              </w:rPr>
            </w:pPr>
          </w:p>
        </w:tc>
      </w:tr>
      <w:tr>
        <w:trPr>
          <w:trHeight w:val="216"/>
        </w:trPr>
        <w:tc>
          <w:tcPr>
            <w:tcW w:w="11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7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58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r>
      <w:tr>
        <w:trPr>
          <w:trHeight w:val="196"/>
        </w:trPr>
        <w:tc>
          <w:tcPr>
            <w:tcW w:w="11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1.</w:t>
            </w:r>
          </w:p>
        </w:tc>
        <w:tc>
          <w:tcPr>
            <w:tcW w:w="8980" w:type="dxa"/>
            <w:vAlign w:val="bottom"/>
            <w:gridSpan w:val="20"/>
            <w:shd w:val="clear" w:color="auto" w:fill="CCEEFF"/>
          </w:tcPr>
          <w:p>
            <w:pPr>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Unaudited Condensed Financial Statements</w:t>
              </w:r>
            </w:hyperlink>
          </w:p>
        </w:tc>
        <w:tc>
          <w:tcPr>
            <w:tcW w:w="112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1</w:t>
            </w:r>
          </w:p>
        </w:tc>
      </w:tr>
      <w:tr>
        <w:trPr>
          <w:trHeight w:val="216"/>
        </w:trPr>
        <w:tc>
          <w:tcPr>
            <w:tcW w:w="1140" w:type="dxa"/>
            <w:vAlign w:val="bottom"/>
            <w:tcBorders>
              <w:top w:val="single" w:sz="8" w:color="CCEEFF"/>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7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58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r>
      <w:tr>
        <w:trPr>
          <w:trHeight w:val="196"/>
        </w:trPr>
        <w:tc>
          <w:tcPr>
            <w:tcW w:w="1140" w:type="dxa"/>
            <w:vAlign w:val="bottom"/>
            <w:shd w:val="clear" w:color="auto" w:fill="CCEEFF"/>
          </w:tcPr>
          <w:p>
            <w:pPr>
              <w:spacing w:after="0"/>
              <w:rPr>
                <w:sz w:val="17"/>
                <w:szCs w:val="17"/>
                <w:color w:val="auto"/>
              </w:rPr>
            </w:pPr>
          </w:p>
        </w:tc>
        <w:tc>
          <w:tcPr>
            <w:tcW w:w="8980" w:type="dxa"/>
            <w:vAlign w:val="bottom"/>
            <w:gridSpan w:val="20"/>
            <w:shd w:val="clear" w:color="auto" w:fill="CCEEFF"/>
          </w:tcPr>
          <w:p>
            <w:pPr>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Condensed Balance Sheets as of June 30, 2021 (Unaudited) and December 31, 2020</w:t>
              </w:r>
            </w:hyperlink>
          </w:p>
        </w:tc>
        <w:tc>
          <w:tcPr>
            <w:tcW w:w="112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1</w:t>
            </w:r>
          </w:p>
        </w:tc>
      </w:tr>
      <w:tr>
        <w:trPr>
          <w:trHeight w:val="216"/>
        </w:trPr>
        <w:tc>
          <w:tcPr>
            <w:tcW w:w="1140" w:type="dxa"/>
            <w:vAlign w:val="bottom"/>
            <w:tcBorders>
              <w:top w:val="single" w:sz="8" w:color="CCEEFF"/>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1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720" w:type="dxa"/>
            <w:vAlign w:val="bottom"/>
            <w:tcBorders>
              <w:top w:val="single" w:sz="8" w:color="0000EE"/>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58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r>
      <w:tr>
        <w:trPr>
          <w:trHeight w:val="196"/>
        </w:trPr>
        <w:tc>
          <w:tcPr>
            <w:tcW w:w="1140" w:type="dxa"/>
            <w:vAlign w:val="bottom"/>
            <w:shd w:val="clear" w:color="auto" w:fill="CCEEFF"/>
          </w:tcPr>
          <w:p>
            <w:pPr>
              <w:spacing w:after="0"/>
              <w:rPr>
                <w:sz w:val="17"/>
                <w:szCs w:val="17"/>
                <w:color w:val="auto"/>
              </w:rPr>
            </w:pPr>
          </w:p>
        </w:tc>
        <w:tc>
          <w:tcPr>
            <w:tcW w:w="8980" w:type="dxa"/>
            <w:vAlign w:val="bottom"/>
            <w:gridSpan w:val="20"/>
            <w:shd w:val="clear" w:color="auto" w:fill="CCEEFF"/>
          </w:tcPr>
          <w:p>
            <w:pPr>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Unaudited Condensed Statements of Operations for the three and six months ended June 30, 2021</w:t>
              </w:r>
            </w:hyperlink>
          </w:p>
        </w:tc>
        <w:tc>
          <w:tcPr>
            <w:tcW w:w="112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2</w:t>
            </w:r>
          </w:p>
        </w:tc>
      </w:tr>
      <w:tr>
        <w:trPr>
          <w:trHeight w:val="216"/>
        </w:trPr>
        <w:tc>
          <w:tcPr>
            <w:tcW w:w="1140" w:type="dxa"/>
            <w:vAlign w:val="bottom"/>
            <w:tcBorders>
              <w:top w:val="single" w:sz="8" w:color="CCEEFF"/>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1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7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158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r>
      <w:tr>
        <w:trPr>
          <w:trHeight w:val="196"/>
        </w:trPr>
        <w:tc>
          <w:tcPr>
            <w:tcW w:w="1140" w:type="dxa"/>
            <w:vAlign w:val="bottom"/>
            <w:shd w:val="clear" w:color="auto" w:fill="CCEEFF"/>
          </w:tcPr>
          <w:p>
            <w:pPr>
              <w:spacing w:after="0"/>
              <w:rPr>
                <w:sz w:val="17"/>
                <w:szCs w:val="17"/>
                <w:color w:val="auto"/>
              </w:rPr>
            </w:pPr>
          </w:p>
        </w:tc>
        <w:tc>
          <w:tcPr>
            <w:tcW w:w="8980" w:type="dxa"/>
            <w:vAlign w:val="bottom"/>
            <w:gridSpan w:val="20"/>
            <w:shd w:val="clear" w:color="auto" w:fill="CCEEFF"/>
          </w:tcPr>
          <w:p>
            <w:pPr>
              <w:spacing w:after="0" w:line="176" w:lineRule="exact"/>
              <w:rPr>
                <w:rFonts w:ascii="Arial" w:cs="Arial" w:eastAsia="Arial" w:hAnsi="Arial"/>
                <w:sz w:val="18"/>
                <w:szCs w:val="18"/>
                <w:color w:val="0000EE"/>
                <w:w w:val="93"/>
              </w:rPr>
            </w:pPr>
            <w:hyperlink w:anchor="page5">
              <w:r>
                <w:rPr>
                  <w:rFonts w:ascii="Arial" w:cs="Arial" w:eastAsia="Arial" w:hAnsi="Arial"/>
                  <w:sz w:val="18"/>
                  <w:szCs w:val="18"/>
                  <w:color w:val="0000EE"/>
                  <w:w w:val="93"/>
                </w:rPr>
                <w:t>Unaudited Condensed Statements of Changes in Stockholders’ Equity for the three and six months ended June 30, 2021</w:t>
              </w:r>
            </w:hyperlink>
          </w:p>
        </w:tc>
        <w:tc>
          <w:tcPr>
            <w:tcW w:w="112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3</w:t>
            </w:r>
          </w:p>
        </w:tc>
      </w:tr>
      <w:tr>
        <w:trPr>
          <w:trHeight w:val="216"/>
        </w:trPr>
        <w:tc>
          <w:tcPr>
            <w:tcW w:w="1140" w:type="dxa"/>
            <w:vAlign w:val="bottom"/>
            <w:tcBorders>
              <w:top w:val="single" w:sz="8" w:color="CCEEFF"/>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1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7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1580" w:type="dxa"/>
            <w:vAlign w:val="bottom"/>
            <w:tcBorders>
              <w:top w:val="single" w:sz="8" w:color="0000EE"/>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r>
      <w:tr>
        <w:trPr>
          <w:trHeight w:val="196"/>
        </w:trPr>
        <w:tc>
          <w:tcPr>
            <w:tcW w:w="1140" w:type="dxa"/>
            <w:vAlign w:val="bottom"/>
            <w:shd w:val="clear" w:color="auto" w:fill="CCEEFF"/>
          </w:tcPr>
          <w:p>
            <w:pPr>
              <w:spacing w:after="0"/>
              <w:rPr>
                <w:sz w:val="17"/>
                <w:szCs w:val="17"/>
                <w:color w:val="auto"/>
              </w:rPr>
            </w:pPr>
          </w:p>
        </w:tc>
        <w:tc>
          <w:tcPr>
            <w:tcW w:w="8980" w:type="dxa"/>
            <w:vAlign w:val="bottom"/>
            <w:gridSpan w:val="20"/>
            <w:shd w:val="clear" w:color="auto" w:fill="CCEEFF"/>
          </w:tcPr>
          <w:p>
            <w:pPr>
              <w:spacing w:after="0" w:line="176" w:lineRule="exact"/>
              <w:rPr>
                <w:rFonts w:ascii="Arial" w:cs="Arial" w:eastAsia="Arial" w:hAnsi="Arial"/>
                <w:sz w:val="18"/>
                <w:szCs w:val="18"/>
                <w:color w:val="0000EE"/>
              </w:rPr>
            </w:pPr>
            <w:hyperlink w:anchor="page6">
              <w:r>
                <w:rPr>
                  <w:rFonts w:ascii="Arial" w:cs="Arial" w:eastAsia="Arial" w:hAnsi="Arial"/>
                  <w:sz w:val="18"/>
                  <w:szCs w:val="18"/>
                  <w:color w:val="0000EE"/>
                </w:rPr>
                <w:t>Unaudited Condensed Statement of Cash Flows for the six months ended June 30, 2021</w:t>
              </w:r>
            </w:hyperlink>
          </w:p>
        </w:tc>
        <w:tc>
          <w:tcPr>
            <w:tcW w:w="112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4</w:t>
            </w:r>
          </w:p>
        </w:tc>
      </w:tr>
      <w:tr>
        <w:trPr>
          <w:trHeight w:val="216"/>
        </w:trPr>
        <w:tc>
          <w:tcPr>
            <w:tcW w:w="1140" w:type="dxa"/>
            <w:vAlign w:val="bottom"/>
            <w:tcBorders>
              <w:top w:val="single" w:sz="8" w:color="CCEEFF"/>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1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7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58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r>
      <w:tr>
        <w:trPr>
          <w:trHeight w:val="196"/>
        </w:trPr>
        <w:tc>
          <w:tcPr>
            <w:tcW w:w="1140" w:type="dxa"/>
            <w:vAlign w:val="bottom"/>
            <w:shd w:val="clear" w:color="auto" w:fill="CCEEFF"/>
          </w:tcPr>
          <w:p>
            <w:pPr>
              <w:spacing w:after="0"/>
              <w:rPr>
                <w:sz w:val="17"/>
                <w:szCs w:val="17"/>
                <w:color w:val="auto"/>
              </w:rPr>
            </w:pPr>
          </w:p>
        </w:tc>
        <w:tc>
          <w:tcPr>
            <w:tcW w:w="8980" w:type="dxa"/>
            <w:vAlign w:val="bottom"/>
            <w:gridSpan w:val="20"/>
            <w:shd w:val="clear" w:color="auto" w:fill="CCEEFF"/>
          </w:tcPr>
          <w:p>
            <w:pPr>
              <w:spacing w:after="0" w:line="176" w:lineRule="exact"/>
              <w:rPr>
                <w:rFonts w:ascii="Arial" w:cs="Arial" w:eastAsia="Arial" w:hAnsi="Arial"/>
                <w:sz w:val="18"/>
                <w:szCs w:val="18"/>
                <w:color w:val="0000EE"/>
              </w:rPr>
            </w:pPr>
            <w:hyperlink w:anchor="page7">
              <w:r>
                <w:rPr>
                  <w:rFonts w:ascii="Arial" w:cs="Arial" w:eastAsia="Arial" w:hAnsi="Arial"/>
                  <w:sz w:val="18"/>
                  <w:szCs w:val="18"/>
                  <w:color w:val="0000EE"/>
                </w:rPr>
                <w:t>Notes to Condensed Financial Statements</w:t>
              </w:r>
            </w:hyperlink>
          </w:p>
        </w:tc>
        <w:tc>
          <w:tcPr>
            <w:tcW w:w="112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5</w:t>
            </w:r>
          </w:p>
        </w:tc>
      </w:tr>
      <w:tr>
        <w:trPr>
          <w:trHeight w:val="216"/>
        </w:trPr>
        <w:tc>
          <w:tcPr>
            <w:tcW w:w="1140" w:type="dxa"/>
            <w:vAlign w:val="bottom"/>
            <w:tcBorders>
              <w:top w:val="single" w:sz="8" w:color="CCEEFF"/>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7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58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r>
      <w:tr>
        <w:trPr>
          <w:trHeight w:val="196"/>
        </w:trPr>
        <w:tc>
          <w:tcPr>
            <w:tcW w:w="11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2.</w:t>
            </w:r>
          </w:p>
        </w:tc>
        <w:tc>
          <w:tcPr>
            <w:tcW w:w="8980" w:type="dxa"/>
            <w:vAlign w:val="bottom"/>
            <w:gridSpan w:val="20"/>
            <w:shd w:val="clear" w:color="auto" w:fill="CCEEFF"/>
          </w:tcPr>
          <w:p>
            <w:pPr>
              <w:spacing w:after="0" w:line="176" w:lineRule="exact"/>
              <w:rPr>
                <w:rFonts w:ascii="Arial" w:cs="Arial" w:eastAsia="Arial" w:hAnsi="Arial"/>
                <w:sz w:val="18"/>
                <w:szCs w:val="18"/>
                <w:color w:val="0000EE"/>
              </w:rPr>
            </w:pPr>
            <w:hyperlink w:anchor="page19">
              <w:r>
                <w:rPr>
                  <w:rFonts w:ascii="Arial" w:cs="Arial" w:eastAsia="Arial" w:hAnsi="Arial"/>
                  <w:sz w:val="18"/>
                  <w:szCs w:val="18"/>
                  <w:color w:val="0000EE"/>
                </w:rPr>
                <w:t>Management’s Discussion and Analysis of Financial Condition and Results of Operations</w:t>
              </w:r>
            </w:hyperlink>
          </w:p>
        </w:tc>
        <w:tc>
          <w:tcPr>
            <w:tcW w:w="112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17</w:t>
            </w:r>
          </w:p>
        </w:tc>
      </w:tr>
      <w:tr>
        <w:trPr>
          <w:trHeight w:val="216"/>
        </w:trPr>
        <w:tc>
          <w:tcPr>
            <w:tcW w:w="1140" w:type="dxa"/>
            <w:vAlign w:val="bottom"/>
            <w:tcBorders>
              <w:top w:val="single" w:sz="8" w:color="CCEEFF"/>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1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7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58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r>
      <w:tr>
        <w:trPr>
          <w:trHeight w:val="196"/>
        </w:trPr>
        <w:tc>
          <w:tcPr>
            <w:tcW w:w="11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3.</w:t>
            </w:r>
          </w:p>
        </w:tc>
        <w:tc>
          <w:tcPr>
            <w:tcW w:w="8980" w:type="dxa"/>
            <w:vAlign w:val="bottom"/>
            <w:gridSpan w:val="20"/>
            <w:shd w:val="clear" w:color="auto" w:fill="CCEEFF"/>
          </w:tcPr>
          <w:p>
            <w:pPr>
              <w:spacing w:after="0" w:line="176" w:lineRule="exact"/>
              <w:rPr>
                <w:rFonts w:ascii="Arial" w:cs="Arial" w:eastAsia="Arial" w:hAnsi="Arial"/>
                <w:sz w:val="18"/>
                <w:szCs w:val="18"/>
                <w:color w:val="0000EE"/>
              </w:rPr>
            </w:pPr>
            <w:hyperlink w:anchor="page22">
              <w:r>
                <w:rPr>
                  <w:rFonts w:ascii="Arial" w:cs="Arial" w:eastAsia="Arial" w:hAnsi="Arial"/>
                  <w:sz w:val="18"/>
                  <w:szCs w:val="18"/>
                  <w:color w:val="0000EE"/>
                </w:rPr>
                <w:t>Quantitative and Qualitative Disclosures about Market Risk</w:t>
              </w:r>
            </w:hyperlink>
          </w:p>
        </w:tc>
        <w:tc>
          <w:tcPr>
            <w:tcW w:w="112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20</w:t>
            </w:r>
          </w:p>
        </w:tc>
      </w:tr>
      <w:tr>
        <w:trPr>
          <w:trHeight w:val="216"/>
        </w:trPr>
        <w:tc>
          <w:tcPr>
            <w:tcW w:w="1140" w:type="dxa"/>
            <w:vAlign w:val="bottom"/>
            <w:tcBorders>
              <w:top w:val="single" w:sz="8" w:color="CCEEFF"/>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16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7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58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r>
      <w:tr>
        <w:trPr>
          <w:trHeight w:val="196"/>
        </w:trPr>
        <w:tc>
          <w:tcPr>
            <w:tcW w:w="11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4.</w:t>
            </w:r>
          </w:p>
        </w:tc>
        <w:tc>
          <w:tcPr>
            <w:tcW w:w="8980" w:type="dxa"/>
            <w:vAlign w:val="bottom"/>
            <w:gridSpan w:val="20"/>
            <w:shd w:val="clear" w:color="auto" w:fill="CCEEFF"/>
          </w:tcPr>
          <w:p>
            <w:pPr>
              <w:spacing w:after="0" w:line="176" w:lineRule="exact"/>
              <w:rPr>
                <w:rFonts w:ascii="Arial" w:cs="Arial" w:eastAsia="Arial" w:hAnsi="Arial"/>
                <w:sz w:val="18"/>
                <w:szCs w:val="18"/>
                <w:color w:val="0000EE"/>
              </w:rPr>
            </w:pPr>
            <w:hyperlink w:anchor="page22">
              <w:r>
                <w:rPr>
                  <w:rFonts w:ascii="Arial" w:cs="Arial" w:eastAsia="Arial" w:hAnsi="Arial"/>
                  <w:sz w:val="18"/>
                  <w:szCs w:val="18"/>
                  <w:color w:val="0000EE"/>
                </w:rPr>
                <w:t>Control and Procedures</w:t>
              </w:r>
            </w:hyperlink>
          </w:p>
        </w:tc>
        <w:tc>
          <w:tcPr>
            <w:tcW w:w="112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20</w:t>
            </w:r>
          </w:p>
        </w:tc>
      </w:tr>
      <w:tr>
        <w:trPr>
          <w:trHeight w:val="216"/>
        </w:trPr>
        <w:tc>
          <w:tcPr>
            <w:tcW w:w="1140" w:type="dxa"/>
            <w:vAlign w:val="bottom"/>
            <w:tcBorders>
              <w:top w:val="single" w:sz="8" w:color="CCEEFF"/>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7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58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r>
      <w:tr>
        <w:trPr>
          <w:trHeight w:val="196"/>
        </w:trPr>
        <w:tc>
          <w:tcPr>
            <w:tcW w:w="10120" w:type="dxa"/>
            <w:vAlign w:val="bottom"/>
            <w:gridSpan w:val="21"/>
            <w:shd w:val="clear" w:color="auto" w:fill="CCEEFF"/>
          </w:tcPr>
          <w:p>
            <w:pPr>
              <w:spacing w:after="0" w:line="176" w:lineRule="exact"/>
              <w:rPr>
                <w:rFonts w:ascii="Arial" w:cs="Arial" w:eastAsia="Arial" w:hAnsi="Arial"/>
                <w:sz w:val="18"/>
                <w:szCs w:val="18"/>
                <w:b w:val="1"/>
                <w:bCs w:val="1"/>
                <w:color w:val="0000EE"/>
              </w:rPr>
            </w:pPr>
            <w:hyperlink w:anchor="page24">
              <w:r>
                <w:rPr>
                  <w:rFonts w:ascii="Arial" w:cs="Arial" w:eastAsia="Arial" w:hAnsi="Arial"/>
                  <w:sz w:val="18"/>
                  <w:szCs w:val="18"/>
                  <w:b w:val="1"/>
                  <w:bCs w:val="1"/>
                  <w:color w:val="0000EE"/>
                </w:rPr>
                <w:t>PART II – OTHER INFORMATION</w:t>
              </w:r>
            </w:hyperlink>
          </w:p>
        </w:tc>
        <w:tc>
          <w:tcPr>
            <w:tcW w:w="1120" w:type="dxa"/>
            <w:vAlign w:val="bottom"/>
            <w:shd w:val="clear" w:color="auto" w:fill="CCEEFF"/>
          </w:tcPr>
          <w:p>
            <w:pPr>
              <w:spacing w:after="0"/>
              <w:rPr>
                <w:sz w:val="17"/>
                <w:szCs w:val="17"/>
                <w:color w:val="auto"/>
              </w:rPr>
            </w:pPr>
          </w:p>
        </w:tc>
      </w:tr>
      <w:tr>
        <w:trPr>
          <w:trHeight w:val="216"/>
        </w:trPr>
        <w:tc>
          <w:tcPr>
            <w:tcW w:w="11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7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58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r>
      <w:tr>
        <w:trPr>
          <w:trHeight w:val="196"/>
        </w:trPr>
        <w:tc>
          <w:tcPr>
            <w:tcW w:w="11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1.</w:t>
            </w:r>
          </w:p>
        </w:tc>
        <w:tc>
          <w:tcPr>
            <w:tcW w:w="8980" w:type="dxa"/>
            <w:vAlign w:val="bottom"/>
            <w:gridSpan w:val="20"/>
            <w:shd w:val="clear" w:color="auto" w:fill="CCEEFF"/>
          </w:tcPr>
          <w:p>
            <w:pPr>
              <w:spacing w:after="0" w:line="176" w:lineRule="exact"/>
              <w:rPr>
                <w:rFonts w:ascii="Arial" w:cs="Arial" w:eastAsia="Arial" w:hAnsi="Arial"/>
                <w:sz w:val="18"/>
                <w:szCs w:val="18"/>
                <w:color w:val="0000EE"/>
              </w:rPr>
            </w:pPr>
            <w:hyperlink w:anchor="page24">
              <w:r>
                <w:rPr>
                  <w:rFonts w:ascii="Arial" w:cs="Arial" w:eastAsia="Arial" w:hAnsi="Arial"/>
                  <w:sz w:val="18"/>
                  <w:szCs w:val="18"/>
                  <w:color w:val="0000EE"/>
                </w:rPr>
                <w:t>Legal Proceedings</w:t>
              </w:r>
            </w:hyperlink>
          </w:p>
        </w:tc>
        <w:tc>
          <w:tcPr>
            <w:tcW w:w="112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22</w:t>
            </w:r>
          </w:p>
        </w:tc>
      </w:tr>
      <w:tr>
        <w:trPr>
          <w:trHeight w:val="216"/>
        </w:trPr>
        <w:tc>
          <w:tcPr>
            <w:tcW w:w="1140" w:type="dxa"/>
            <w:vAlign w:val="bottom"/>
            <w:tcBorders>
              <w:top w:val="single" w:sz="8" w:color="CCEEFF"/>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7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58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r>
      <w:tr>
        <w:trPr>
          <w:trHeight w:val="196"/>
        </w:trPr>
        <w:tc>
          <w:tcPr>
            <w:tcW w:w="11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1A.</w:t>
            </w:r>
          </w:p>
        </w:tc>
        <w:tc>
          <w:tcPr>
            <w:tcW w:w="8980" w:type="dxa"/>
            <w:vAlign w:val="bottom"/>
            <w:gridSpan w:val="20"/>
            <w:shd w:val="clear" w:color="auto" w:fill="CCEEFF"/>
          </w:tcPr>
          <w:p>
            <w:pPr>
              <w:spacing w:after="0" w:line="176" w:lineRule="exact"/>
              <w:rPr>
                <w:rFonts w:ascii="Arial" w:cs="Arial" w:eastAsia="Arial" w:hAnsi="Arial"/>
                <w:sz w:val="18"/>
                <w:szCs w:val="18"/>
                <w:color w:val="0000EE"/>
              </w:rPr>
            </w:pPr>
            <w:hyperlink w:anchor="page24">
              <w:r>
                <w:rPr>
                  <w:rFonts w:ascii="Arial" w:cs="Arial" w:eastAsia="Arial" w:hAnsi="Arial"/>
                  <w:sz w:val="18"/>
                  <w:szCs w:val="18"/>
                  <w:color w:val="0000EE"/>
                </w:rPr>
                <w:t>Risk Factors</w:t>
              </w:r>
            </w:hyperlink>
          </w:p>
        </w:tc>
        <w:tc>
          <w:tcPr>
            <w:tcW w:w="112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22</w:t>
            </w:r>
          </w:p>
        </w:tc>
      </w:tr>
      <w:tr>
        <w:trPr>
          <w:trHeight w:val="216"/>
        </w:trPr>
        <w:tc>
          <w:tcPr>
            <w:tcW w:w="1140" w:type="dxa"/>
            <w:vAlign w:val="bottom"/>
            <w:tcBorders>
              <w:top w:val="single" w:sz="8" w:color="CCEEFF"/>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7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58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r>
      <w:tr>
        <w:trPr>
          <w:trHeight w:val="196"/>
        </w:trPr>
        <w:tc>
          <w:tcPr>
            <w:tcW w:w="11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2.</w:t>
            </w:r>
          </w:p>
        </w:tc>
        <w:tc>
          <w:tcPr>
            <w:tcW w:w="8980" w:type="dxa"/>
            <w:vAlign w:val="bottom"/>
            <w:gridSpan w:val="20"/>
            <w:shd w:val="clear" w:color="auto" w:fill="CCEEFF"/>
          </w:tcPr>
          <w:p>
            <w:pPr>
              <w:spacing w:after="0" w:line="176" w:lineRule="exact"/>
              <w:rPr>
                <w:rFonts w:ascii="Arial" w:cs="Arial" w:eastAsia="Arial" w:hAnsi="Arial"/>
                <w:sz w:val="18"/>
                <w:szCs w:val="18"/>
                <w:color w:val="0000EE"/>
              </w:rPr>
            </w:pPr>
            <w:hyperlink w:anchor="page24">
              <w:r>
                <w:rPr>
                  <w:rFonts w:ascii="Arial" w:cs="Arial" w:eastAsia="Arial" w:hAnsi="Arial"/>
                  <w:sz w:val="18"/>
                  <w:szCs w:val="18"/>
                  <w:color w:val="0000EE"/>
                </w:rPr>
                <w:t>Unregistered Sales of Equity Securities and Use of Proceeds</w:t>
              </w:r>
            </w:hyperlink>
          </w:p>
        </w:tc>
        <w:tc>
          <w:tcPr>
            <w:tcW w:w="112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22</w:t>
            </w:r>
          </w:p>
        </w:tc>
      </w:tr>
      <w:tr>
        <w:trPr>
          <w:trHeight w:val="216"/>
        </w:trPr>
        <w:tc>
          <w:tcPr>
            <w:tcW w:w="1140" w:type="dxa"/>
            <w:vAlign w:val="bottom"/>
            <w:tcBorders>
              <w:top w:val="single" w:sz="8" w:color="CCEEFF"/>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1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7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58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r>
      <w:tr>
        <w:trPr>
          <w:trHeight w:val="196"/>
        </w:trPr>
        <w:tc>
          <w:tcPr>
            <w:tcW w:w="11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3.</w:t>
            </w:r>
          </w:p>
        </w:tc>
        <w:tc>
          <w:tcPr>
            <w:tcW w:w="8980" w:type="dxa"/>
            <w:vAlign w:val="bottom"/>
            <w:gridSpan w:val="20"/>
            <w:shd w:val="clear" w:color="auto" w:fill="CCEEFF"/>
          </w:tcPr>
          <w:p>
            <w:pPr>
              <w:spacing w:after="0" w:line="176" w:lineRule="exact"/>
              <w:rPr>
                <w:rFonts w:ascii="Arial" w:cs="Arial" w:eastAsia="Arial" w:hAnsi="Arial"/>
                <w:sz w:val="18"/>
                <w:szCs w:val="18"/>
                <w:color w:val="0000EE"/>
              </w:rPr>
            </w:pPr>
            <w:hyperlink w:anchor="page24">
              <w:r>
                <w:rPr>
                  <w:rFonts w:ascii="Arial" w:cs="Arial" w:eastAsia="Arial" w:hAnsi="Arial"/>
                  <w:sz w:val="18"/>
                  <w:szCs w:val="18"/>
                  <w:color w:val="0000EE"/>
                </w:rPr>
                <w:t>Defaults Upon Senior Securities</w:t>
              </w:r>
            </w:hyperlink>
          </w:p>
        </w:tc>
        <w:tc>
          <w:tcPr>
            <w:tcW w:w="112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22</w:t>
            </w:r>
          </w:p>
        </w:tc>
      </w:tr>
      <w:tr>
        <w:trPr>
          <w:trHeight w:val="216"/>
        </w:trPr>
        <w:tc>
          <w:tcPr>
            <w:tcW w:w="1140" w:type="dxa"/>
            <w:vAlign w:val="bottom"/>
            <w:tcBorders>
              <w:top w:val="single" w:sz="8" w:color="CCEEFF"/>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7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58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r>
      <w:tr>
        <w:trPr>
          <w:trHeight w:val="196"/>
        </w:trPr>
        <w:tc>
          <w:tcPr>
            <w:tcW w:w="11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4.</w:t>
            </w:r>
          </w:p>
        </w:tc>
        <w:tc>
          <w:tcPr>
            <w:tcW w:w="8980" w:type="dxa"/>
            <w:vAlign w:val="bottom"/>
            <w:gridSpan w:val="20"/>
            <w:shd w:val="clear" w:color="auto" w:fill="CCEEFF"/>
          </w:tcPr>
          <w:p>
            <w:pPr>
              <w:spacing w:after="0" w:line="176" w:lineRule="exact"/>
              <w:rPr>
                <w:rFonts w:ascii="Arial" w:cs="Arial" w:eastAsia="Arial" w:hAnsi="Arial"/>
                <w:sz w:val="18"/>
                <w:szCs w:val="18"/>
                <w:color w:val="0000EE"/>
              </w:rPr>
            </w:pPr>
            <w:hyperlink w:anchor="page24">
              <w:r>
                <w:rPr>
                  <w:rFonts w:ascii="Arial" w:cs="Arial" w:eastAsia="Arial" w:hAnsi="Arial"/>
                  <w:sz w:val="18"/>
                  <w:szCs w:val="18"/>
                  <w:color w:val="0000EE"/>
                </w:rPr>
                <w:t>Mine Safety Disclosures</w:t>
              </w:r>
            </w:hyperlink>
          </w:p>
        </w:tc>
        <w:tc>
          <w:tcPr>
            <w:tcW w:w="112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22</w:t>
            </w:r>
          </w:p>
        </w:tc>
      </w:tr>
      <w:tr>
        <w:trPr>
          <w:trHeight w:val="216"/>
        </w:trPr>
        <w:tc>
          <w:tcPr>
            <w:tcW w:w="1140" w:type="dxa"/>
            <w:vAlign w:val="bottom"/>
            <w:tcBorders>
              <w:top w:val="single" w:sz="8" w:color="CCEEFF"/>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7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58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r>
      <w:tr>
        <w:trPr>
          <w:trHeight w:val="196"/>
        </w:trPr>
        <w:tc>
          <w:tcPr>
            <w:tcW w:w="11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5.</w:t>
            </w:r>
          </w:p>
        </w:tc>
        <w:tc>
          <w:tcPr>
            <w:tcW w:w="8980" w:type="dxa"/>
            <w:vAlign w:val="bottom"/>
            <w:gridSpan w:val="20"/>
            <w:shd w:val="clear" w:color="auto" w:fill="CCEEFF"/>
          </w:tcPr>
          <w:p>
            <w:pPr>
              <w:spacing w:after="0" w:line="176" w:lineRule="exact"/>
              <w:rPr>
                <w:rFonts w:ascii="Arial" w:cs="Arial" w:eastAsia="Arial" w:hAnsi="Arial"/>
                <w:sz w:val="18"/>
                <w:szCs w:val="18"/>
                <w:color w:val="0000EE"/>
              </w:rPr>
            </w:pPr>
            <w:hyperlink w:anchor="page24">
              <w:r>
                <w:rPr>
                  <w:rFonts w:ascii="Arial" w:cs="Arial" w:eastAsia="Arial" w:hAnsi="Arial"/>
                  <w:sz w:val="18"/>
                  <w:szCs w:val="18"/>
                  <w:color w:val="0000EE"/>
                </w:rPr>
                <w:t>Other Information</w:t>
              </w:r>
            </w:hyperlink>
          </w:p>
        </w:tc>
        <w:tc>
          <w:tcPr>
            <w:tcW w:w="112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22</w:t>
            </w:r>
          </w:p>
        </w:tc>
      </w:tr>
      <w:tr>
        <w:trPr>
          <w:trHeight w:val="216"/>
        </w:trPr>
        <w:tc>
          <w:tcPr>
            <w:tcW w:w="1140" w:type="dxa"/>
            <w:vAlign w:val="bottom"/>
            <w:tcBorders>
              <w:top w:val="single" w:sz="8" w:color="CCEEFF"/>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7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58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r>
      <w:tr>
        <w:trPr>
          <w:trHeight w:val="196"/>
        </w:trPr>
        <w:tc>
          <w:tcPr>
            <w:tcW w:w="11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6.</w:t>
            </w:r>
          </w:p>
        </w:tc>
        <w:tc>
          <w:tcPr>
            <w:tcW w:w="8980" w:type="dxa"/>
            <w:vAlign w:val="bottom"/>
            <w:gridSpan w:val="20"/>
            <w:shd w:val="clear" w:color="auto" w:fill="CCEEFF"/>
          </w:tcPr>
          <w:p>
            <w:pPr>
              <w:spacing w:after="0" w:line="176" w:lineRule="exact"/>
              <w:rPr>
                <w:rFonts w:ascii="Arial" w:cs="Arial" w:eastAsia="Arial" w:hAnsi="Arial"/>
                <w:sz w:val="18"/>
                <w:szCs w:val="18"/>
                <w:color w:val="0000EE"/>
              </w:rPr>
            </w:pPr>
            <w:hyperlink w:anchor="page25">
              <w:r>
                <w:rPr>
                  <w:rFonts w:ascii="Arial" w:cs="Arial" w:eastAsia="Arial" w:hAnsi="Arial"/>
                  <w:sz w:val="18"/>
                  <w:szCs w:val="18"/>
                  <w:color w:val="0000EE"/>
                </w:rPr>
                <w:t>Exhibits</w:t>
              </w:r>
            </w:hyperlink>
          </w:p>
        </w:tc>
        <w:tc>
          <w:tcPr>
            <w:tcW w:w="112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23</w:t>
            </w:r>
          </w:p>
        </w:tc>
      </w:tr>
      <w:tr>
        <w:trPr>
          <w:trHeight w:val="216"/>
        </w:trPr>
        <w:tc>
          <w:tcPr>
            <w:tcW w:w="1140" w:type="dxa"/>
            <w:vAlign w:val="bottom"/>
            <w:tcBorders>
              <w:top w:val="single" w:sz="8" w:color="CCEEFF"/>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7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58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r>
      <w:tr>
        <w:trPr>
          <w:trHeight w:val="175"/>
        </w:trPr>
        <w:tc>
          <w:tcPr>
            <w:tcW w:w="10120" w:type="dxa"/>
            <w:vAlign w:val="bottom"/>
            <w:gridSpan w:val="21"/>
            <w:shd w:val="clear" w:color="auto" w:fill="CCEEFF"/>
          </w:tcPr>
          <w:p>
            <w:pPr>
              <w:spacing w:after="0" w:line="176" w:lineRule="exact"/>
              <w:rPr>
                <w:rFonts w:ascii="Arial" w:cs="Arial" w:eastAsia="Arial" w:hAnsi="Arial"/>
                <w:sz w:val="18"/>
                <w:szCs w:val="18"/>
                <w:b w:val="1"/>
                <w:bCs w:val="1"/>
                <w:color w:val="0000EE"/>
              </w:rPr>
            </w:pPr>
            <w:hyperlink w:anchor="page26">
              <w:r>
                <w:rPr>
                  <w:rFonts w:ascii="Arial" w:cs="Arial" w:eastAsia="Arial" w:hAnsi="Arial"/>
                  <w:sz w:val="18"/>
                  <w:szCs w:val="18"/>
                  <w:b w:val="1"/>
                  <w:bCs w:val="1"/>
                  <w:color w:val="0000EE"/>
                </w:rPr>
                <w:t>SIGNATURES</w:t>
              </w:r>
            </w:hyperlink>
          </w:p>
        </w:tc>
        <w:tc>
          <w:tcPr>
            <w:tcW w:w="112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24</w:t>
            </w:r>
          </w:p>
        </w:tc>
      </w:tr>
      <w:tr>
        <w:trPr>
          <w:trHeight w:val="21"/>
        </w:trPr>
        <w:tc>
          <w:tcPr>
            <w:tcW w:w="11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7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5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8680" w:type="dxa"/>
            <w:vAlign w:val="bottom"/>
          </w:tcPr>
          <w:p>
            <w:pPr>
              <w:jc w:val="center"/>
              <w:ind w:left="2470"/>
              <w:spacing w:after="0"/>
              <w:rPr>
                <w:sz w:val="20"/>
                <w:szCs w:val="20"/>
                <w:color w:val="auto"/>
              </w:rPr>
            </w:pPr>
            <w:r>
              <w:rPr>
                <w:rFonts w:ascii="Arial" w:cs="Arial" w:eastAsia="Arial" w:hAnsi="Arial"/>
                <w:sz w:val="18"/>
                <w:szCs w:val="18"/>
                <w:b w:val="1"/>
                <w:bCs w:val="1"/>
                <w:color w:val="auto"/>
              </w:rPr>
              <w:t>PART I – FINANCIAL INFORMATION</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680" w:type="dxa"/>
            <w:vAlign w:val="bottom"/>
          </w:tcPr>
          <w:p>
            <w:pPr>
              <w:spacing w:after="0"/>
              <w:rPr>
                <w:sz w:val="20"/>
                <w:szCs w:val="20"/>
                <w:color w:val="auto"/>
              </w:rPr>
            </w:pPr>
            <w:r>
              <w:rPr>
                <w:rFonts w:ascii="Arial" w:cs="Arial" w:eastAsia="Arial" w:hAnsi="Arial"/>
                <w:sz w:val="18"/>
                <w:szCs w:val="18"/>
                <w:b w:val="1"/>
                <w:bCs w:val="1"/>
                <w:color w:val="auto"/>
              </w:rPr>
              <w:t>ITEM 1. CONDENSED FINANCIAL STATEMENTS</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8680" w:type="dxa"/>
            <w:vAlign w:val="bottom"/>
          </w:tcPr>
          <w:p>
            <w:pPr>
              <w:jc w:val="center"/>
              <w:ind w:left="2490"/>
              <w:spacing w:after="0"/>
              <w:rPr>
                <w:sz w:val="20"/>
                <w:szCs w:val="20"/>
                <w:color w:val="auto"/>
              </w:rPr>
            </w:pPr>
            <w:r>
              <w:rPr>
                <w:rFonts w:ascii="Arial" w:cs="Arial" w:eastAsia="Arial" w:hAnsi="Arial"/>
                <w:sz w:val="18"/>
                <w:szCs w:val="18"/>
                <w:b w:val="1"/>
                <w:bCs w:val="1"/>
                <w:color w:val="auto"/>
              </w:rPr>
              <w:t>CM LIFE SCIENCES, INC.</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8680" w:type="dxa"/>
            <w:vAlign w:val="bottom"/>
          </w:tcPr>
          <w:p>
            <w:pPr>
              <w:jc w:val="center"/>
              <w:ind w:left="2470"/>
              <w:spacing w:after="0"/>
              <w:rPr>
                <w:sz w:val="20"/>
                <w:szCs w:val="20"/>
                <w:color w:val="auto"/>
              </w:rPr>
            </w:pPr>
            <w:r>
              <w:rPr>
                <w:rFonts w:ascii="Arial" w:cs="Arial" w:eastAsia="Arial" w:hAnsi="Arial"/>
                <w:sz w:val="18"/>
                <w:szCs w:val="18"/>
                <w:b w:val="1"/>
                <w:bCs w:val="1"/>
                <w:color w:val="auto"/>
                <w:w w:val="98"/>
              </w:rPr>
              <w:t>CONDENSED BALANCE SHEETS</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8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8"/>
              </w:rPr>
              <w:t>June 30,</w:t>
            </w:r>
          </w:p>
        </w:tc>
        <w:tc>
          <w:tcPr>
            <w:tcW w:w="1220" w:type="dxa"/>
            <w:vAlign w:val="bottom"/>
            <w:gridSpan w:val="4"/>
          </w:tcPr>
          <w:p>
            <w:pPr>
              <w:jc w:val="right"/>
              <w:ind w:right="140"/>
              <w:spacing w:after="0"/>
              <w:rPr>
                <w:sz w:val="20"/>
                <w:szCs w:val="20"/>
                <w:color w:val="auto"/>
              </w:rPr>
            </w:pPr>
            <w:r>
              <w:rPr>
                <w:rFonts w:ascii="Arial" w:cs="Arial" w:eastAsia="Arial" w:hAnsi="Arial"/>
                <w:sz w:val="18"/>
                <w:szCs w:val="18"/>
                <w:b w:val="1"/>
                <w:bCs w:val="1"/>
                <w:color w:val="auto"/>
                <w:w w:val="90"/>
              </w:rPr>
              <w:t>December 31,</w:t>
            </w:r>
          </w:p>
        </w:tc>
        <w:tc>
          <w:tcPr>
            <w:tcW w:w="0" w:type="dxa"/>
            <w:vAlign w:val="bottom"/>
          </w:tcPr>
          <w:p>
            <w:pPr>
              <w:spacing w:after="0"/>
              <w:rPr>
                <w:sz w:val="1"/>
                <w:szCs w:val="1"/>
                <w:color w:val="auto"/>
              </w:rPr>
            </w:pPr>
          </w:p>
        </w:tc>
      </w:tr>
      <w:tr>
        <w:trPr>
          <w:trHeight w:val="241"/>
        </w:trPr>
        <w:tc>
          <w:tcPr>
            <w:tcW w:w="86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2021</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680" w:type="dxa"/>
            <w:vAlign w:val="bottom"/>
            <w:vMerge w:val="restart"/>
          </w:tcPr>
          <w:p>
            <w:pPr>
              <w:spacing w:after="0"/>
              <w:rPr>
                <w:sz w:val="20"/>
                <w:szCs w:val="20"/>
                <w:color w:val="auto"/>
              </w:rPr>
            </w:pPr>
            <w:r>
              <w:rPr>
                <w:rFonts w:ascii="Arial" w:cs="Arial" w:eastAsia="Arial" w:hAnsi="Arial"/>
                <w:sz w:val="18"/>
                <w:szCs w:val="18"/>
                <w:b w:val="1"/>
                <w:bCs w:val="1"/>
                <w:color w:val="auto"/>
              </w:rPr>
              <w:t>ASSETS</w:t>
            </w:r>
          </w:p>
        </w:tc>
        <w:tc>
          <w:tcPr>
            <w:tcW w:w="100" w:type="dxa"/>
            <w:vAlign w:val="bottom"/>
          </w:tcPr>
          <w:p>
            <w:pPr>
              <w:spacing w:after="0"/>
              <w:rPr>
                <w:sz w:val="20"/>
                <w:szCs w:val="20"/>
                <w:color w:val="auto"/>
              </w:rPr>
            </w:pPr>
          </w:p>
        </w:tc>
        <w:tc>
          <w:tcPr>
            <w:tcW w:w="1020" w:type="dxa"/>
            <w:vAlign w:val="bottom"/>
          </w:tcPr>
          <w:p>
            <w:pPr>
              <w:jc w:val="center"/>
              <w:ind w:right="10"/>
              <w:spacing w:after="0"/>
              <w:rPr>
                <w:sz w:val="20"/>
                <w:szCs w:val="20"/>
                <w:color w:val="auto"/>
              </w:rPr>
            </w:pPr>
            <w:r>
              <w:rPr>
                <w:rFonts w:ascii="Arial" w:cs="Arial" w:eastAsia="Arial" w:hAnsi="Arial"/>
                <w:sz w:val="18"/>
                <w:szCs w:val="18"/>
                <w:color w:val="auto"/>
                <w:w w:val="93"/>
              </w:rPr>
              <w:t>(Unaudited)</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86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868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167,959</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1,094,681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8680" w:type="dxa"/>
            <w:vAlign w:val="bottom"/>
          </w:tcPr>
          <w:p>
            <w:pPr>
              <w:ind w:left="180"/>
              <w:spacing w:after="0"/>
              <w:rPr>
                <w:sz w:val="20"/>
                <w:szCs w:val="20"/>
                <w:color w:val="auto"/>
              </w:rPr>
            </w:pPr>
            <w:r>
              <w:rPr>
                <w:rFonts w:ascii="Arial" w:cs="Arial" w:eastAsia="Arial" w:hAnsi="Arial"/>
                <w:sz w:val="18"/>
                <w:szCs w:val="18"/>
                <w:color w:val="auto"/>
              </w:rPr>
              <w:t>Prepaid expenses</w:t>
            </w:r>
          </w:p>
        </w:tc>
        <w:tc>
          <w:tcPr>
            <w:tcW w:w="10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228,508</w:t>
            </w:r>
          </w:p>
        </w:tc>
        <w:tc>
          <w:tcPr>
            <w:tcW w:w="160" w:type="dxa"/>
            <w:vAlign w:val="bottom"/>
          </w:tcPr>
          <w:p>
            <w:pPr>
              <w:spacing w:after="0"/>
              <w:rPr>
                <w:sz w:val="20"/>
                <w:szCs w:val="20"/>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277,031</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Total Current Assets</w:t>
            </w: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396,467</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1,371,712</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Cash and marketable securities held in trust account</w:t>
            </w: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442,785,910</w:t>
            </w:r>
          </w:p>
        </w:tc>
        <w:tc>
          <w:tcPr>
            <w:tcW w:w="1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3"/>
              </w:rPr>
              <w:t>442,763,951</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vMerge w:val="restart"/>
          </w:tcPr>
          <w:p>
            <w:pPr>
              <w:spacing w:after="0"/>
              <w:rPr>
                <w:sz w:val="20"/>
                <w:szCs w:val="20"/>
                <w:color w:val="auto"/>
              </w:rPr>
            </w:pPr>
            <w:r>
              <w:rPr>
                <w:rFonts w:ascii="Arial" w:cs="Arial" w:eastAsia="Arial" w:hAnsi="Arial"/>
                <w:sz w:val="18"/>
                <w:szCs w:val="18"/>
                <w:b w:val="1"/>
                <w:bCs w:val="1"/>
                <w:color w:val="auto"/>
              </w:rPr>
              <w:t>Total Assets</w:t>
            </w: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8680" w:type="dxa"/>
            <w:vAlign w:val="bottom"/>
            <w:vMerge w:val="continue"/>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9"/>
              </w:rPr>
              <w:t>443,182,377</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w w:val="93"/>
              </w:rPr>
              <w:t>444,135,663</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8680" w:type="dxa"/>
            <w:vAlign w:val="bottom"/>
          </w:tcPr>
          <w:p>
            <w:pPr>
              <w:ind w:left="180"/>
              <w:spacing w:after="0"/>
              <w:rPr>
                <w:sz w:val="20"/>
                <w:szCs w:val="20"/>
                <w:color w:val="auto"/>
              </w:rPr>
            </w:pPr>
            <w:r>
              <w:rPr>
                <w:rFonts w:ascii="Arial" w:cs="Arial" w:eastAsia="Arial" w:hAnsi="Arial"/>
                <w:sz w:val="18"/>
                <w:szCs w:val="18"/>
                <w:color w:val="auto"/>
              </w:rPr>
              <w:t>Accounts payable and accrued expenses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2,244,995</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3"/>
          </w:tcPr>
          <w:p>
            <w:pPr>
              <w:jc w:val="right"/>
              <w:ind w:right="100"/>
              <w:spacing w:after="0"/>
              <w:rPr>
                <w:sz w:val="20"/>
                <w:szCs w:val="20"/>
                <w:color w:val="auto"/>
              </w:rPr>
            </w:pPr>
            <w:r>
              <w:rPr>
                <w:rFonts w:ascii="Arial" w:cs="Arial" w:eastAsia="Arial" w:hAnsi="Arial"/>
                <w:sz w:val="18"/>
                <w:szCs w:val="18"/>
                <w:color w:val="auto"/>
              </w:rPr>
              <w:t>97,120</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Current Liabilities</w:t>
            </w: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2,244,995</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97,120</w:t>
            </w:r>
          </w:p>
        </w:tc>
        <w:tc>
          <w:tcPr>
            <w:tcW w:w="100" w:type="dxa"/>
            <w:vAlign w:val="bottom"/>
            <w:tcBorders>
              <w:top w:val="single" w:sz="8" w:color="CCEEFF"/>
            </w:tcBorders>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Warrant liability</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112,683,300</w:t>
            </w:r>
          </w:p>
        </w:tc>
        <w:tc>
          <w:tcPr>
            <w:tcW w:w="16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70,322,418</w:t>
            </w:r>
          </w:p>
        </w:tc>
        <w:tc>
          <w:tcPr>
            <w:tcW w:w="0" w:type="dxa"/>
            <w:vAlign w:val="bottom"/>
          </w:tcPr>
          <w:p>
            <w:pPr>
              <w:spacing w:after="0"/>
              <w:rPr>
                <w:sz w:val="1"/>
                <w:szCs w:val="1"/>
                <w:color w:val="auto"/>
              </w:rPr>
            </w:pPr>
          </w:p>
        </w:tc>
      </w:tr>
      <w:tr>
        <w:trPr>
          <w:trHeight w:val="236"/>
        </w:trPr>
        <w:tc>
          <w:tcPr>
            <w:tcW w:w="8680" w:type="dxa"/>
            <w:vAlign w:val="bottom"/>
          </w:tcPr>
          <w:p>
            <w:pPr>
              <w:spacing w:after="0"/>
              <w:rPr>
                <w:sz w:val="20"/>
                <w:szCs w:val="20"/>
                <w:color w:val="auto"/>
              </w:rPr>
            </w:pPr>
            <w:r>
              <w:rPr>
                <w:rFonts w:ascii="Arial" w:cs="Arial" w:eastAsia="Arial" w:hAnsi="Arial"/>
                <w:sz w:val="18"/>
                <w:szCs w:val="18"/>
                <w:color w:val="auto"/>
              </w:rPr>
              <w:t>Deferred underwriting fee payable</w:t>
            </w:r>
          </w:p>
        </w:tc>
        <w:tc>
          <w:tcPr>
            <w:tcW w:w="10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15,496,250</w:t>
            </w:r>
          </w:p>
        </w:tc>
        <w:tc>
          <w:tcPr>
            <w:tcW w:w="160" w:type="dxa"/>
            <w:vAlign w:val="bottom"/>
          </w:tcPr>
          <w:p>
            <w:pPr>
              <w:spacing w:after="0"/>
              <w:rPr>
                <w:sz w:val="20"/>
                <w:szCs w:val="20"/>
                <w:color w:val="auto"/>
              </w:rPr>
            </w:pPr>
          </w:p>
        </w:tc>
        <w:tc>
          <w:tcPr>
            <w:tcW w:w="1060" w:type="dxa"/>
            <w:vAlign w:val="bottom"/>
            <w:gridSpan w:val="3"/>
          </w:tcPr>
          <w:p>
            <w:pPr>
              <w:jc w:val="right"/>
              <w:ind w:right="100"/>
              <w:spacing w:after="0"/>
              <w:rPr>
                <w:sz w:val="20"/>
                <w:szCs w:val="20"/>
                <w:color w:val="auto"/>
              </w:rPr>
            </w:pPr>
            <w:r>
              <w:rPr>
                <w:rFonts w:ascii="Arial" w:cs="Arial" w:eastAsia="Arial" w:hAnsi="Arial"/>
                <w:sz w:val="18"/>
                <w:szCs w:val="18"/>
                <w:color w:val="auto"/>
              </w:rPr>
              <w:t>15,496,250</w:t>
            </w:r>
          </w:p>
        </w:tc>
        <w:tc>
          <w:tcPr>
            <w:tcW w:w="0" w:type="dxa"/>
            <w:vAlign w:val="bottom"/>
          </w:tcPr>
          <w:p>
            <w:pPr>
              <w:spacing w:after="0"/>
              <w:rPr>
                <w:sz w:val="1"/>
                <w:szCs w:val="1"/>
                <w:color w:val="auto"/>
              </w:rPr>
            </w:pPr>
          </w:p>
        </w:tc>
      </w:tr>
      <w:tr>
        <w:trPr>
          <w:trHeight w:val="223"/>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Liabilities</w:t>
            </w: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130,424,545</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85,915,788</w:t>
            </w:r>
          </w:p>
        </w:tc>
        <w:tc>
          <w:tcPr>
            <w:tcW w:w="100" w:type="dxa"/>
            <w:vAlign w:val="bottom"/>
            <w:tcBorders>
              <w:top w:val="single" w:sz="8" w:color="CCEEFF"/>
              <w:bottom w:val="single" w:sz="8" w:color="CCEEFF"/>
            </w:tcBorders>
            <w:gridSpan w:val="2"/>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Commitments and Contingencies</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6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Class A common stock subject to possible redemption, 30,775,783 and 35,321,987 shares at $10.00 per share as of</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June 30, 2021 and December 31, 2020, respectively</w:t>
            </w:r>
          </w:p>
        </w:tc>
        <w:tc>
          <w:tcPr>
            <w:tcW w:w="10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307,757,830</w:t>
            </w:r>
          </w:p>
        </w:tc>
        <w:tc>
          <w:tcPr>
            <w:tcW w:w="16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3"/>
              </w:rPr>
              <w:t>353,219,870</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Stockholders’ Equity</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Preferred stock, $0.0001 par value; 1,000,000 shares authorized; none issued or outstanding</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6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86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2"/>
              </w:rPr>
              <w:t>Class A common stock, $0.0001 par value; 380,000,000 shares authorized; 13,499,217 and 8,953,013 shares issued</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2"/>
              </w:rPr>
              <w:t>and outstanding (excluding 30,775,783 and 35,321,987 shares subject to possible redemption) as of June 30, 2021</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and December 31, 2020, respectively</w:t>
            </w:r>
          </w:p>
        </w:tc>
        <w:tc>
          <w:tcPr>
            <w:tcW w:w="10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1,349</w:t>
            </w:r>
          </w:p>
        </w:tc>
        <w:tc>
          <w:tcPr>
            <w:tcW w:w="160" w:type="dxa"/>
            <w:vAlign w:val="bottom"/>
            <w:shd w:val="clear" w:color="auto" w:fill="CCEEFF"/>
          </w:tcPr>
          <w:p>
            <w:pPr>
              <w:spacing w:after="0"/>
              <w:rPr>
                <w:sz w:val="20"/>
                <w:szCs w:val="20"/>
                <w:color w:val="auto"/>
              </w:rPr>
            </w:pPr>
          </w:p>
        </w:tc>
        <w:tc>
          <w:tcPr>
            <w:tcW w:w="10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895</w:t>
            </w:r>
          </w:p>
        </w:tc>
        <w:tc>
          <w:tcPr>
            <w:tcW w:w="0" w:type="dxa"/>
            <w:vAlign w:val="bottom"/>
          </w:tcPr>
          <w:p>
            <w:pPr>
              <w:spacing w:after="0"/>
              <w:rPr>
                <w:sz w:val="1"/>
                <w:szCs w:val="1"/>
                <w:color w:val="auto"/>
              </w:rPr>
            </w:pPr>
          </w:p>
        </w:tc>
      </w:tr>
      <w:tr>
        <w:trPr>
          <w:trHeight w:val="202"/>
        </w:trPr>
        <w:tc>
          <w:tcPr>
            <w:tcW w:w="8680" w:type="dxa"/>
            <w:vAlign w:val="bottom"/>
          </w:tcPr>
          <w:p>
            <w:pPr>
              <w:spacing w:after="0" w:line="201" w:lineRule="exact"/>
              <w:rPr>
                <w:sz w:val="20"/>
                <w:szCs w:val="20"/>
                <w:color w:val="auto"/>
              </w:rPr>
            </w:pPr>
            <w:r>
              <w:rPr>
                <w:rFonts w:ascii="Arial" w:cs="Arial" w:eastAsia="Arial" w:hAnsi="Arial"/>
                <w:sz w:val="18"/>
                <w:szCs w:val="18"/>
                <w:color w:val="auto"/>
                <w:w w:val="91"/>
              </w:rPr>
              <w:t>Class B common stock, $0.00001 par value; 20,000,000 shares authorized; 11,068,750 shares issued and outstanding</w:t>
            </w: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680" w:type="dxa"/>
            <w:vAlign w:val="bottom"/>
          </w:tcPr>
          <w:p>
            <w:pPr>
              <w:ind w:left="160"/>
              <w:spacing w:after="0"/>
              <w:rPr>
                <w:sz w:val="20"/>
                <w:szCs w:val="20"/>
                <w:color w:val="auto"/>
              </w:rPr>
            </w:pPr>
            <w:r>
              <w:rPr>
                <w:rFonts w:ascii="Arial" w:cs="Arial" w:eastAsia="Arial" w:hAnsi="Arial"/>
                <w:sz w:val="18"/>
                <w:szCs w:val="18"/>
                <w:color w:val="auto"/>
              </w:rPr>
              <w:t>as of June 30, 2021 and December 31, 2020</w:t>
            </w:r>
          </w:p>
        </w:tc>
        <w:tc>
          <w:tcPr>
            <w:tcW w:w="10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1,107</w:t>
            </w:r>
          </w:p>
        </w:tc>
        <w:tc>
          <w:tcPr>
            <w:tcW w:w="160" w:type="dxa"/>
            <w:vAlign w:val="bottom"/>
          </w:tcPr>
          <w:p>
            <w:pPr>
              <w:spacing w:after="0"/>
              <w:rPr>
                <w:sz w:val="20"/>
                <w:szCs w:val="20"/>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1,107</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90,367,188</w:t>
            </w:r>
          </w:p>
        </w:tc>
        <w:tc>
          <w:tcPr>
            <w:tcW w:w="16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44,905,602</w:t>
            </w:r>
          </w:p>
        </w:tc>
        <w:tc>
          <w:tcPr>
            <w:tcW w:w="0" w:type="dxa"/>
            <w:vAlign w:val="bottom"/>
          </w:tcPr>
          <w:p>
            <w:pPr>
              <w:spacing w:after="0"/>
              <w:rPr>
                <w:sz w:val="1"/>
                <w:szCs w:val="1"/>
                <w:color w:val="auto"/>
              </w:rPr>
            </w:pPr>
          </w:p>
        </w:tc>
      </w:tr>
      <w:tr>
        <w:trPr>
          <w:trHeight w:val="237"/>
        </w:trPr>
        <w:tc>
          <w:tcPr>
            <w:tcW w:w="8680" w:type="dxa"/>
            <w:vAlign w:val="bottom"/>
          </w:tcPr>
          <w:p>
            <w:pPr>
              <w:spacing w:after="0"/>
              <w:rPr>
                <w:sz w:val="20"/>
                <w:szCs w:val="20"/>
                <w:color w:val="auto"/>
              </w:rPr>
            </w:pPr>
            <w:r>
              <w:rPr>
                <w:rFonts w:ascii="Arial" w:cs="Arial" w:eastAsia="Arial" w:hAnsi="Arial"/>
                <w:sz w:val="18"/>
                <w:szCs w:val="18"/>
                <w:color w:val="auto"/>
              </w:rPr>
              <w:t>Accumulated deficit</w:t>
            </w:r>
          </w:p>
        </w:tc>
        <w:tc>
          <w:tcPr>
            <w:tcW w:w="100" w:type="dxa"/>
            <w:vAlign w:val="bottom"/>
          </w:tcPr>
          <w:p>
            <w:pPr>
              <w:spacing w:after="0"/>
              <w:rPr>
                <w:sz w:val="20"/>
                <w:szCs w:val="20"/>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(85,369,642)</w:t>
            </w:r>
          </w:p>
        </w:tc>
        <w:tc>
          <w:tcPr>
            <w:tcW w:w="160" w:type="dxa"/>
            <w:vAlign w:val="bottom"/>
          </w:tcPr>
          <w:p>
            <w:pPr>
              <w:spacing w:after="0"/>
              <w:rPr>
                <w:sz w:val="20"/>
                <w:szCs w:val="20"/>
                <w:color w:val="auto"/>
              </w:rPr>
            </w:pPr>
          </w:p>
        </w:tc>
        <w:tc>
          <w:tcPr>
            <w:tcW w:w="1060" w:type="dxa"/>
            <w:vAlign w:val="bottom"/>
            <w:gridSpan w:val="3"/>
          </w:tcPr>
          <w:p>
            <w:pPr>
              <w:jc w:val="right"/>
              <w:ind w:right="40"/>
              <w:spacing w:after="0"/>
              <w:rPr>
                <w:sz w:val="20"/>
                <w:szCs w:val="20"/>
                <w:color w:val="auto"/>
              </w:rPr>
            </w:pPr>
            <w:r>
              <w:rPr>
                <w:rFonts w:ascii="Arial" w:cs="Arial" w:eastAsia="Arial" w:hAnsi="Arial"/>
                <w:sz w:val="18"/>
                <w:szCs w:val="18"/>
                <w:color w:val="auto"/>
                <w:w w:val="97"/>
              </w:rPr>
              <w:t>(39,907,599)</w:t>
            </w:r>
          </w:p>
        </w:tc>
        <w:tc>
          <w:tcPr>
            <w:tcW w:w="0" w:type="dxa"/>
            <w:vAlign w:val="bottom"/>
          </w:tcPr>
          <w:p>
            <w:pPr>
              <w:spacing w:after="0"/>
              <w:rPr>
                <w:sz w:val="1"/>
                <w:szCs w:val="1"/>
                <w:color w:val="auto"/>
              </w:rPr>
            </w:pPr>
          </w:p>
        </w:tc>
      </w:tr>
      <w:tr>
        <w:trPr>
          <w:trHeight w:val="236"/>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Stockholders’ Equity</w:t>
            </w: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5,000,002</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5,000,005</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8680" w:type="dxa"/>
            <w:vAlign w:val="bottom"/>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9"/>
              </w:rPr>
              <w:t>443,182,377</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w w:val="93"/>
              </w:rPr>
              <w:t>444,135,663</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unaudited condensed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CM LIFE SCIENCES,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340" w:type="dxa"/>
            <w:vAlign w:val="bottom"/>
            <w:gridSpan w:val="3"/>
          </w:tcPr>
          <w:p>
            <w:pPr>
              <w:ind w:left="20"/>
              <w:spacing w:after="0"/>
              <w:rPr>
                <w:sz w:val="20"/>
                <w:szCs w:val="20"/>
                <w:color w:val="auto"/>
              </w:rPr>
            </w:pPr>
            <w:r>
              <w:rPr>
                <w:rFonts w:ascii="Arial" w:cs="Arial" w:eastAsia="Arial" w:hAnsi="Arial"/>
                <w:sz w:val="18"/>
                <w:szCs w:val="18"/>
                <w:b w:val="1"/>
                <w:bCs w:val="1"/>
                <w:color w:val="auto"/>
              </w:rPr>
              <w:t>Three Months</w:t>
            </w:r>
          </w:p>
        </w:tc>
        <w:tc>
          <w:tcPr>
            <w:tcW w:w="100" w:type="dxa"/>
            <w:vAlign w:val="bottom"/>
          </w:tcPr>
          <w:p>
            <w:pPr>
              <w:spacing w:after="0"/>
              <w:rPr>
                <w:sz w:val="18"/>
                <w:szCs w:val="18"/>
                <w:color w:val="auto"/>
              </w:rPr>
            </w:pPr>
          </w:p>
        </w:tc>
        <w:tc>
          <w:tcPr>
            <w:tcW w:w="112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1"/>
              </w:rPr>
              <w:t>Six Months</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center"/>
              <w:ind w:right="281"/>
              <w:spacing w:after="0"/>
              <w:rPr>
                <w:sz w:val="20"/>
                <w:szCs w:val="20"/>
                <w:color w:val="auto"/>
              </w:rPr>
            </w:pPr>
            <w:r>
              <w:rPr>
                <w:rFonts w:ascii="Arial" w:cs="Arial" w:eastAsia="Arial" w:hAnsi="Arial"/>
                <w:sz w:val="18"/>
                <w:szCs w:val="18"/>
                <w:b w:val="1"/>
                <w:bCs w:val="1"/>
                <w:color w:val="auto"/>
                <w:w w:val="90"/>
              </w:rPr>
              <w:t>Ended</w:t>
            </w:r>
          </w:p>
        </w:tc>
        <w:tc>
          <w:tcPr>
            <w:tcW w:w="100" w:type="dxa"/>
            <w:vAlign w:val="bottom"/>
          </w:tcPr>
          <w:p>
            <w:pPr>
              <w:spacing w:after="0"/>
              <w:rPr>
                <w:sz w:val="18"/>
                <w:szCs w:val="18"/>
                <w:color w:val="auto"/>
              </w:rPr>
            </w:pPr>
          </w:p>
        </w:tc>
        <w:tc>
          <w:tcPr>
            <w:tcW w:w="112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0"/>
              </w:rPr>
              <w:t>Ended</w:t>
            </w:r>
          </w:p>
        </w:tc>
        <w:tc>
          <w:tcPr>
            <w:tcW w:w="0" w:type="dxa"/>
            <w:vAlign w:val="bottom"/>
          </w:tcPr>
          <w:p>
            <w:pPr>
              <w:spacing w:after="0"/>
              <w:rPr>
                <w:sz w:val="1"/>
                <w:szCs w:val="1"/>
                <w:color w:val="auto"/>
              </w:rPr>
            </w:pPr>
          </w:p>
        </w:tc>
      </w:tr>
      <w:tr>
        <w:trPr>
          <w:trHeight w:val="229"/>
        </w:trPr>
        <w:tc>
          <w:tcPr>
            <w:tcW w:w="8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center"/>
              <w:ind w:right="301"/>
              <w:spacing w:after="0"/>
              <w:rPr>
                <w:sz w:val="20"/>
                <w:szCs w:val="20"/>
                <w:color w:val="auto"/>
              </w:rPr>
            </w:pPr>
            <w:r>
              <w:rPr>
                <w:rFonts w:ascii="Arial" w:cs="Arial" w:eastAsia="Arial" w:hAnsi="Arial"/>
                <w:sz w:val="18"/>
                <w:szCs w:val="18"/>
                <w:b w:val="1"/>
                <w:bCs w:val="1"/>
                <w:color w:val="auto"/>
                <w:w w:val="88"/>
              </w:rPr>
              <w:t>June 30,</w:t>
            </w:r>
          </w:p>
        </w:tc>
        <w:tc>
          <w:tcPr>
            <w:tcW w:w="100" w:type="dxa"/>
            <w:vAlign w:val="bottom"/>
          </w:tcPr>
          <w:p>
            <w:pPr>
              <w:spacing w:after="0"/>
              <w:rPr>
                <w:sz w:val="19"/>
                <w:szCs w:val="19"/>
                <w:color w:val="auto"/>
              </w:rPr>
            </w:pPr>
          </w:p>
        </w:tc>
        <w:tc>
          <w:tcPr>
            <w:tcW w:w="112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88"/>
              </w:rPr>
              <w:t>June 30,</w:t>
            </w:r>
          </w:p>
        </w:tc>
        <w:tc>
          <w:tcPr>
            <w:tcW w:w="0" w:type="dxa"/>
            <w:vAlign w:val="bottom"/>
          </w:tcPr>
          <w:p>
            <w:pPr>
              <w:spacing w:after="0"/>
              <w:rPr>
                <w:sz w:val="1"/>
                <w:szCs w:val="1"/>
                <w:color w:val="auto"/>
              </w:rPr>
            </w:pPr>
          </w:p>
        </w:tc>
      </w:tr>
      <w:tr>
        <w:trPr>
          <w:trHeight w:val="241"/>
        </w:trPr>
        <w:tc>
          <w:tcPr>
            <w:tcW w:w="86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9"/>
              </w:rPr>
              <w:t>2021</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2021</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1,277,960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3,123,120</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8680" w:type="dxa"/>
            <w:vAlign w:val="bottom"/>
            <w:tcBorders>
              <w:top w:val="single" w:sz="8" w:color="CCEEFF"/>
            </w:tcBorders>
          </w:tcPr>
          <w:p>
            <w:pPr>
              <w:ind w:left="160"/>
              <w:spacing w:after="0" w:line="203" w:lineRule="exact"/>
              <w:rPr>
                <w:sz w:val="20"/>
                <w:szCs w:val="20"/>
                <w:color w:val="auto"/>
              </w:rPr>
            </w:pPr>
            <w:r>
              <w:rPr>
                <w:rFonts w:ascii="Arial" w:cs="Arial" w:eastAsia="Arial" w:hAnsi="Arial"/>
                <w:sz w:val="18"/>
                <w:szCs w:val="18"/>
                <w:b w:val="1"/>
                <w:bCs w:val="1"/>
                <w:color w:val="auto"/>
              </w:rPr>
              <w:t>Loss from operations</w:t>
            </w: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(1,277,960)</w:t>
            </w:r>
          </w:p>
        </w:tc>
        <w:tc>
          <w:tcPr>
            <w:tcW w:w="22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(3,123,120)</w:t>
            </w:r>
          </w:p>
        </w:tc>
        <w:tc>
          <w:tcPr>
            <w:tcW w:w="100" w:type="dxa"/>
            <w:vAlign w:val="bottom"/>
            <w:tcBorders>
              <w:top w:val="single" w:sz="8" w:color="CCEEFF"/>
            </w:tcBorders>
            <w:gridSpan w:val="2"/>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Other income (expense):</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Change in fair value of warrant liabilities</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14,276,800</w:t>
            </w:r>
          </w:p>
        </w:tc>
        <w:tc>
          <w:tcPr>
            <w:tcW w:w="1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(42,360,882)</w:t>
            </w:r>
          </w:p>
        </w:tc>
        <w:tc>
          <w:tcPr>
            <w:tcW w:w="0" w:type="dxa"/>
            <w:vAlign w:val="bottom"/>
          </w:tcPr>
          <w:p>
            <w:pPr>
              <w:spacing w:after="0"/>
              <w:rPr>
                <w:sz w:val="1"/>
                <w:szCs w:val="1"/>
                <w:color w:val="auto"/>
              </w:rPr>
            </w:pPr>
          </w:p>
        </w:tc>
      </w:tr>
      <w:tr>
        <w:trPr>
          <w:trHeight w:val="237"/>
        </w:trPr>
        <w:tc>
          <w:tcPr>
            <w:tcW w:w="8680" w:type="dxa"/>
            <w:vAlign w:val="bottom"/>
          </w:tcPr>
          <w:p>
            <w:pPr>
              <w:ind w:left="140"/>
              <w:spacing w:after="0"/>
              <w:rPr>
                <w:sz w:val="20"/>
                <w:szCs w:val="20"/>
                <w:color w:val="auto"/>
              </w:rPr>
            </w:pPr>
            <w:r>
              <w:rPr>
                <w:rFonts w:ascii="Arial" w:cs="Arial" w:eastAsia="Arial" w:hAnsi="Arial"/>
                <w:sz w:val="18"/>
                <w:szCs w:val="18"/>
                <w:color w:val="auto"/>
              </w:rPr>
              <w:t>Interest earned on marketable securities held in Trust Account</w:t>
            </w:r>
          </w:p>
        </w:tc>
        <w:tc>
          <w:tcPr>
            <w:tcW w:w="160" w:type="dxa"/>
            <w:vAlign w:val="bottom"/>
          </w:tcPr>
          <w:p>
            <w:pPr>
              <w:spacing w:after="0"/>
              <w:rPr>
                <w:sz w:val="20"/>
                <w:szCs w:val="20"/>
                <w:color w:val="auto"/>
              </w:rPr>
            </w:pPr>
          </w:p>
        </w:tc>
        <w:tc>
          <w:tcPr>
            <w:tcW w:w="1180" w:type="dxa"/>
            <w:vAlign w:val="bottom"/>
            <w:gridSpan w:val="2"/>
          </w:tcPr>
          <w:p>
            <w:pPr>
              <w:jc w:val="right"/>
              <w:ind w:right="141"/>
              <w:spacing w:after="0"/>
              <w:rPr>
                <w:sz w:val="20"/>
                <w:szCs w:val="20"/>
                <w:color w:val="auto"/>
              </w:rPr>
            </w:pPr>
            <w:r>
              <w:rPr>
                <w:rFonts w:ascii="Arial" w:cs="Arial" w:eastAsia="Arial" w:hAnsi="Arial"/>
                <w:sz w:val="18"/>
                <w:szCs w:val="18"/>
                <w:color w:val="auto"/>
              </w:rPr>
              <w:t>11,040</w:t>
            </w:r>
          </w:p>
        </w:tc>
        <w:tc>
          <w:tcPr>
            <w:tcW w:w="100" w:type="dxa"/>
            <w:vAlign w:val="bottom"/>
          </w:tcPr>
          <w:p>
            <w:pPr>
              <w:spacing w:after="0"/>
              <w:rPr>
                <w:sz w:val="20"/>
                <w:szCs w:val="20"/>
                <w:color w:val="auto"/>
              </w:rPr>
            </w:pPr>
          </w:p>
        </w:tc>
        <w:tc>
          <w:tcPr>
            <w:tcW w:w="1120" w:type="dxa"/>
            <w:vAlign w:val="bottom"/>
            <w:gridSpan w:val="3"/>
          </w:tcPr>
          <w:p>
            <w:pPr>
              <w:jc w:val="right"/>
              <w:ind w:right="100"/>
              <w:spacing w:after="0"/>
              <w:rPr>
                <w:sz w:val="20"/>
                <w:szCs w:val="20"/>
                <w:color w:val="auto"/>
              </w:rPr>
            </w:pPr>
            <w:r>
              <w:rPr>
                <w:rFonts w:ascii="Arial" w:cs="Arial" w:eastAsia="Arial" w:hAnsi="Arial"/>
                <w:sz w:val="18"/>
                <w:szCs w:val="18"/>
                <w:color w:val="auto"/>
              </w:rPr>
              <w:t>21,959</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Other income (expense), net</w:t>
            </w: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14,287,840</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(42,338,923)</w:t>
            </w:r>
          </w:p>
        </w:tc>
        <w:tc>
          <w:tcPr>
            <w:tcW w:w="100" w:type="dxa"/>
            <w:vAlign w:val="bottom"/>
            <w:tcBorders>
              <w:top w:val="single" w:sz="8" w:color="CCEEFF"/>
            </w:tcBorders>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Income (Loss) before income taxes</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13,009,880</w:t>
            </w:r>
          </w:p>
        </w:tc>
        <w:tc>
          <w:tcPr>
            <w:tcW w:w="1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(45,462,043)</w:t>
            </w:r>
          </w:p>
        </w:tc>
        <w:tc>
          <w:tcPr>
            <w:tcW w:w="0" w:type="dxa"/>
            <w:vAlign w:val="bottom"/>
          </w:tcPr>
          <w:p>
            <w:pPr>
              <w:spacing w:after="0"/>
              <w:rPr>
                <w:sz w:val="1"/>
                <w:szCs w:val="1"/>
                <w:color w:val="auto"/>
              </w:rPr>
            </w:pPr>
          </w:p>
        </w:tc>
      </w:tr>
      <w:tr>
        <w:trPr>
          <w:trHeight w:val="236"/>
        </w:trPr>
        <w:tc>
          <w:tcPr>
            <w:tcW w:w="86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(loss)</w:t>
            </w:r>
          </w:p>
        </w:tc>
        <w:tc>
          <w:tcPr>
            <w:tcW w:w="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1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b w:val="1"/>
                <w:bCs w:val="1"/>
                <w:color w:val="auto"/>
              </w:rPr>
              <w:t>13,009,880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(45,462,043</w:t>
            </w:r>
          </w:p>
        </w:tc>
        <w:tc>
          <w:tcPr>
            <w:tcW w:w="1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1"/>
        </w:trPr>
        <w:tc>
          <w:tcPr>
            <w:tcW w:w="86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outstanding of Class A redeemable common stock, basic and diluted</w:t>
            </w:r>
          </w:p>
        </w:tc>
        <w:tc>
          <w:tcPr>
            <w:tcW w:w="16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44,275,000</w:t>
            </w:r>
          </w:p>
        </w:tc>
        <w:tc>
          <w:tcPr>
            <w:tcW w:w="100" w:type="dxa"/>
            <w:vAlign w:val="bottom"/>
            <w:shd w:val="clear" w:color="auto" w:fill="CCEEFF"/>
          </w:tcPr>
          <w:p>
            <w:pPr>
              <w:spacing w:after="0"/>
              <w:rPr>
                <w:sz w:val="22"/>
                <w:szCs w:val="22"/>
                <w:color w:val="auto"/>
              </w:rPr>
            </w:pP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44,275,000</w:t>
            </w:r>
          </w:p>
        </w:tc>
        <w:tc>
          <w:tcPr>
            <w:tcW w:w="0" w:type="dxa"/>
            <w:vAlign w:val="bottom"/>
          </w:tcPr>
          <w:p>
            <w:pPr>
              <w:spacing w:after="0"/>
              <w:rPr>
                <w:sz w:val="1"/>
                <w:szCs w:val="1"/>
                <w:color w:val="auto"/>
              </w:rPr>
            </w:pPr>
          </w:p>
        </w:tc>
      </w:tr>
      <w:tr>
        <w:trPr>
          <w:trHeight w:val="21"/>
        </w:trPr>
        <w:tc>
          <w:tcPr>
            <w:tcW w:w="86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Basic and diluted net income per share, Class A redeemable common stock</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3"/>
        </w:trPr>
        <w:tc>
          <w:tcPr>
            <w:tcW w:w="8680" w:type="dxa"/>
            <w:vAlign w:val="bottom"/>
            <w:tcBorders>
              <w:bottom w:val="single" w:sz="8" w:color="CCEEFF"/>
            </w:tcBorders>
            <w:vMerge w:val="continue"/>
          </w:tcPr>
          <w:p>
            <w:pPr>
              <w:spacing w:after="0"/>
              <w:rPr>
                <w:sz w:val="22"/>
                <w:szCs w:val="22"/>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gridSpan w:val="2"/>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04"/>
        </w:trPr>
        <w:tc>
          <w:tcPr>
            <w:tcW w:w="8680" w:type="dxa"/>
            <w:vAlign w:val="bottom"/>
          </w:tcPr>
          <w:p>
            <w:pPr>
              <w:spacing w:after="0"/>
              <w:rPr>
                <w:sz w:val="20"/>
                <w:szCs w:val="20"/>
                <w:color w:val="auto"/>
              </w:rPr>
            </w:pPr>
            <w:r>
              <w:rPr>
                <w:rFonts w:ascii="Arial" w:cs="Arial" w:eastAsia="Arial" w:hAnsi="Arial"/>
                <w:sz w:val="18"/>
                <w:szCs w:val="18"/>
                <w:color w:val="auto"/>
              </w:rPr>
              <w:t>Weighted average shares outstanding of Class B non-redeemable common stock, basic</w:t>
            </w:r>
          </w:p>
        </w:tc>
        <w:tc>
          <w:tcPr>
            <w:tcW w:w="160" w:type="dxa"/>
            <w:vAlign w:val="bottom"/>
          </w:tcPr>
          <w:p>
            <w:pPr>
              <w:spacing w:after="0"/>
              <w:rPr>
                <w:sz w:val="24"/>
                <w:szCs w:val="24"/>
                <w:color w:val="auto"/>
              </w:rPr>
            </w:pPr>
          </w:p>
        </w:tc>
        <w:tc>
          <w:tcPr>
            <w:tcW w:w="1180" w:type="dxa"/>
            <w:vAlign w:val="bottom"/>
            <w:gridSpan w:val="2"/>
          </w:tcPr>
          <w:p>
            <w:pPr>
              <w:jc w:val="right"/>
              <w:ind w:right="141"/>
              <w:spacing w:after="0"/>
              <w:rPr>
                <w:sz w:val="20"/>
                <w:szCs w:val="20"/>
                <w:color w:val="auto"/>
              </w:rPr>
            </w:pPr>
            <w:r>
              <w:rPr>
                <w:rFonts w:ascii="Arial" w:cs="Arial" w:eastAsia="Arial" w:hAnsi="Arial"/>
                <w:sz w:val="18"/>
                <w:szCs w:val="18"/>
                <w:color w:val="auto"/>
              </w:rPr>
              <w:t>11,068,750</w:t>
            </w:r>
          </w:p>
        </w:tc>
        <w:tc>
          <w:tcPr>
            <w:tcW w:w="100" w:type="dxa"/>
            <w:vAlign w:val="bottom"/>
          </w:tcPr>
          <w:p>
            <w:pPr>
              <w:spacing w:after="0"/>
              <w:rPr>
                <w:sz w:val="24"/>
                <w:szCs w:val="24"/>
                <w:color w:val="auto"/>
              </w:rPr>
            </w:pPr>
          </w:p>
        </w:tc>
        <w:tc>
          <w:tcPr>
            <w:tcW w:w="1120" w:type="dxa"/>
            <w:vAlign w:val="bottom"/>
            <w:gridSpan w:val="3"/>
          </w:tcPr>
          <w:p>
            <w:pPr>
              <w:jc w:val="right"/>
              <w:ind w:right="100"/>
              <w:spacing w:after="0"/>
              <w:rPr>
                <w:sz w:val="20"/>
                <w:szCs w:val="20"/>
                <w:color w:val="auto"/>
              </w:rPr>
            </w:pPr>
            <w:r>
              <w:rPr>
                <w:rFonts w:ascii="Arial" w:cs="Arial" w:eastAsia="Arial" w:hAnsi="Arial"/>
                <w:sz w:val="18"/>
                <w:szCs w:val="18"/>
                <w:color w:val="auto"/>
              </w:rPr>
              <w:t>11,068,750</w:t>
            </w:r>
          </w:p>
        </w:tc>
        <w:tc>
          <w:tcPr>
            <w:tcW w:w="0" w:type="dxa"/>
            <w:vAlign w:val="bottom"/>
          </w:tcPr>
          <w:p>
            <w:pPr>
              <w:spacing w:after="0"/>
              <w:rPr>
                <w:sz w:val="1"/>
                <w:szCs w:val="1"/>
                <w:color w:val="auto"/>
              </w:rPr>
            </w:pPr>
          </w:p>
        </w:tc>
      </w:tr>
      <w:tr>
        <w:trPr>
          <w:trHeight w:val="223"/>
        </w:trPr>
        <w:tc>
          <w:tcPr>
            <w:tcW w:w="8680" w:type="dxa"/>
            <w:vAlign w:val="bottom"/>
            <w:tcBorders>
              <w:top w:val="single" w:sz="8" w:color="CCEEFF"/>
              <w:bottom w:val="single" w:sz="8" w:color="CCEEFF"/>
            </w:tcBorders>
            <w:shd w:val="clear" w:color="auto" w:fill="CCEEFF"/>
          </w:tcPr>
          <w:p>
            <w:pPr>
              <w:spacing w:after="0" w:line="194" w:lineRule="exact"/>
              <w:rPr>
                <w:sz w:val="20"/>
                <w:szCs w:val="20"/>
                <w:color w:val="auto"/>
              </w:rPr>
            </w:pPr>
            <w:r>
              <w:rPr>
                <w:rFonts w:ascii="Arial" w:cs="Arial" w:eastAsia="Arial" w:hAnsi="Arial"/>
                <w:sz w:val="18"/>
                <w:szCs w:val="18"/>
                <w:b w:val="1"/>
                <w:bCs w:val="1"/>
                <w:color w:val="auto"/>
              </w:rPr>
              <w:t>Basic net income (loss) per share, Class B non-redeemable common stock</w:t>
            </w: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(4.11</w:t>
            </w:r>
          </w:p>
        </w:tc>
        <w:tc>
          <w:tcPr>
            <w:tcW w:w="100" w:type="dxa"/>
            <w:vAlign w:val="bottom"/>
            <w:tcBorders>
              <w:top w:val="single" w:sz="8" w:color="CCEEFF"/>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outstanding of Class A and B non-redeemable common stock, diluted</w:t>
            </w:r>
          </w:p>
        </w:tc>
        <w:tc>
          <w:tcPr>
            <w:tcW w:w="16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13,621,590</w:t>
            </w:r>
          </w:p>
        </w:tc>
        <w:tc>
          <w:tcPr>
            <w:tcW w:w="100" w:type="dxa"/>
            <w:vAlign w:val="bottom"/>
            <w:shd w:val="clear" w:color="auto" w:fill="CCEEFF"/>
          </w:tcPr>
          <w:p>
            <w:pPr>
              <w:spacing w:after="0"/>
              <w:rPr>
                <w:sz w:val="22"/>
                <w:szCs w:val="22"/>
                <w:color w:val="auto"/>
              </w:rPr>
            </w:pP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11,068,750</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Diluted net income (loss) per share, Class A and B non-redeemable common stock</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CCEEFF"/>
            </w:tcBorders>
            <w:vMerge w:val="restart"/>
          </w:tcPr>
          <w:p>
            <w:pPr>
              <w:jc w:val="right"/>
              <w:ind w:right="81"/>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CCEEFF"/>
            </w:tcBorders>
            <w:gridSpan w:val="2"/>
            <w:vMerge w:val="restart"/>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23"/>
        </w:trPr>
        <w:tc>
          <w:tcPr>
            <w:tcW w:w="8680" w:type="dxa"/>
            <w:vAlign w:val="bottom"/>
            <w:vMerge w:val="continue"/>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(0.09</w:t>
            </w:r>
          </w:p>
        </w:tc>
        <w:tc>
          <w:tcPr>
            <w:tcW w:w="22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(4.11</w:t>
            </w:r>
          </w:p>
        </w:tc>
        <w:tc>
          <w:tcPr>
            <w:tcW w:w="1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86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unaudited condensed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CM LIFE SCIENCES,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 OF CHANGES IN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THREE AND SIX MONTHS ENDED JUNE 30,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40" w:type="dxa"/>
            <w:vAlign w:val="bottom"/>
          </w:tcPr>
          <w:p>
            <w:pPr>
              <w:spacing w:after="0"/>
              <w:rPr>
                <w:sz w:val="18"/>
                <w:szCs w:val="18"/>
                <w:color w:val="auto"/>
              </w:rPr>
            </w:pPr>
          </w:p>
        </w:tc>
        <w:tc>
          <w:tcPr>
            <w:tcW w:w="1340" w:type="dxa"/>
            <w:vAlign w:val="bottom"/>
            <w:gridSpan w:val="3"/>
          </w:tcPr>
          <w:p>
            <w:pPr>
              <w:jc w:val="right"/>
              <w:ind w:right="43"/>
              <w:spacing w:after="0"/>
              <w:rPr>
                <w:sz w:val="20"/>
                <w:szCs w:val="20"/>
                <w:color w:val="auto"/>
              </w:rPr>
            </w:pPr>
            <w:r>
              <w:rPr>
                <w:rFonts w:ascii="Arial" w:cs="Arial" w:eastAsia="Arial" w:hAnsi="Arial"/>
                <w:sz w:val="18"/>
                <w:szCs w:val="18"/>
                <w:b w:val="1"/>
                <w:bCs w:val="1"/>
                <w:color w:val="auto"/>
              </w:rPr>
              <w:t>Class A</w:t>
            </w: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4"/>
          </w:tcPr>
          <w:p>
            <w:pPr>
              <w:jc w:val="right"/>
              <w:ind w:right="30"/>
              <w:spacing w:after="0"/>
              <w:rPr>
                <w:sz w:val="20"/>
                <w:szCs w:val="20"/>
                <w:color w:val="auto"/>
              </w:rPr>
            </w:pPr>
            <w:r>
              <w:rPr>
                <w:rFonts w:ascii="Arial" w:cs="Arial" w:eastAsia="Arial" w:hAnsi="Arial"/>
                <w:sz w:val="18"/>
                <w:szCs w:val="18"/>
                <w:b w:val="1"/>
                <w:bCs w:val="1"/>
                <w:color w:val="auto"/>
              </w:rPr>
              <w:t>Class B</w:t>
            </w: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90"/>
              </w:rPr>
              <w:t>Additional</w:t>
            </w: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Total</w:t>
            </w:r>
          </w:p>
        </w:tc>
      </w:tr>
      <w:tr>
        <w:trPr>
          <w:trHeight w:val="241"/>
        </w:trPr>
        <w:tc>
          <w:tcPr>
            <w:tcW w:w="3440" w:type="dxa"/>
            <w:vAlign w:val="bottom"/>
          </w:tcPr>
          <w:p>
            <w:pPr>
              <w:spacing w:after="0"/>
              <w:rPr>
                <w:sz w:val="20"/>
                <w:szCs w:val="20"/>
                <w:color w:val="auto"/>
              </w:rPr>
            </w:pPr>
          </w:p>
        </w:tc>
        <w:tc>
          <w:tcPr>
            <w:tcW w:w="2080" w:type="dxa"/>
            <w:vAlign w:val="bottom"/>
            <w:gridSpan w:val="5"/>
          </w:tcPr>
          <w:p>
            <w:pPr>
              <w:jc w:val="right"/>
              <w:ind w:right="560"/>
              <w:spacing w:after="0"/>
              <w:rPr>
                <w:sz w:val="20"/>
                <w:szCs w:val="20"/>
                <w:color w:val="auto"/>
              </w:rPr>
            </w:pPr>
            <w:r>
              <w:rPr>
                <w:rFonts w:ascii="Arial" w:cs="Arial" w:eastAsia="Arial" w:hAnsi="Arial"/>
                <w:sz w:val="18"/>
                <w:szCs w:val="18"/>
                <w:b w:val="1"/>
                <w:bCs w:val="1"/>
                <w:color w:val="auto"/>
              </w:rPr>
              <w:t>Common Stock</w:t>
            </w:r>
          </w:p>
        </w:tc>
        <w:tc>
          <w:tcPr>
            <w:tcW w:w="2100" w:type="dxa"/>
            <w:vAlign w:val="bottom"/>
            <w:gridSpan w:val="6"/>
          </w:tcPr>
          <w:p>
            <w:pPr>
              <w:jc w:val="right"/>
              <w:ind w:right="560"/>
              <w:spacing w:after="0"/>
              <w:rPr>
                <w:sz w:val="20"/>
                <w:szCs w:val="20"/>
                <w:color w:val="auto"/>
              </w:rPr>
            </w:pPr>
            <w:r>
              <w:rPr>
                <w:rFonts w:ascii="Arial" w:cs="Arial" w:eastAsia="Arial" w:hAnsi="Arial"/>
                <w:sz w:val="18"/>
                <w:szCs w:val="18"/>
                <w:b w:val="1"/>
                <w:bCs w:val="1"/>
                <w:color w:val="auto"/>
              </w:rPr>
              <w:t>Common Stock</w:t>
            </w:r>
          </w:p>
        </w:tc>
        <w:tc>
          <w:tcPr>
            <w:tcW w:w="100" w:type="dxa"/>
            <w:vAlign w:val="bottom"/>
          </w:tcPr>
          <w:p>
            <w:pPr>
              <w:spacing w:after="0"/>
              <w:rPr>
                <w:sz w:val="20"/>
                <w:szCs w:val="20"/>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Paid-in</w:t>
            </w:r>
          </w:p>
        </w:tc>
        <w:tc>
          <w:tcPr>
            <w:tcW w:w="130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w w:val="95"/>
              </w:rPr>
              <w:t>Accumulated</w:t>
            </w:r>
          </w:p>
        </w:tc>
        <w:tc>
          <w:tcPr>
            <w:tcW w:w="1160" w:type="dxa"/>
            <w:vAlign w:val="bottom"/>
            <w:gridSpan w:val="3"/>
          </w:tcPr>
          <w:p>
            <w:pPr>
              <w:spacing w:after="0"/>
              <w:rPr>
                <w:sz w:val="20"/>
                <w:szCs w:val="20"/>
                <w:color w:val="auto"/>
              </w:rPr>
            </w:pPr>
            <w:r>
              <w:rPr>
                <w:rFonts w:ascii="Arial" w:cs="Arial" w:eastAsia="Arial" w:hAnsi="Arial"/>
                <w:sz w:val="18"/>
                <w:szCs w:val="18"/>
                <w:b w:val="1"/>
                <w:bCs w:val="1"/>
                <w:color w:val="auto"/>
                <w:w w:val="95"/>
              </w:rPr>
              <w:t>Stockholders’</w:t>
            </w:r>
          </w:p>
        </w:tc>
      </w:tr>
      <w:tr>
        <w:trPr>
          <w:trHeight w:val="237"/>
        </w:trPr>
        <w:tc>
          <w:tcPr>
            <w:tcW w:w="3440" w:type="dxa"/>
            <w:vAlign w:val="bottom"/>
          </w:tcPr>
          <w:p>
            <w:pPr>
              <w:spacing w:after="0"/>
              <w:rPr>
                <w:sz w:val="20"/>
                <w:szCs w:val="20"/>
                <w:color w:val="auto"/>
              </w:rPr>
            </w:pPr>
          </w:p>
        </w:tc>
        <w:tc>
          <w:tcPr>
            <w:tcW w:w="1140" w:type="dxa"/>
            <w:vAlign w:val="bottom"/>
            <w:tcBorders>
              <w:top w:val="single" w:sz="8" w:color="auto"/>
            </w:tcBorders>
            <w:gridSpan w:val="2"/>
          </w:tcPr>
          <w:p>
            <w:pPr>
              <w:jc w:val="right"/>
              <w:ind w:right="420"/>
              <w:spacing w:after="0"/>
              <w:rPr>
                <w:sz w:val="20"/>
                <w:szCs w:val="20"/>
                <w:color w:val="auto"/>
              </w:rPr>
            </w:pPr>
            <w:r>
              <w:rPr>
                <w:rFonts w:ascii="Arial" w:cs="Arial" w:eastAsia="Arial" w:hAnsi="Arial"/>
                <w:sz w:val="18"/>
                <w:szCs w:val="18"/>
                <w:b w:val="1"/>
                <w:bCs w:val="1"/>
                <w:color w:val="auto"/>
              </w:rPr>
              <w:t>Shares</w:t>
            </w:r>
          </w:p>
        </w:tc>
        <w:tc>
          <w:tcPr>
            <w:tcW w:w="7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7"/>
              </w:rPr>
              <w:t>Amount</w:t>
            </w:r>
          </w:p>
        </w:tc>
        <w:tc>
          <w:tcPr>
            <w:tcW w:w="200" w:type="dxa"/>
            <w:vAlign w:val="bottom"/>
          </w:tcPr>
          <w:p>
            <w:pPr>
              <w:spacing w:after="0"/>
              <w:rPr>
                <w:sz w:val="20"/>
                <w:szCs w:val="20"/>
                <w:color w:val="auto"/>
              </w:rPr>
            </w:pPr>
          </w:p>
        </w:tc>
        <w:tc>
          <w:tcPr>
            <w:tcW w:w="1040" w:type="dxa"/>
            <w:vAlign w:val="bottom"/>
            <w:tcBorders>
              <w:top w:val="single" w:sz="8" w:color="auto"/>
            </w:tcBorders>
            <w:gridSpan w:val="2"/>
          </w:tcPr>
          <w:p>
            <w:pPr>
              <w:jc w:val="right"/>
              <w:ind w:right="320"/>
              <w:spacing w:after="0"/>
              <w:rPr>
                <w:sz w:val="20"/>
                <w:szCs w:val="20"/>
                <w:color w:val="auto"/>
              </w:rPr>
            </w:pPr>
            <w:r>
              <w:rPr>
                <w:rFonts w:ascii="Arial" w:cs="Arial" w:eastAsia="Arial" w:hAnsi="Arial"/>
                <w:sz w:val="18"/>
                <w:szCs w:val="18"/>
                <w:b w:val="1"/>
                <w:bCs w:val="1"/>
                <w:color w:val="auto"/>
              </w:rPr>
              <w:t>Shares</w:t>
            </w:r>
          </w:p>
        </w:tc>
        <w:tc>
          <w:tcPr>
            <w:tcW w:w="10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7"/>
              </w:rPr>
              <w:t>Amount</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Capital</w:t>
            </w:r>
          </w:p>
        </w:tc>
        <w:tc>
          <w:tcPr>
            <w:tcW w:w="80" w:type="dxa"/>
            <w:vAlign w:val="bottom"/>
          </w:tcPr>
          <w:p>
            <w:pPr>
              <w:spacing w:after="0"/>
              <w:rPr>
                <w:sz w:val="20"/>
                <w:szCs w:val="20"/>
                <w:color w:val="auto"/>
              </w:rPr>
            </w:pPr>
          </w:p>
        </w:tc>
        <w:tc>
          <w:tcPr>
            <w:tcW w:w="122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Deficit</w:t>
            </w:r>
          </w:p>
        </w:tc>
        <w:tc>
          <w:tcPr>
            <w:tcW w:w="140" w:type="dxa"/>
            <w:vAlign w:val="bottom"/>
          </w:tcPr>
          <w:p>
            <w:pPr>
              <w:spacing w:after="0"/>
              <w:rPr>
                <w:sz w:val="20"/>
                <w:szCs w:val="20"/>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Equity</w:t>
            </w:r>
          </w:p>
        </w:tc>
      </w:tr>
      <w:tr>
        <w:trPr>
          <w:trHeight w:val="216"/>
        </w:trPr>
        <w:tc>
          <w:tcPr>
            <w:tcW w:w="3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 January 1, 2021</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8,953,013</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b w:val="1"/>
                <w:bCs w:val="1"/>
                <w:color w:val="auto"/>
                <w:w w:val="71"/>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895</w:t>
            </w:r>
          </w:p>
        </w:tc>
        <w:tc>
          <w:tcPr>
            <w:tcW w:w="2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11,068,750</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1,107</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44,905,602</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3"/>
              </w:rPr>
              <w:t>$ (39,907,599)</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5,000,005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34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Change in value of Common stock subject to</w:t>
            </w: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34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possible redemption</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5,847,192</w:t>
            </w:r>
          </w:p>
        </w:tc>
        <w:tc>
          <w:tcPr>
            <w:tcW w:w="20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585</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9"/>
              </w:rPr>
              <w:t>58,471,335</w:t>
            </w:r>
          </w:p>
        </w:tc>
        <w:tc>
          <w:tcPr>
            <w:tcW w:w="8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58,471,920</w:t>
            </w:r>
          </w:p>
        </w:tc>
      </w:tr>
      <w:tr>
        <w:trPr>
          <w:trHeight w:val="216"/>
        </w:trPr>
        <w:tc>
          <w:tcPr>
            <w:tcW w:w="3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3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(58,471,923)</w:t>
            </w:r>
          </w:p>
        </w:tc>
        <w:tc>
          <w:tcPr>
            <w:tcW w:w="14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(58,471,923)</w:t>
            </w:r>
          </w:p>
        </w:tc>
      </w:tr>
      <w:tr>
        <w:trPr>
          <w:trHeight w:val="216"/>
        </w:trPr>
        <w:tc>
          <w:tcPr>
            <w:tcW w:w="3440" w:type="dxa"/>
            <w:vAlign w:val="bottom"/>
            <w:tcBorders>
              <w:top w:val="single" w:sz="8" w:color="CCEEFF"/>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3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 March 31, 2021</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w w:val="99"/>
              </w:rPr>
              <w:t>14,800,205</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b w:val="1"/>
                <w:bCs w:val="1"/>
                <w:color w:val="auto"/>
                <w:w w:val="71"/>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1,480</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w w:val="99"/>
              </w:rPr>
              <w:t>11,068,750</w:t>
            </w:r>
          </w:p>
        </w:tc>
        <w:tc>
          <w:tcPr>
            <w:tcW w:w="3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1,107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w w:val="89"/>
              </w:rPr>
              <w:t>103,376,937</w:t>
            </w:r>
          </w:p>
        </w:tc>
        <w:tc>
          <w:tcPr>
            <w:tcW w:w="13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b w:val="1"/>
                <w:bCs w:val="1"/>
                <w:color w:val="auto"/>
                <w:w w:val="95"/>
              </w:rPr>
              <w:t>$ (98,379,522)</w:t>
            </w:r>
          </w:p>
        </w:tc>
        <w:tc>
          <w:tcPr>
            <w:tcW w:w="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5,000,002</w:t>
            </w:r>
          </w:p>
        </w:tc>
      </w:tr>
      <w:tr>
        <w:trPr>
          <w:trHeight w:val="216"/>
        </w:trPr>
        <w:tc>
          <w:tcPr>
            <w:tcW w:w="3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34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Change in value of Common stock subject to</w:t>
            </w: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34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possible redemption</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(1,300,988)</w:t>
            </w:r>
          </w:p>
        </w:tc>
        <w:tc>
          <w:tcPr>
            <w:tcW w:w="20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(131)</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4"/>
              </w:rPr>
              <w:t>(13,009,749)</w:t>
            </w:r>
          </w:p>
        </w:tc>
        <w:tc>
          <w:tcPr>
            <w:tcW w:w="8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(13,009,880)</w:t>
            </w:r>
          </w:p>
        </w:tc>
      </w:tr>
      <w:tr>
        <w:trPr>
          <w:trHeight w:val="216"/>
        </w:trPr>
        <w:tc>
          <w:tcPr>
            <w:tcW w:w="3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3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13,009,880</w:t>
            </w:r>
          </w:p>
        </w:tc>
        <w:tc>
          <w:tcPr>
            <w:tcW w:w="14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13,009,880</w:t>
            </w:r>
          </w:p>
        </w:tc>
      </w:tr>
      <w:tr>
        <w:trPr>
          <w:trHeight w:val="216"/>
        </w:trPr>
        <w:tc>
          <w:tcPr>
            <w:tcW w:w="3440" w:type="dxa"/>
            <w:vAlign w:val="bottom"/>
            <w:tcBorders>
              <w:top w:val="single" w:sz="8" w:color="CCEEFF"/>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63"/>
        </w:trPr>
        <w:tc>
          <w:tcPr>
            <w:tcW w:w="3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 June 30, 2021</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w w:val="99"/>
              </w:rPr>
              <w:t>13,499,217</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b w:val="1"/>
                <w:bCs w:val="1"/>
                <w:color w:val="auto"/>
                <w:w w:val="71"/>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1,349</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w w:val="99"/>
              </w:rPr>
              <w:t>11,068,750</w:t>
            </w:r>
          </w:p>
        </w:tc>
        <w:tc>
          <w:tcPr>
            <w:tcW w:w="3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1,107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w w:val="99"/>
              </w:rPr>
              <w:t>90,367,188</w:t>
            </w:r>
          </w:p>
        </w:tc>
        <w:tc>
          <w:tcPr>
            <w:tcW w:w="1300" w:type="dxa"/>
            <w:vAlign w:val="bottom"/>
            <w:gridSpan w:val="3"/>
            <w:shd w:val="clear" w:color="auto" w:fill="CCEEFF"/>
          </w:tcPr>
          <w:p>
            <w:pPr>
              <w:jc w:val="right"/>
              <w:ind w:right="160"/>
              <w:spacing w:after="0" w:line="256" w:lineRule="exact"/>
              <w:rPr>
                <w:sz w:val="20"/>
                <w:szCs w:val="20"/>
                <w:color w:val="auto"/>
              </w:rPr>
            </w:pPr>
            <w:r>
              <w:rPr>
                <w:rFonts w:ascii="Arial" w:cs="Arial" w:eastAsia="Arial" w:hAnsi="Arial"/>
                <w:sz w:val="16"/>
                <w:szCs w:val="16"/>
                <w:b w:val="1"/>
                <w:bCs w:val="1"/>
                <w:color w:val="auto"/>
              </w:rPr>
              <w:t>$ (85,369,642</w:t>
            </w:r>
            <w:r>
              <w:rPr>
                <w:rFonts w:ascii="Arial" w:cs="Arial" w:eastAsia="Arial" w:hAnsi="Arial"/>
                <w:sz w:val="29"/>
                <w:szCs w:val="29"/>
                <w:b w:val="1"/>
                <w:bCs w:val="1"/>
                <w:color w:val="auto"/>
                <w:vertAlign w:val="superscript"/>
              </w:rPr>
              <w:t>)</w:t>
            </w:r>
          </w:p>
        </w:tc>
        <w:tc>
          <w:tcPr>
            <w:tcW w:w="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5,000,002</w:t>
            </w:r>
          </w:p>
        </w:tc>
      </w:tr>
      <w:tr>
        <w:trPr>
          <w:trHeight w:val="20"/>
        </w:trPr>
        <w:tc>
          <w:tcPr>
            <w:tcW w:w="34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unaudited condensed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5" w:name="page6"/>
    <w:bookmarkEnd w:id="5"/>
    <w:p>
      <w:pPr>
        <w:jc w:val="center"/>
        <w:ind w:left="1960"/>
        <w:spacing w:after="0"/>
        <w:rPr>
          <w:sz w:val="20"/>
          <w:szCs w:val="20"/>
          <w:color w:val="auto"/>
        </w:rPr>
      </w:pPr>
      <w:r>
        <w:rPr>
          <w:rFonts w:ascii="Arial" w:cs="Arial" w:eastAsia="Arial" w:hAnsi="Arial"/>
          <w:sz w:val="18"/>
          <w:szCs w:val="18"/>
          <w:b w:val="1"/>
          <w:bCs w:val="1"/>
          <w:color w:val="auto"/>
        </w:rPr>
        <w:t>CM LIFE SCIENCES, INC.</w:t>
      </w:r>
    </w:p>
    <w:p>
      <w:pPr>
        <w:spacing w:after="0" w:line="27" w:lineRule="exact"/>
        <w:rPr>
          <w:sz w:val="20"/>
          <w:szCs w:val="20"/>
          <w:color w:val="auto"/>
        </w:rPr>
      </w:pPr>
    </w:p>
    <w:p>
      <w:pPr>
        <w:jc w:val="center"/>
        <w:ind w:left="1960"/>
        <w:spacing w:after="0"/>
        <w:rPr>
          <w:sz w:val="20"/>
          <w:szCs w:val="20"/>
          <w:color w:val="auto"/>
        </w:rPr>
      </w:pPr>
      <w:r>
        <w:rPr>
          <w:rFonts w:ascii="Arial" w:cs="Arial" w:eastAsia="Arial" w:hAnsi="Arial"/>
          <w:sz w:val="17"/>
          <w:szCs w:val="17"/>
          <w:b w:val="1"/>
          <w:bCs w:val="1"/>
          <w:color w:val="auto"/>
        </w:rPr>
        <w:t>CONDENSED STATEMENT OF CASH FLOWS</w:t>
      </w:r>
    </w:p>
    <w:p>
      <w:pPr>
        <w:spacing w:after="0" w:line="21" w:lineRule="exact"/>
        <w:rPr>
          <w:sz w:val="20"/>
          <w:szCs w:val="20"/>
          <w:color w:val="auto"/>
        </w:rPr>
      </w:pPr>
    </w:p>
    <w:p>
      <w:pPr>
        <w:jc w:val="center"/>
        <w:ind w:left="1960"/>
        <w:spacing w:after="0"/>
        <w:rPr>
          <w:sz w:val="20"/>
          <w:szCs w:val="20"/>
          <w:color w:val="auto"/>
        </w:rPr>
      </w:pPr>
      <w:r>
        <w:rPr>
          <w:rFonts w:ascii="Arial" w:cs="Arial" w:eastAsia="Arial" w:hAnsi="Arial"/>
          <w:sz w:val="18"/>
          <w:szCs w:val="18"/>
          <w:b w:val="1"/>
          <w:bCs w:val="1"/>
          <w:color w:val="auto"/>
        </w:rPr>
        <w:t>SIX MONTHS ENDED JUNE 30, 2021</w:t>
      </w:r>
    </w:p>
    <w:p>
      <w:pPr>
        <w:spacing w:after="0" w:line="9" w:lineRule="exact"/>
        <w:rPr>
          <w:sz w:val="20"/>
          <w:szCs w:val="20"/>
          <w:color w:val="auto"/>
        </w:rPr>
      </w:pPr>
    </w:p>
    <w:p>
      <w:pPr>
        <w:jc w:val="center"/>
        <w:ind w:left="1960"/>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from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371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Net Loss</w:t>
      </w:r>
    </w:p>
    <w:p>
      <w:pPr>
        <w:spacing w:after="0" w:line="9" w:lineRule="exact"/>
        <w:rPr>
          <w:sz w:val="20"/>
          <w:szCs w:val="20"/>
          <w:color w:val="auto"/>
        </w:rPr>
      </w:pPr>
    </w:p>
    <w:p>
      <w:pPr>
        <w:ind w:left="160"/>
        <w:spacing w:after="0"/>
        <w:rPr>
          <w:sz w:val="20"/>
          <w:szCs w:val="20"/>
          <w:color w:val="auto"/>
        </w:rPr>
      </w:pPr>
      <w:r>
        <w:rPr>
          <w:rFonts w:ascii="Arial" w:cs="Arial" w:eastAsia="Arial" w:hAnsi="Arial"/>
          <w:sz w:val="18"/>
          <w:szCs w:val="18"/>
          <w:color w:val="auto"/>
        </w:rPr>
        <w:t>Adjustments to reconcile net loss to net cash used in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160"/>
        <w:spacing w:after="0"/>
        <w:rPr>
          <w:sz w:val="20"/>
          <w:szCs w:val="20"/>
          <w:color w:val="auto"/>
        </w:rPr>
      </w:pPr>
      <w:r>
        <w:rPr>
          <w:rFonts w:ascii="Arial" w:cs="Arial" w:eastAsia="Arial" w:hAnsi="Arial"/>
          <w:sz w:val="18"/>
          <w:szCs w:val="18"/>
          <w:color w:val="auto"/>
        </w:rPr>
        <w:t>Change in fair value of warrant liability</w:t>
      </w:r>
    </w:p>
    <w:p>
      <w:pPr>
        <w:spacing w:after="0" w:line="9" w:lineRule="exact"/>
        <w:rPr>
          <w:sz w:val="20"/>
          <w:szCs w:val="20"/>
          <w:color w:val="auto"/>
        </w:rPr>
      </w:pPr>
    </w:p>
    <w:p>
      <w:pPr>
        <w:ind w:left="160"/>
        <w:spacing w:after="0"/>
        <w:rPr>
          <w:sz w:val="20"/>
          <w:szCs w:val="20"/>
          <w:color w:val="auto"/>
        </w:rPr>
      </w:pPr>
      <w:r>
        <w:rPr>
          <w:rFonts w:ascii="Arial" w:cs="Arial" w:eastAsia="Arial" w:hAnsi="Arial"/>
          <w:sz w:val="18"/>
          <w:szCs w:val="18"/>
          <w:color w:val="auto"/>
        </w:rPr>
        <w:t>Interest earned on marketable securities held in trust account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160"/>
        <w:spacing w:after="0"/>
        <w:rPr>
          <w:sz w:val="20"/>
          <w:szCs w:val="20"/>
          <w:color w:val="auto"/>
        </w:rPr>
      </w:pPr>
      <w:r>
        <w:rPr>
          <w:rFonts w:ascii="Arial" w:cs="Arial" w:eastAsia="Arial" w:hAnsi="Arial"/>
          <w:sz w:val="18"/>
          <w:szCs w:val="18"/>
          <w:color w:val="auto"/>
        </w:rPr>
        <w:t>Changes in operating assets and liabilities:</w:t>
      </w:r>
    </w:p>
    <w:p>
      <w:pPr>
        <w:spacing w:after="0" w:line="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Prepaid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631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ind w:left="300"/>
        <w:spacing w:after="0"/>
        <w:rPr>
          <w:sz w:val="20"/>
          <w:szCs w:val="20"/>
          <w:color w:val="auto"/>
        </w:rPr>
      </w:pPr>
      <w:r>
        <w:rPr>
          <w:rFonts w:ascii="Arial" w:cs="Arial" w:eastAsia="Arial" w:hAnsi="Arial"/>
          <w:sz w:val="18"/>
          <w:szCs w:val="18"/>
          <w:color w:val="auto"/>
        </w:rPr>
        <w:t>Accounts payable and accrued expenses</w:t>
      </w:r>
    </w:p>
    <w:p>
      <w:pPr>
        <w:spacing w:after="0" w:line="18"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Net cash used in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543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Change in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631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Cash – Beginning of period</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 End of period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tabs>
          <w:tab w:leader="none" w:pos="2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(45,462,043)</w:t>
      </w:r>
    </w:p>
    <w:p>
      <w:pPr>
        <w:spacing w:after="0" w:line="225"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42,360,882</w:t>
      </w:r>
    </w:p>
    <w:p>
      <w:pPr>
        <w:spacing w:after="0" w:line="23"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(21,959)</w:t>
      </w:r>
    </w:p>
    <w:p>
      <w:pPr>
        <w:spacing w:after="0" w:line="211" w:lineRule="exact"/>
        <w:rPr>
          <w:sz w:val="20"/>
          <w:szCs w:val="20"/>
          <w:color w:val="auto"/>
        </w:rPr>
      </w:pPr>
    </w:p>
    <w:p>
      <w:pPr>
        <w:ind w:left="620"/>
        <w:spacing w:after="0"/>
        <w:rPr>
          <w:sz w:val="20"/>
          <w:szCs w:val="20"/>
          <w:color w:val="auto"/>
        </w:rPr>
      </w:pPr>
      <w:r>
        <w:rPr>
          <w:rFonts w:ascii="Arial" w:cs="Arial" w:eastAsia="Arial" w:hAnsi="Arial"/>
          <w:sz w:val="18"/>
          <w:szCs w:val="18"/>
          <w:color w:val="auto"/>
        </w:rPr>
        <w:t>48,523</w:t>
      </w:r>
    </w:p>
    <w:p>
      <w:pPr>
        <w:spacing w:after="0" w:line="23" w:lineRule="exact"/>
        <w:rPr>
          <w:sz w:val="20"/>
          <w:szCs w:val="20"/>
          <w:color w:val="auto"/>
        </w:rPr>
      </w:pPr>
    </w:p>
    <w:p>
      <w:pPr>
        <w:ind w:left="400"/>
        <w:spacing w:after="0"/>
        <w:rPr>
          <w:sz w:val="20"/>
          <w:szCs w:val="20"/>
          <w:color w:val="auto"/>
        </w:rPr>
      </w:pPr>
      <w:r>
        <w:rPr>
          <w:rFonts w:ascii="Arial" w:cs="Arial" w:eastAsia="Arial" w:hAnsi="Arial"/>
          <w:sz w:val="17"/>
          <w:szCs w:val="17"/>
          <w:color w:val="auto"/>
        </w:rPr>
        <w:t>2,147,875</w:t>
      </w:r>
    </w:p>
    <w:p>
      <w:pPr>
        <w:spacing w:after="0" w:line="34" w:lineRule="exact"/>
        <w:rPr>
          <w:sz w:val="20"/>
          <w:szCs w:val="20"/>
          <w:color w:val="auto"/>
        </w:rPr>
      </w:pPr>
    </w:p>
    <w:p>
      <w:pPr>
        <w:jc w:val="right"/>
        <w:ind w:right="40"/>
        <w:spacing w:after="0"/>
        <w:rPr>
          <w:sz w:val="20"/>
          <w:szCs w:val="20"/>
          <w:color w:val="auto"/>
        </w:rPr>
      </w:pPr>
      <w:r>
        <w:rPr>
          <w:rFonts w:ascii="Arial" w:cs="Arial" w:eastAsia="Arial" w:hAnsi="Arial"/>
          <w:sz w:val="18"/>
          <w:szCs w:val="18"/>
          <w:b w:val="1"/>
          <w:bCs w:val="1"/>
          <w:color w:val="auto"/>
        </w:rPr>
        <w:t>(926,722)</w:t>
      </w:r>
    </w:p>
    <w:p>
      <w:pPr>
        <w:spacing w:after="0" w:line="261" w:lineRule="exact"/>
        <w:rPr>
          <w:sz w:val="20"/>
          <w:szCs w:val="20"/>
          <w:color w:val="auto"/>
        </w:rPr>
      </w:pPr>
    </w:p>
    <w:p>
      <w:pPr>
        <w:jc w:val="right"/>
        <w:ind w:right="40"/>
        <w:spacing w:after="0"/>
        <w:rPr>
          <w:sz w:val="20"/>
          <w:szCs w:val="20"/>
          <w:color w:val="auto"/>
        </w:rPr>
      </w:pPr>
      <w:r>
        <w:rPr>
          <w:rFonts w:ascii="Arial" w:cs="Arial" w:eastAsia="Arial" w:hAnsi="Arial"/>
          <w:sz w:val="18"/>
          <w:szCs w:val="18"/>
          <w:b w:val="1"/>
          <w:bCs w:val="1"/>
          <w:color w:val="auto"/>
        </w:rPr>
        <w:t>(926,722)</w:t>
      </w:r>
    </w:p>
    <w:p>
      <w:pPr>
        <w:spacing w:after="0" w:line="27" w:lineRule="exact"/>
        <w:rPr>
          <w:sz w:val="20"/>
          <w:szCs w:val="20"/>
          <w:color w:val="auto"/>
        </w:rPr>
      </w:pPr>
    </w:p>
    <w:p>
      <w:pPr>
        <w:ind w:left="400"/>
        <w:spacing w:after="0"/>
        <w:rPr>
          <w:sz w:val="20"/>
          <w:szCs w:val="20"/>
          <w:color w:val="auto"/>
        </w:rPr>
      </w:pPr>
      <w:r>
        <w:rPr>
          <w:rFonts w:ascii="Arial" w:cs="Arial" w:eastAsia="Arial" w:hAnsi="Arial"/>
          <w:sz w:val="17"/>
          <w:szCs w:val="17"/>
          <w:color w:val="auto"/>
        </w:rPr>
        <w:t>1,094,681</w:t>
      </w:r>
    </w:p>
    <w:p>
      <w:pPr>
        <w:spacing w:after="0" w:line="70" w:lineRule="exact"/>
        <w:rPr>
          <w:sz w:val="20"/>
          <w:szCs w:val="20"/>
          <w:color w:val="auto"/>
        </w:rPr>
      </w:pPr>
    </w:p>
    <w:p>
      <w:pPr>
        <w:ind w:left="520" w:hanging="515"/>
        <w:spacing w:after="0"/>
        <w:tabs>
          <w:tab w:leader="none" w:pos="52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167,959</w:t>
      </w:r>
    </w:p>
    <w:p>
      <w:pPr>
        <w:spacing w:after="0" w:line="27" w:lineRule="exact"/>
        <w:rPr>
          <w:sz w:val="20"/>
          <w:szCs w:val="20"/>
          <w:color w:val="auto"/>
        </w:rPr>
      </w:pPr>
    </w:p>
    <w:p>
      <w:pPr>
        <w:sectPr>
          <w:pgSz w:w="11900" w:h="16838" w:orient="portrait"/>
          <w:cols w:equalWidth="0" w:num="2">
            <w:col w:w="9300" w:space="720"/>
            <w:col w:w="1220"/>
          </w:cols>
          <w:pgMar w:left="320" w:top="877" w:right="339" w:bottom="1440" w:gutter="0" w:footer="0" w:header="0"/>
        </w:sectPr>
      </w:pPr>
    </w:p>
    <w:tbl>
      <w:tblPr>
        <w:tblLayout w:type="fixed"/>
        <w:tblInd w:w="0" w:type="dxa"/>
        <w:tblCellMar>
          <w:top w:w="0" w:type="dxa"/>
          <w:left w:w="0" w:type="dxa"/>
          <w:bottom w:w="0" w:type="dxa"/>
          <w:right w:w="0" w:type="dxa"/>
        </w:tblCellMar>
      </w:tblPr>
      <w:tr>
        <w:trPr>
          <w:trHeight w:val="263"/>
        </w:trPr>
        <w:tc>
          <w:tcPr>
            <w:tcW w:w="100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spacing w:after="0"/>
              <w:rPr>
                <w:sz w:val="22"/>
                <w:szCs w:val="22"/>
                <w:color w:val="auto"/>
              </w:rPr>
            </w:pPr>
          </w:p>
        </w:tc>
        <w:tc>
          <w:tcPr>
            <w:tcW w:w="960" w:type="dxa"/>
            <w:vAlign w:val="bottom"/>
            <w:tcBorders>
              <w:top w:val="single" w:sz="8" w:color="auto"/>
            </w:tcBorders>
            <w:shd w:val="clear" w:color="auto" w:fill="CCEEFF"/>
          </w:tcPr>
          <w:p>
            <w:pPr>
              <w:spacing w:after="0"/>
              <w:rPr>
                <w:sz w:val="22"/>
                <w:szCs w:val="22"/>
                <w:color w:val="auto"/>
              </w:rPr>
            </w:pPr>
          </w:p>
        </w:tc>
        <w:tc>
          <w:tcPr>
            <w:tcW w:w="20" w:type="dxa"/>
            <w:vAlign w:val="bottom"/>
            <w:tcBorders>
              <w:top w:val="single" w:sz="8" w:color="CCEEFF"/>
            </w:tcBorders>
            <w:shd w:val="clear" w:color="auto" w:fill="CCEEFF"/>
          </w:tcPr>
          <w:p>
            <w:pPr>
              <w:spacing w:after="0"/>
              <w:rPr>
                <w:sz w:val="22"/>
                <w:szCs w:val="22"/>
                <w:color w:val="auto"/>
              </w:rPr>
            </w:pPr>
          </w:p>
        </w:tc>
        <w:tc>
          <w:tcPr>
            <w:tcW w:w="80" w:type="dxa"/>
            <w:vAlign w:val="bottom"/>
            <w:tcBorders>
              <w:top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10020" w:type="dxa"/>
            <w:vAlign w:val="bottom"/>
          </w:tcPr>
          <w:p>
            <w:pPr>
              <w:spacing w:after="0"/>
              <w:rPr>
                <w:sz w:val="20"/>
                <w:szCs w:val="20"/>
                <w:color w:val="auto"/>
              </w:rPr>
            </w:pPr>
            <w:r>
              <w:rPr>
                <w:rFonts w:ascii="Arial" w:cs="Arial" w:eastAsia="Arial" w:hAnsi="Arial"/>
                <w:sz w:val="18"/>
                <w:szCs w:val="18"/>
                <w:b w:val="1"/>
                <w:bCs w:val="1"/>
                <w:color w:val="auto"/>
              </w:rPr>
              <w:t>Non-Cash financing activities:</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Change in value of Class A common stock subject to possible redemption</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3"/>
            <w:shd w:val="clear" w:color="auto" w:fill="CCEEFF"/>
          </w:tcPr>
          <w:p>
            <w:pPr>
              <w:jc w:val="right"/>
              <w:ind w:right="40"/>
              <w:spacing w:after="0" w:line="256" w:lineRule="exact"/>
              <w:rPr>
                <w:sz w:val="20"/>
                <w:szCs w:val="20"/>
                <w:color w:val="auto"/>
              </w:rPr>
            </w:pPr>
            <w:r>
              <w:rPr>
                <w:rFonts w:ascii="Arial" w:cs="Arial" w:eastAsia="Arial" w:hAnsi="Arial"/>
                <w:sz w:val="16"/>
                <w:szCs w:val="16"/>
                <w:color w:val="auto"/>
              </w:rPr>
              <w:t>(45,462,040</w:t>
            </w:r>
            <w:r>
              <w:rPr>
                <w:rFonts w:ascii="Arial" w:cs="Arial" w:eastAsia="Arial" w:hAnsi="Arial"/>
                <w:sz w:val="29"/>
                <w:szCs w:val="29"/>
                <w:color w:val="auto"/>
                <w:vertAlign w:val="superscript"/>
              </w:rPr>
              <w:t>)</w:t>
            </w:r>
          </w:p>
        </w:tc>
        <w:tc>
          <w:tcPr>
            <w:tcW w:w="0" w:type="dxa"/>
            <w:vAlign w:val="bottom"/>
          </w:tcPr>
          <w:p>
            <w:pPr>
              <w:spacing w:after="0"/>
              <w:rPr>
                <w:sz w:val="1"/>
                <w:szCs w:val="1"/>
                <w:color w:val="auto"/>
              </w:rPr>
            </w:pPr>
          </w:p>
        </w:tc>
      </w:tr>
      <w:tr>
        <w:trPr>
          <w:trHeight w:val="21"/>
        </w:trPr>
        <w:tc>
          <w:tcPr>
            <w:tcW w:w="100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Initial classification of warrant liability</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10020" w:type="dxa"/>
            <w:vAlign w:val="bottom"/>
            <w:vMerge w:val="continue"/>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70,322,418</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00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unaudited condensed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type w:val="continuous"/>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CM LIFE SCIENCES,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DESCRIPTION OF ORGANIZATION AND BUSINESS OPERATIONS</w:t>
      </w:r>
    </w:p>
    <w:p>
      <w:pPr>
        <w:spacing w:after="0" w:line="22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CM Life Sciences, Inc. (the “Company”) was incorporated in Delaware on July 10, 2020. The Company was formed for the purpose of effecting a merger, capital stock exchange, asset acquisition, stock purchase, reorganization or similar business combination with one or more businesses (the “Business Combination”). The Company is not limited to a particular industry or sector for purposes of consummating a Business Combination. The Company is an early stage and emerging growth company and, as such, the Company is subject to all of the risks associated with early stage and emerging growth companies.</w:t>
      </w:r>
    </w:p>
    <w:p>
      <w:pPr>
        <w:spacing w:after="0" w:line="18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As of June 30, 2021, the Company had not commenced any operations. All activity for the period from July 10, 2020 (inception) through June 30, 2021 relates to the Company’s formation, the initial public offering (“Initial Public Offering”), which is described below, and, subsequent to the Initial Public Offering, identifying a target company for a Business Combination. The Company will not generate any operating revenues until after the completion of its initial Business Combination, at the earliest. The Company will generate non-operating income in the form of interest income from the proceeds derived from the Initial Public Offering.</w:t>
      </w:r>
    </w:p>
    <w:p>
      <w:pPr>
        <w:spacing w:after="0" w:line="18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registration statement for the Company’s Initial Public Offering was declared effective on September 1, 2020. On September 4, 2020 the Company consummated the Initial Public Offering of 44,275,000 units (the “Units” and, with respect to the Class A common stock included in the Units sold, the “Public Shares”), which includes the full exercise by the underwriter of its over-allotment option in the amount of 5,775,000 Units, at $10.00 per Unit, generating gross proceeds of $442,750,000 which is described in Note 3.</w:t>
      </w:r>
    </w:p>
    <w:p>
      <w:pPr>
        <w:spacing w:after="0" w:line="18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Simultaneously with the closing of the Initial Public Offering, the Company consummated the sale of 7,236,667 warrants (the “Private Placement Warrants”) at a price of $1.50 per Private Placement Warrant in a private placement to CMLS Holdings LLC (the “Sponsor”) and certain of the Company’s independent directors, generating gross proceeds of $10,855,000, which is described in Note 4.</w:t>
      </w:r>
    </w:p>
    <w:p>
      <w:pPr>
        <w:spacing w:after="0" w:line="184"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Transaction costs amounted to $24,895,463, consisting of $8,855,000 in cash underwriting fees, $15,496,250 of deferred underwriting fees and $544,213 of other offering costs.</w:t>
      </w:r>
    </w:p>
    <w:p>
      <w:pPr>
        <w:spacing w:after="0" w:line="170"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Following the closing of the Initial Public Offering on September 4, 2020, an amount of $442,750,000 ($10.00 per Unit) from the net proceeds of the sale of the Units in the Initial Public Offering and the sale of the Private Placement Warrants was placed in a trust account (the “Trust Account”) located in the United States and will be invested only in U.S. government securities, within the meaning set forth in Section 2(a)(16) of the Investment Company Act of 1940, as amended (the “Investment Company Act”), with a maturity of 185 days or less or in any open-ended investment company that holds itself out as a money market fund selected by the Company meeting certain conditions of Rule 2a-7 of the Investment Company Act, as determined by the Company, until the earlier of: (i) the completion of a Business Combination and (ii) the distribution of the funds held in the Trust Account, as described below.</w:t>
      </w:r>
    </w:p>
    <w:p>
      <w:pPr>
        <w:spacing w:after="0" w:line="164"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Company’s management has broad discretion with respect to the specific application of the net proceeds of the Initial Public Offering and the sale of Private Placement Warrants, although substantially all of the net proceeds are intended to be applied generally toward consummating a Business Combination. There is no assurance that the Company will be able to complete a Business Combination successfully. The Company must complete one or more initial Business Combinations with one or more operating businesses or assets with a fair market value equal to at least 80% of the net assets held in the Trust Account (excluding the deferred underwriting commissions and taxes payable on the interest earned on the Trust Account). The Company will only complete a Business Combination if the post-transaction company owns or acquires 50% or more of the outstanding voting securities of the target or otherwise acquires a controlling interest in the target business sufficient for it not to be required to register as an investment company under the Investment Company Act.</w:t>
      </w:r>
    </w:p>
    <w:p>
      <w:pPr>
        <w:spacing w:after="0" w:line="192"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The Company will provide the holders of the outstanding Public Shares (the “Public Stockholders”) with the opportunity to redeem all or a portion of their Public Shares upon the completion of a Business Combination either (i) in connection with a stockholder meeting called to approve the Business Combination or (ii) by means of a tender offer. The decision as to whether the Company will seek stockholder approval of a Business Combination or conduct a tender offer will be made by the Company. The Public Stockholders will be entitled to redeem their Public Shares for a pro rata portion of the amount then in the Trust Account (initially $10.00 per Public Share, plus any pro rata interest then in the Trust Account, net of taxes payable). There will be no redemption rights upon the completion of a Business Combination with respect to the Company’s warrants.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CM LIFE SCIENCES,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The Company will only proceed with a Business Combination if the Company has net tangible assets of at least $5,000,001 following any related redemptions and, if the Company seeks stockholder approval, a majority of the shares voted are voted in favor of the Business Combination. If a stockholder vote is not required by applicable law or stock exchange listing requirements and the Company does not decide to hold a stockholder vote for business or other reasons, the Company will, pursuant to its Second Amended and Restated Certificate of Incorporation (the “Certificate of Incorporation”), conduct the redemptions pursuant to the tender offer rules of the U.S. Securities and Exchange Commission (“SEC”) and file tender offer documents with the SEC prior to completing a Business Combination. If, however, stockholder approval of the transaction is required by applicable law or stock exchange listing requirements, or the Company decides to obtain stockholder approval for business or other reasons, the Company will offer to redeem shares in conjunction with a proxy solicitation pursuant to the proxy rules and not pursuant to the tender offer rules. If the Company seeks stockholder approval in connection with a Business Combination, the Company’s Sponsor and any other holders of the Company’s common stock prior to the Initial Public Offering (the “initial stockholders”) have agreed to vote their Founder Shares (as defined in Note 5) and any Public Shares purchased during or after the Initial Public Offering in favor of approving a Business Combination. Additionally, each Public Stockholder may elect to redeem their Public Shares without voting, and if they do vote, irrespective of whether they vote for or against the proposed transaction.</w:t>
      </w:r>
    </w:p>
    <w:p>
      <w:pPr>
        <w:spacing w:after="0" w:line="16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Notwithstanding the foregoing, if the Company seeks stockholder approval of a Business Combination and it does not conduct redemptions pursuant to the tender offer rules, the Certificate of Incorporation provides that a Public Stockholder, together with any affiliate of such stockholder or any other person with whom such stockholder is acting in concert or as a “group” (as defined under Section 13 of the Securities Exchange Act of 1934, as amended (the “Exchange Act”)), will be restricted from redeeming its shares with respect to more than an aggregate of 20% of the Public Shares, without the prior consent of the Company.</w:t>
      </w:r>
    </w:p>
    <w:p>
      <w:pPr>
        <w:spacing w:after="0" w:line="188"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The Sponsor has agreed (a) to waive its redemption rights with respect to the Founder Shares and Public Shares held by it in connection with the completion of a Business Combination and (b) not to propose an amendment to the Certificate of Incorporation (i) to modify the substance or timing of the Company’s obligation to redeem 100% of its Public Shares if the Company does not complete a Business Combination within the Combination Period (as defined below) or (ii) with respect to any other material provision relating to stockholders’ rights or pre-business combination activity, unless the Company provides the Public Stockholders with the opportunity to redeem their Public Shares in conjunction with any such amendment.</w:t>
      </w:r>
    </w:p>
    <w:p>
      <w:pPr>
        <w:spacing w:after="0" w:line="176"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If the Company has not completed a Business Combination by September 4, 2022 (the “Combination Period”), the Company will (i) cease all operations except for the purpose of winding up, (ii) as promptly as reasonably possible but not more than ten business days thereafter, redeem the Public Shares, at a per-share price, payable in cash, equal to the aggregate amount then on deposit in the Trust Account, including interest earned on the funds held in the Trust Account and not previously released to pay taxes (less up to $100,000 of interest to pay dissolution expenses), divided by the number of then outstanding Public Shares, which redemption will completely extinguish Public Stockholders’ rights as stockholders (including the right to receive further liquidating distributions, if any), and (iii) as promptly as reasonably possible following such redemption, subject to the approval of the Company’s remaining stockholders and the Company’s board of directors, dissolve and liquidate, subject in each case to the Company’s obligations under Delaware law to provide for claims of creditors and the requirements of other applicable law. There will be no redemption rights or liquidating distributions with respect to the Company’s warrants, which will expire worthless if the Company fails to complete a Business Combination within the Combination Period.</w:t>
      </w:r>
    </w:p>
    <w:p>
      <w:pPr>
        <w:spacing w:after="0" w:line="166"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The Sponsor has agreed to waive its liquidation rights with respect to the Founder Shares if the Company fails to complete a Business Combination within the Combination Period. However, if the Sponsor acquires Public Shares in or after the Initial Public Offering, such Public Shares will be entitled to liquidating distributions from the Trust Account if the Company fails to complete a Business Combination within the Combination Period. The underwriter has agreed to waive its rights to its deferred underwriting commission (see Note 6) held in the Trust Account in the event the Company does not complete a Business Combination within the Combination Period and, in such event, such amounts will be included with the other funds held in the Trust Account that will be available to fund the redemption of the Public Shares. In the event of such distribution, it is possible that the per share value of the assets remaining available for distribution will be less than the Initial Public Offering price per Unit ($10.00).</w:t>
      </w:r>
    </w:p>
    <w:p>
      <w:pPr>
        <w:spacing w:after="0" w:line="177"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In order to protect the amounts held in the Trust Account, the Sponsor has agreed to be liable to the Company if and to the extent any claims by a third party for services rendered or products sold to the Company, or a prospective target business with which the Company has discussed entering into a transaction agreement, reduce the amount of funds in the Trust Account to below the lesser of (i) $10.00 per Public Share and (ii) the actual amount per Public Share held in the Trust Account as of the date of the liquidation of the Trust Account, if less than $10.00 per public Share due to reductions in the value of the trust assets, less taxes payable, provided that such liability will not apply to any claims by a third party or prospective target business who executed a waiver of any and all rights to monies held in the Trust Account nor will it apply to any claims under the Company’s indemnity of the underwriter of the Initial Public Offering against certain liabilities, including liabilities under the Securities Act of 1933, as amended (the “Securities Act”). Moreover, in the event that an executed waiver is deemed to be unenforceable against a third party, the Sponsor will not be responsible to the extent of any liability for such third-party claims. The Company will seek to reduce the possibility that the Sponsor will have to indemnify the Trust Account due to claims of creditors by endeavoring to have all vendors, service providers (except for the Company’s independent registered public accounting firm), prospective target businesses and other entities with which the Company does business, execute agreements with the Company waiving any right, title, interest or claim of any kind in or to monies held in the Trust Account.</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CM LIFE SCIENCES,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SUMMARY OF SIGNIFICANT ACCOUNTING POLICIES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229"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The accompanying unaudited condensed financial statements have been prepared in accordance with accounting principles generally accepted in the United States of America (“GAAP”) for interim financial information and in accordance with the instructions to Form 10-Q and Article 8 of Regulation S-X of the SEC. Certain information or footnote disclosures normally included in financial statements prepared in accordance with GAAP have been condensed or omitted, pursuant to the rules and regulations of the SEC for interim financial reporting. Accordingly, they do not include all the information and footnotes necessary for a complete presentation of financial position, results of operations, or cash flows. In the opinion of management, the accompanying unaudited condensed financial statements include all adjustments, consisting of a normal recurring nature, which are necessary for a fair presentation of the financial position, operating results and cash flows for the periods presented.</w:t>
      </w:r>
    </w:p>
    <w:p>
      <w:pPr>
        <w:spacing w:after="0" w:line="17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accompanying unaudited condensed financial statements should be read in conjunction with the Company’s Annual Report on 10-K/A as filed with the SEC on May 5, 2021. The interim results for the three and six months ended June 30, 2021 are not necessarily indicative of the results to be expected for the year ending December 31, 2021 or for any future interim periods.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Emerging Growth Company</w:t>
      </w:r>
    </w:p>
    <w:p>
      <w:pPr>
        <w:spacing w:after="0" w:line="229"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The Company is an “emerging growth company,” as defined in Section 2(a) of the Securities Act, as modified by the Jumpstart Our Business Startups Act of 2012 (the “JOBS Act”), and it may take advantage of certain exemptions from various reporting requirements that are applicable to other public companies that are not emerging growth companies including, but not limited to, not being required to comply with the independent registered public accounting firm attestation requirements of Section 404 of the Sarbanes-Oxley Act, of 2002, reduced disclosure obligations regarding executive compensation in its periodic reports and proxy statements, and exemptions from the requirements of holding a nonbinding advisory vote on executive compensation and stockholder approval of any golden parachute payments not previously approved.</w:t>
      </w:r>
    </w:p>
    <w:p>
      <w:pPr>
        <w:spacing w:after="0" w:line="178"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 This may make comparison of the Company’s condensed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22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preparation of condensed financial statements in conformity with GAAP requires management to make estimates and assumptions that affect the reported amounts of assets and liabilities and disclosure of contingent assets and liabilities at the date of the condensed financial statements and the reported amounts of revenues and expenses during the reporting period.</w:t>
      </w:r>
    </w:p>
    <w:p>
      <w:pPr>
        <w:spacing w:after="0" w:line="184"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Making estimates requires management to exercise significant judgment. It is at least reasonably possible that the estimate of the effect of a condition, situation or set of circumstances that existed at the date of the condensed financial statements, which management considered in formulating its estimate, could change in the near term due to one or more future events. Accordingly, the actual results could differ significantly from those estimates.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Company considers all short-term investments with an original maturity of three months or less when purchased to be cash equivalents. The Company did not have any cash equivalents as of June 30, 2021 and December 31, 2020.</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Class A common stock subject to possible redemption</w:t>
      </w:r>
    </w:p>
    <w:p>
      <w:pPr>
        <w:spacing w:after="0" w:line="229"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Company accounts for its Class A common stock subject to possible redemption in accordance with the guidance in Accounting Standards Codification (“ASC”) Topic 480 “Distinguishing Liabilities from Equity.” Class A Common stock subject to mandatory redemption is classified as a liability instrument and is measured at fair value. Conditionally redeemable common stock (including common stock that features redemption rights that is either within the control of the holder or subject to redemption upon the occurrence of uncertain events not solely within the Company’s control) is classified as temporary equity. At all other times, common stock is classified as stockholders’ equity. The Company’s common stock features certain redemption rights that are considered to be outside of the Company’s control and subject to occurrence of uncertain future events. Accordingly, at June 30, 2021 and December 31, 2020, Class A common stock subject to possible redemption is presented as temporary equity, outside of the stockholders’ equity section of the Company’s condensed balance sheets.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713"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CM LIFE SCIENCES,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Offering Costs</w:t>
      </w:r>
    </w:p>
    <w:p>
      <w:pPr>
        <w:spacing w:after="0" w:line="229"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Offering costs consist of underwriting, legal, accounting and other expenses incurred through the Initial Public Offering that are directly related to the Initial Public Offering. Offering costs amounting to $23,690,693 were charged to stockholders’ equity upon the completion of the Initial Public Offering, and $1,204,771 of offering costs were related to the warrant liability and charged to the condensed statements of operations.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 Liability</w:t>
      </w:r>
    </w:p>
    <w:p>
      <w:pPr>
        <w:spacing w:after="0" w:line="229"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The Company accounts for warrants as either equity-classified or liability-classified instruments based on an assessment of the warrant’s specific terms and applicable authoritative guidance in Financial Accounting Standards Board (“FASB”) Accounting Standards Codification (“ASC”) 480, Distinguishing Liabilities from Equity (“ASC 480”) and ASC 815, Derivatives and Hedging (“ASC 815”). The assessment considers whether the warrants are freestanding financial instruments pursuant to ASC 480, meet the definition of a liability pursuant to ASC 480, and whether the warrants meet all of the requirements for equity classification under ASC 815, including whether the warrants are indexed to the Company’s own ordinary shares, among other conditions for equity classification. This assessment, which requires the use of professional judgment, is conducted at the time of warrant issuance and as of each subsequent quarterly period end date while the warrants are outstanding.</w:t>
      </w:r>
    </w:p>
    <w:p>
      <w:pPr>
        <w:spacing w:after="0" w:line="177"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For issued or modified warrants that meet all of the criteria for equity classification, the warrants are required to be recorded as a component of additional paid-in capital at the time of issuance. For issued or modified warrants that do not meet all the criteria for equity classification, the warrants are required to be recorded at their initial fair value on the date of issuance, and each balance sheet date thereafter. Changes in the estimated fair value of the warrants are recognized as a non-cash gain or loss on the condensed statements of operations. See Note 9.</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The Company follows the asset and liability method of accounting for income taxes under ASC 740, “Income Taxes.” Deferred tax assets and liabilities are recognized for the estimated future tax consequences attributable to differences between the financial statement carrying amounts of existing assets and liabilities and their respective tax bases.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included the enactment date. Valuation allowances are established, when necessary, to reduce deferred tax assets to the amount expected to be realized. As of June 30, 2021 and December 31, 2020, the Company had a deferred tax asset of approximately $651,000 and $40,400, respectively, which had a full valuation allowance recorded against it.</w:t>
      </w:r>
    </w:p>
    <w:p>
      <w:pPr>
        <w:spacing w:after="0" w:line="177"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Company’s currently taxable income primarily consists of interest income on the Trust Account. The Company’s general and administrative costs are generally considered start-up costs and are not currently deductible. During the three and six months ended June 30, 2021, the Company recorded no income tax expense. The Company’s effective tax rate for the three and six months ended June 30, 2021 was approximately 0%, which differs from the expected income tax rate due to the start-up costs (discussed above) which are not currently deductible.</w:t>
      </w:r>
    </w:p>
    <w:p>
      <w:pPr>
        <w:spacing w:after="0" w:line="171"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ASC 740 prescribes a recognition threshold and a measurement attribute for the financial statement recognition and measurement of tax positions taken or expected to be taken in a tax return. For those benefits to be recognized, a tax position must be more likely than not to be sustained upon examination by taxing authorities. The Company recognizes accrued interest and penalties related to unrecognized tax benefits as income tax expense. There were no unrecognized tax benefits and no amounts accrued for interest and penalties as of June 30, 2021 and December 31, 2020. The Company is currently not aware of any issues under review that could result in significant payments, accruals or material deviation from its position. The Company is subject to income tax examinations by major taxing authorities since inception.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 (Loss) per Common Share</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Net income (loss) per common share is computed by dividing net income by the weighted average number of common shares outstanding for the period. The Company has not considered the effect of warrants sold in the Initial Public Offering and private placement to purchase 21,995,000 shares of Class A common stock in the calculation of diluted income per share, since the exercise of the warrants are contingent upon the occurrence of future events and the inclusion of such warrants would be anti-dilutive.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CM LIFE SCIENCES,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The Company’s statements of operations includes a presentation of income (loss) per share for common shares similar to the two-class method of income (loss) per share. Net income per common share, basic and diluted, for Class A common stock is calculated by dividing the interest income earned on the Trust Account less income and franchise taxes, by the weighted average number of Class A common stock outstanding since original issuance. Net loss per share, basic and diluted, for Class B common stock is calculated by dividing the net loss, adjusted for income attributable to Class A common stock, net of applicable franchise and income taxes, by the weighted average number of Class B common stock outstanding for the period. Class B common stock includes the Founder Shares as these shares do not have any redemption features and do not participate in the income earned on the Trust Account.</w:t>
      </w:r>
    </w:p>
    <w:p>
      <w:pPr>
        <w:spacing w:after="0" w:line="16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reflects the calculation of basic and diluted net income (loss) per common share (in dollars, except per share amounts):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340" w:type="dxa"/>
            <w:vAlign w:val="bottom"/>
            <w:gridSpan w:val="3"/>
          </w:tcPr>
          <w:p>
            <w:pPr>
              <w:ind w:left="20"/>
              <w:spacing w:after="0"/>
              <w:rPr>
                <w:sz w:val="20"/>
                <w:szCs w:val="20"/>
                <w:color w:val="auto"/>
              </w:rPr>
            </w:pPr>
            <w:r>
              <w:rPr>
                <w:rFonts w:ascii="Arial" w:cs="Arial" w:eastAsia="Arial" w:hAnsi="Arial"/>
                <w:sz w:val="18"/>
                <w:szCs w:val="18"/>
                <w:b w:val="1"/>
                <w:bCs w:val="1"/>
                <w:color w:val="auto"/>
              </w:rPr>
              <w:t>Three Months</w:t>
            </w: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Six Months</w:t>
            </w:r>
          </w:p>
        </w:tc>
      </w:tr>
      <w:tr>
        <w:trPr>
          <w:trHeight w:val="216"/>
        </w:trPr>
        <w:tc>
          <w:tcPr>
            <w:tcW w:w="8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0"/>
              </w:rPr>
              <w:t>Ended</w:t>
            </w:r>
          </w:p>
        </w:tc>
        <w:tc>
          <w:tcPr>
            <w:tcW w:w="10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Ended</w:t>
            </w:r>
          </w:p>
        </w:tc>
      </w:tr>
      <w:tr>
        <w:trPr>
          <w:trHeight w:val="230"/>
        </w:trPr>
        <w:tc>
          <w:tcPr>
            <w:tcW w:w="8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8"/>
              </w:rPr>
              <w:t>June 30,</w:t>
            </w:r>
          </w:p>
        </w:tc>
        <w:tc>
          <w:tcPr>
            <w:tcW w:w="100" w:type="dxa"/>
            <w:vAlign w:val="bottom"/>
          </w:tcPr>
          <w:p>
            <w:pPr>
              <w:spacing w:after="0"/>
              <w:rPr>
                <w:sz w:val="19"/>
                <w:szCs w:val="19"/>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June 30,</w:t>
            </w:r>
          </w:p>
        </w:tc>
      </w:tr>
      <w:tr>
        <w:trPr>
          <w:trHeight w:val="241"/>
        </w:trPr>
        <w:tc>
          <w:tcPr>
            <w:tcW w:w="86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9"/>
              </w:rPr>
              <w:t>2021</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2021</w:t>
            </w:r>
          </w:p>
        </w:tc>
        <w:tc>
          <w:tcPr>
            <w:tcW w:w="100" w:type="dxa"/>
            <w:vAlign w:val="bottom"/>
          </w:tcPr>
          <w:p>
            <w:pPr>
              <w:spacing w:after="0"/>
              <w:rPr>
                <w:sz w:val="20"/>
                <w:szCs w:val="20"/>
                <w:color w:val="auto"/>
              </w:rPr>
            </w:pPr>
          </w:p>
        </w:tc>
      </w:tr>
      <w:tr>
        <w:trPr>
          <w:trHeight w:val="202"/>
        </w:trPr>
        <w:tc>
          <w:tcPr>
            <w:tcW w:w="8680" w:type="dxa"/>
            <w:vAlign w:val="bottom"/>
          </w:tcPr>
          <w:p>
            <w:pPr>
              <w:spacing w:after="0" w:line="201" w:lineRule="exact"/>
              <w:rPr>
                <w:sz w:val="20"/>
                <w:szCs w:val="20"/>
                <w:color w:val="auto"/>
              </w:rPr>
            </w:pPr>
            <w:r>
              <w:rPr>
                <w:rFonts w:ascii="Arial" w:cs="Arial" w:eastAsia="Arial" w:hAnsi="Arial"/>
                <w:sz w:val="18"/>
                <w:szCs w:val="18"/>
                <w:color w:val="auto"/>
              </w:rPr>
              <w:t>Class A Redeemable Common Stock</w:t>
            </w: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8680" w:type="dxa"/>
            <w:vAlign w:val="bottom"/>
          </w:tcPr>
          <w:p>
            <w:pPr>
              <w:spacing w:after="0"/>
              <w:rPr>
                <w:sz w:val="20"/>
                <w:szCs w:val="20"/>
                <w:color w:val="auto"/>
              </w:rPr>
            </w:pPr>
            <w:r>
              <w:rPr>
                <w:rFonts w:ascii="Arial" w:cs="Arial" w:eastAsia="Arial" w:hAnsi="Arial"/>
                <w:sz w:val="18"/>
                <w:szCs w:val="18"/>
                <w:color w:val="auto"/>
              </w:rPr>
              <w:t>Numerator: Earnings allocable to Class A Redeemable Common Stock</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Income</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11,040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21,959</w:t>
            </w:r>
          </w:p>
        </w:tc>
      </w:tr>
      <w:tr>
        <w:trPr>
          <w:trHeight w:val="237"/>
        </w:trPr>
        <w:tc>
          <w:tcPr>
            <w:tcW w:w="8680" w:type="dxa"/>
            <w:vAlign w:val="bottom"/>
          </w:tcPr>
          <w:p>
            <w:pPr>
              <w:ind w:left="340"/>
              <w:spacing w:after="0"/>
              <w:rPr>
                <w:sz w:val="20"/>
                <w:szCs w:val="20"/>
                <w:color w:val="auto"/>
              </w:rPr>
            </w:pPr>
            <w:r>
              <w:rPr>
                <w:rFonts w:ascii="Arial" w:cs="Arial" w:eastAsia="Arial" w:hAnsi="Arial"/>
                <w:sz w:val="18"/>
                <w:szCs w:val="18"/>
                <w:color w:val="auto"/>
              </w:rPr>
              <w:t>Less: Income and Franchise Tax available to be withdrawn from the Trust Account</w:t>
            </w:r>
          </w:p>
        </w:tc>
        <w:tc>
          <w:tcPr>
            <w:tcW w:w="160" w:type="dxa"/>
            <w:vAlign w:val="bottom"/>
          </w:tcPr>
          <w:p>
            <w:pPr>
              <w:spacing w:after="0"/>
              <w:rPr>
                <w:sz w:val="20"/>
                <w:szCs w:val="20"/>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(11,040)</w:t>
            </w:r>
          </w:p>
        </w:tc>
        <w:tc>
          <w:tcPr>
            <w:tcW w:w="100" w:type="dxa"/>
            <w:vAlign w:val="bottom"/>
          </w:tcPr>
          <w:p>
            <w:pPr>
              <w:spacing w:after="0"/>
              <w:rPr>
                <w:sz w:val="20"/>
                <w:szCs w:val="20"/>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(21,959)</w:t>
            </w:r>
          </w:p>
        </w:tc>
      </w:tr>
      <w:tr>
        <w:trPr>
          <w:trHeight w:val="216"/>
        </w:trPr>
        <w:tc>
          <w:tcPr>
            <w:tcW w:w="8680" w:type="dxa"/>
            <w:vAlign w:val="bottom"/>
            <w:tcBorders>
              <w:top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Redeemable Net Earnings</w:t>
            </w: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Denominator: Weighted Average Class A Redeemable Common Stock</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Class A Redeemable Common Stock, Basic and Diluted</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44,275,000</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44,275,000</w:t>
            </w: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Earnings/Basic and Diluted Class A Redeemable Common Stock</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Class B non-redeemable Common Stock, basic</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Numerator: Net Income (Loss) minus Net Earnings</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6"/>
        </w:trPr>
        <w:tc>
          <w:tcPr>
            <w:tcW w:w="8680" w:type="dxa"/>
            <w:vAlign w:val="bottom"/>
          </w:tcPr>
          <w:p>
            <w:pPr>
              <w:ind w:left="340"/>
              <w:spacing w:after="0"/>
              <w:rPr>
                <w:sz w:val="20"/>
                <w:szCs w:val="20"/>
                <w:color w:val="auto"/>
              </w:rPr>
            </w:pPr>
            <w:r>
              <w:rPr>
                <w:rFonts w:ascii="Arial" w:cs="Arial" w:eastAsia="Arial" w:hAnsi="Arial"/>
                <w:sz w:val="18"/>
                <w:szCs w:val="18"/>
                <w:color w:val="auto"/>
              </w:rPr>
              <w:t>Net Income (Loss)</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13,009,880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(45,462,043)</w:t>
            </w:r>
          </w:p>
        </w:tc>
      </w:tr>
      <w:tr>
        <w:trPr>
          <w:trHeight w:val="216"/>
        </w:trPr>
        <w:tc>
          <w:tcPr>
            <w:tcW w:w="8680" w:type="dxa"/>
            <w:vAlign w:val="bottom"/>
            <w:tcBorders>
              <w:top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Non-Redeemable Net Earnings (Loss), basic</w:t>
            </w: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13,009,880</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(45,462,043)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Denominator: Weighted Average Class B Non-redeemable Common Stock, basic</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Class B non-redeemable Common Stock, Basic</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11,068,750</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11,068,750</w:t>
            </w: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Earnings/Basic Class B non-redeemable Common Stock</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1.18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(4.11)</w:t>
            </w:r>
          </w:p>
        </w:tc>
      </w:tr>
      <w:tr>
        <w:trPr>
          <w:trHeight w:val="216"/>
        </w:trPr>
        <w:tc>
          <w:tcPr>
            <w:tcW w:w="8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Numerator: Net income minus Net Earnings Diluted</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Non-Redeemable Net income - Basic</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13,009,880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(45,462,043)</w:t>
            </w:r>
          </w:p>
        </w:tc>
      </w:tr>
      <w:tr>
        <w:trPr>
          <w:trHeight w:val="236"/>
        </w:trPr>
        <w:tc>
          <w:tcPr>
            <w:tcW w:w="8680" w:type="dxa"/>
            <w:vAlign w:val="bottom"/>
          </w:tcPr>
          <w:p>
            <w:pPr>
              <w:ind w:left="500"/>
              <w:spacing w:after="0"/>
              <w:rPr>
                <w:sz w:val="20"/>
                <w:szCs w:val="20"/>
                <w:color w:val="auto"/>
              </w:rPr>
            </w:pPr>
            <w:r>
              <w:rPr>
                <w:rFonts w:ascii="Arial" w:cs="Arial" w:eastAsia="Arial" w:hAnsi="Arial"/>
                <w:sz w:val="18"/>
                <w:szCs w:val="18"/>
                <w:color w:val="auto"/>
              </w:rPr>
              <w:t>Less: Change in fair value of derivative liability</w:t>
            </w:r>
          </w:p>
        </w:tc>
        <w:tc>
          <w:tcPr>
            <w:tcW w:w="160" w:type="dxa"/>
            <w:vAlign w:val="bottom"/>
          </w:tcPr>
          <w:p>
            <w:pPr>
              <w:spacing w:after="0"/>
              <w:rPr>
                <w:sz w:val="20"/>
                <w:szCs w:val="20"/>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(14,276,800)</w:t>
            </w:r>
          </w:p>
        </w:tc>
        <w:tc>
          <w:tcPr>
            <w:tcW w:w="10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680" w:type="dxa"/>
            <w:vAlign w:val="bottom"/>
            <w:tcBorders>
              <w:top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Non-Redeemable Net loss – Diluted</w:t>
            </w: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(1,266,920)</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(45,462,043)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Denominator: Weighted Average shares outstanding of Class A and Class B non-redeemable common stock</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Diluted weighted average shares outstanding, Class A and Class B non-redeemable common stock</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13,621,590</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11,068,750</w:t>
            </w:r>
          </w:p>
        </w:tc>
      </w:tr>
      <w:tr>
        <w:trPr>
          <w:trHeight w:val="230"/>
        </w:trPr>
        <w:tc>
          <w:tcPr>
            <w:tcW w:w="8680" w:type="dxa"/>
            <w:vAlign w:val="bottom"/>
          </w:tcPr>
          <w:p>
            <w:pPr>
              <w:spacing w:after="0"/>
              <w:rPr>
                <w:sz w:val="20"/>
                <w:szCs w:val="20"/>
                <w:color w:val="auto"/>
              </w:rPr>
            </w:pPr>
            <w:r>
              <w:rPr>
                <w:rFonts w:ascii="Arial" w:cs="Arial" w:eastAsia="Arial" w:hAnsi="Arial"/>
                <w:sz w:val="18"/>
                <w:szCs w:val="18"/>
                <w:color w:val="auto"/>
              </w:rPr>
              <w:t>Diluted net loss per share, Non-Redeemable Class A and Class B non-redeemable common stock</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(0.09)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(4.11)</w:t>
            </w:r>
          </w:p>
        </w:tc>
      </w:tr>
    </w:tbl>
    <w:p>
      <w:pPr>
        <w:spacing w:after="0" w:line="187"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Diluted weighted average shares outstanding was calculated using the treasury stock method utilizing a weighted average share price of $13.01 and the effect of the warrants sold in the Initial Public Offering and the private placement to purchase an aggregate of 21,995,000 shares.</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CM LIFE SCIENCES,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 of Credit Risk</w:t>
      </w:r>
    </w:p>
    <w:p>
      <w:pPr>
        <w:spacing w:after="0" w:line="22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Financial instruments that potentially subject the Company to concentrations of credit risk consist of a cash account in a financial institution, which, at times, may exceed the Federal Depository Insurance Coverage of $250,000. The Company has not experienced losses on this account and management believes the Company is not exposed to significant risks on such account.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Financial Instruments</w:t>
      </w:r>
    </w:p>
    <w:p>
      <w:pPr>
        <w:spacing w:after="0" w:line="229"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The fair value of the Company’s assets and liabilities, which qualify as financial instruments under ASC Topic 820, “Fair Value Measurement,” approximates the carrying amounts represented in the accompanying condensed balance sheets, primarily due to their short-term nature.</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June 30, 2021, the Company had $167,959 in its operating bank account and a working capital deficit of $1,848,528.</w:t>
      </w:r>
    </w:p>
    <w:p>
      <w:pPr>
        <w:spacing w:after="0" w:line="225"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Prior to the completion of the Initial Public Offering, the Company’s liquidity needs had been satisfied through a contribution of $25,000 from Sponsor to cover for certain offering costs in exchange for the issuance of the Founder Shares, the loan of up to $300,000 from the Sponsor pursuant to the Note (see Note 5), and the proceeds from the consummation of the Private Placement not held in the Trust Account. The Note was repaid on September 4, 2020. In addition, in order to finance transaction costs in connection with a Business Combination, the Sponsor or an affiliate of the Sponsor, or certain of the Company’s officers and directors may, but are not obligated to, provide the Company Working Capital Loans up to $1,500,000 (see Note 6). As of June 30, 2021, there were no amounts outstanding under any Working Capital Loan.</w:t>
      </w:r>
    </w:p>
    <w:p>
      <w:pPr>
        <w:spacing w:after="0" w:line="17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Company may raise additional capital through loans or additional investments from the Sponsor or its stockholders, officers, directors, or third parties. The Company’s officers and directors and the Sponsor may but are not obligated to (except as described above), loan the Company funds, from time to time, in whatever amount they deem reasonable in their sole discretion, to meet the Company’s working capital needs. Based on the foregoing, the Company believes it will have sufficient working capital and borrowing capacity from the Sponsor or an affiliate of the Sponsor, or certain of the Company’s officers and directors to meet its needs through the earlier of the consummation of a Business Combination or at least one year from the date that the condensed financial statements were issued.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Standards</w:t>
      </w:r>
    </w:p>
    <w:p>
      <w:pPr>
        <w:spacing w:after="0" w:line="229"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In August 2020, the Financial Accounting Standards Board (“FASB”) issued Accounting Standards Update (“ASU”) 2020-06, Debt — Debt with Conversion and Other Options (Subtopic 470-20) and Derivatives and Hedging — Contracts in Entity’s Own Equity (Subtopic 815-40) (“ASU 2020-06”) to simplify accounting for certain financial instruments. ASU 2020-06 eliminates the current models that require separation of beneficial conversion and cash conversion features from convertible instruments and simplifies the derivative scope exception guidance pertaining to equity classification of contracts in an entity’s own equity. The new standard also introduces additional disclosures for convertible debt and freestanding instruments that are indexed to and settled in an entity’s own equity. ASU 2020-06 amends the diluted earnings per share guidance, including the requirement to use the if-converted method for all convertible instruments. ASU 2020-06 is effective January 1, 2022 and should be applied on a full or modified retrospective basis, with early adoption permitted beginning on January 1, 2021. The Company is currently assessing the impact, if any, that ASU 2020-06 would have on its financial position, results of operations or cash flows.</w:t>
      </w:r>
    </w:p>
    <w:p>
      <w:pPr>
        <w:spacing w:after="0" w:line="18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Management does not believe that any other recently issued, but not yet effective, accounting standards, if currently adopted, would have a material effect on the Company’s condensed financial statements.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CM LIFE SCIENCES,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INITIAL PUBLIC OFFERING</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Pursuant to the Initial Public Offering, the Company sold 44,275,000 Units, which includes the full exercise by the underwriter of its over-allotment option in the amount of 5,775,000 Units, at a purchase price of $10.00 per Unit. Each Unit consists of one share of Class A common stock and one-third of one redeemable warrant (“Public Warrant”). Each whole Public Warrant entitles the holder to purchase one share of Class A common stock at a price of $11.50 per share, subject to adjustment (see Note 8).</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PRIVATE PLACEMENT</w:t>
      </w:r>
    </w:p>
    <w:p>
      <w:pPr>
        <w:spacing w:after="0" w:line="229"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Simultaneously with the closing of the Initial Public Offering, the Sponsor and certain of the Company’s independent directors purchased an aggregate of 7,236,667 Private Placement Warrants, at a price of $1.50 per Private Placement Warrant, for an aggregate purchase price of $10,855,000. The Sponsor purchased 6,903,335 Private Placement Warrants, and each of Mr. Islam and Dr. Leproust (and/or one or more entities controlled by them) purchased 166,666 Private Placement Warrants. Each Private Placement Warrant is exercisable to purchase one share of Class A common stock at a price of $11.50 per share, subject to adjustment (see Note 8). Proceeds from the sale of the Private Placement Warrants were added to the net proceeds from the Initial Public Offering held in the Trust Account. If the Company does not complete a Business Combination within the Combination Period, the proceeds from the sale of the Private Placement Warrants held in the Trust Account will be used to fund the redemption of the Public Shares (subject to the requirements of applicable law) and the Private Placement Warrants will expire worthless.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RELATED PARTY TRANSACTIONS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Founder Shares</w:t>
      </w:r>
    </w:p>
    <w:p>
      <w:pPr>
        <w:spacing w:after="0" w:line="229"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In July 2020, the Sponsor paid $25,000 to cover certain offering costs of the Company in consideration for 10,062,500 shares of the Company’s Class B common stock (the “Founder Shares”). In August 2020, the Sponsor transferred 25,000 Founder Shares to each of Munib Islam, Emily Leproust and Nat Turner, certain of the Company’s independent directors, at their original per-share purchase price, for an aggregate of 75,000 Founder Shares transferred. On September 1, 2020, the Company effected a 1:1.1 stock split of its Class B common stock, resulting in the Sponsor holding an aggregate of 10,993,750 Founder Shares and there being an aggregate of 11,068,750 Founder Shares outstanding. All share and per-share amounts have been retroactively restated to reflect the stock split, The Founder Shares included an aggregate of up to 1,443,750 shares subject to forfeiture by the Sponsor to the extent that the underwriter’s over-allotment was not exercised in full or in part, so that the number of Founder Shares would equal, on an as-converted basis, approximately 20% of the Company’s issued and outstanding shares of common stock after the Initial Public Offering. As a result of the underwriter’s election to fully exercise its over-allotment option, 1,443,750 Founder Shares are no longer subject to forfeiture.</w:t>
      </w:r>
    </w:p>
    <w:p>
      <w:pPr>
        <w:spacing w:after="0" w:line="166"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Sponsor has agreed, subject to limited exceptions, not to transfer, assign or sell any of the Founder Shares until the earlier to occur of: (A) one year after the completion of a Business Combination and (B) subsequent to a Business Combination, (x) if the last reported sale price of the Class A common stock equals or exceeds $12.00 per share (as adjusted for stock splits, stock capitalizations, reorganizations, recapitalizations and the like) for any 20 trading days within any 30-trading day period commencing at least 150 days after a Business Combination, or (y) the date on which the Company completes a liquidation, merger, capital stock exchange or other similar transaction that results in all of the Public Stockholders having the right to exchange their shares of common stock for cash, securities or other property.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Promissory Note – Related Party</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July 16, 2020, the Sponsor issued an unsecured promissory note to the Company (the “Promissory Note”), pursuant to which the Company could borrow up to an aggregate principal amount of $300,000. The Promissory Note was non-interest bearing and payable on the earlier of (i) December 31, 2020 or (ii) the consummation of the Initial Public Offering. The outstanding balance under the Promissory Note of $165,081 was repaid at the closing of the Initial Public Offering on September 4, 2020.</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Party Loans</w:t>
      </w:r>
    </w:p>
    <w:p>
      <w:pPr>
        <w:spacing w:after="0" w:line="229"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In order to finance transaction costs in connection with a Business Combination, the Sponsor or an affiliate of the Sponsor, or certain of the Company’s officers and directors may, but are not obligated to, loan the Company funds as may be required (“Working Capital Loans”). Such Working Capital Loans would be evidenced by promissory notes. The notes may be repaid upon completion of a Business Combination, without interest, or, at the lender’s discretion, up to $1,500,000 of the notes may be converted upon completion of a Business Combination into warrants at a price of $1.50 per warrant. Such warrants would be identical to the Private Placement Warrants. In the event that a Business Combination does not close, the Company may use a portion of proceeds held outside the Trust Account to repay the Working Capital Loans but no proceeds held in the Trust Account would be used to repay the Working Capital Loans. As of June 30, 2021 and December 31, 2020, there were no amounts outstanding under the Working Capital Loans.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CM LIFE SCIENCES,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COMMITMENTS AND CONTINGENCIES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and Uncertainties</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Management continues to evaluate the impact of the COVID-19 pandemic on the industry and has concluded that while it is reasonably possible that the virus could have a negative effect on the Company’s financial position and/or results of its operations, the specific impact is not readily determinable as of the date of these condensed financial statements. The condensed financial statements do not include any adjustments that might result from the outcome of this uncertainty.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229"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Pursuant to a registration rights agreement entered into on September 1, 2020, the holders of the Founder Shares, Private Placement Warrants and securities that may be issued upon conversion of Working Capital Loans and forward purchase shares are entitled to registration rights. The holders of these securities will be entitled to make up to three demands, excluding short form demands, that the Company register such securities. In addition, the holders have certain “piggy-back” registration rights with respect to registration statements filed subsequent to the completion of a Business Combination. The Company will bear the expenses incurred in connection with the filing of any such registration statements.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Underwriting Agreement</w:t>
      </w:r>
    </w:p>
    <w:p>
      <w:pPr>
        <w:spacing w:after="0" w:line="22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underwriter is entitled to a deferred fee of $0.35 per Unit, or $15,496,250 in the aggregate. The deferred fee will become payable to the underwriter from the amounts held in the Trust Account solely in the event that the Company completes a Business Combination, subject to the terms of the underwriting agreement.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Purchase Agreement</w:t>
      </w:r>
    </w:p>
    <w:p>
      <w:pPr>
        <w:spacing w:after="0" w:line="229"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The Company entered into separate forward purchase agreements with affiliates of the Sponsor, Casdin Capital, LLC (“Casdin”) and Corvex Management LP (“Corvex”), in their capacities as investment advisors on behalf of one or more investment funds, clients or accounts managed by each of Casdin and Corvex, respectively (collectively, their “Clients”), pursuant to which, subject to the conditions described below, they will cause the Clients to purchase from the Company up to an aggregate amount of 15,000,000 shares of Class A common stock, or the forward purchase shares, for $10.00 per forward purchase share, or an aggregate amount of up to $150,000,000, in a private placement that will close concurrently with the closing of a Business Combination. The amount of forward purchase shares sold pursuant to the forward purchase agreements will be determined in the Company’s discretion based on the Company’s need for additional capital to consummate a Business Combination. Under each forward purchase agreement, the Company is required to approach Casdin and Corvex if it proposes to raise additional capital by issuing any equity, or securities convertible into, exchangeable or exercisable for equity securities in connection with a Business Combination. The respective obligations of Casdin and Corvex to purchase forward purchase shares will, among other things, be conditioned on the Company completing a Business Combination with a company engaged in a business that is within the investment objectives of the Clients purchasing forward purchase shares and on the Business Combination (including the target assets or business, and the terms of the Business Combination) being reasonably acceptable to such Clients as determined by Casdin or Corvex, as relevant, as investment advisors on behalf of such Clients. Each of Casdin and Corvex will have the right to transfer a portion of its purchase obligation under the forward purchase agreement to third parties, subject to compliance with applicable securities laws. To the extent that the Company obtains alternative financing to fund the initial Business Combination and the Clients participate in such financing, the aggregate commitment under the forward purchase agreement will be reduced by the amount of such alternative financing.</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Combination Agreement</w:t>
      </w:r>
    </w:p>
    <w:p>
      <w:pPr>
        <w:spacing w:after="0" w:line="22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On February 10, 2021, the Company announced that it executed an Agreement and Plan of Merger (the “Merger Agreement”) with Mount Sinai Genomics, Inc., a Delaware corporation, d/b/a Sema4 (“Sema4”) and the other parties thereto (the transactions contemplated by the Merger Agreement, including the Merger (as defined below), the “Business Combination”). Specifically, the Company entered into the Merger Agreement with Sema4 and S-IV Sub, Inc., a Delaware corporation incorporated on February 1, 2021 and a direct, wholly-owned subsidiary of the Company (“Merger Sub”). Pursuant to the terms of the Merger Agreement, the Company will acquire Sema4 through the merger of Merger Sub with and into Sema4, with Sema4 surviving as a wholly-owned subsidiary of the Company (the “Merger”).</w:t>
      </w:r>
    </w:p>
    <w:p>
      <w:pPr>
        <w:spacing w:after="0" w:line="19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Business Combination is expected to close in the third quarter of 2021, following the receipt of the required approval by the Company’s stockholders and the satisfaction of certain other customary closing conditions.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CM LIFE SCIENCES,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At the effective time of the Merger (the “Effective Time”), each share of Sema4 class B common stock, par value $0.00001 per share (“Sema4 Class B Common Stock”) issued and outstanding as of immediately prior to the Effective Time will be converted into 1/100th of a share of Sema4 class A common stock, par value $0.00001 per share (“Sema4 Class A Common Stock”, together with Sema4 Class B Common Stock, “Sema4 Common Stock”) in accordance with Sema4’s organizational documents.</w:t>
      </w:r>
    </w:p>
    <w:p>
      <w:pPr>
        <w:spacing w:after="0" w:line="18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Immediately thereafter, each share of Sema4 Common Stock and Sema4’s series A-1 preferred stock, series A-2 preferred stock, series B preferred stock and series C preferred stock (collectively, “Sema4 Capital Stock”) issued and outstanding immediately prior to the Effective Time (other than Excluded Shares and Dissenting Shares (each as defined in the Merger Agreement)) will be converted into the right to receive a portion of the total closing merger consideration, with each Sema4 stockholder being entitled to receive the following:</w:t>
      </w:r>
    </w:p>
    <w:p>
      <w:pPr>
        <w:spacing w:after="0" w:line="187" w:lineRule="exact"/>
        <w:rPr>
          <w:sz w:val="20"/>
          <w:szCs w:val="20"/>
          <w:color w:val="auto"/>
        </w:rPr>
      </w:pPr>
    </w:p>
    <w:p>
      <w:pPr>
        <w:jc w:val="both"/>
        <w:ind w:left="660" w:hanging="328"/>
        <w:spacing w:after="0" w:line="263"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if such stockholder has made a cash election as set forth and in accordance with the terms of the Merger Agreement, a portion of the specified aggregate amount of cash consideration payable under the terms of the Merger Agreement (such aggregate amount not to exceed $343,000,000) and pursuant to the terms of such stockholder’s cash election; and</w:t>
      </w:r>
    </w:p>
    <w:p>
      <w:pPr>
        <w:spacing w:after="0" w:line="183" w:lineRule="exact"/>
        <w:rPr>
          <w:rFonts w:ascii="Arial" w:cs="Arial" w:eastAsia="Arial" w:hAnsi="Arial"/>
          <w:sz w:val="18"/>
          <w:szCs w:val="18"/>
          <w:color w:val="auto"/>
        </w:rPr>
      </w:pPr>
    </w:p>
    <w:p>
      <w:pPr>
        <w:jc w:val="both"/>
        <w:ind w:left="660" w:hanging="328"/>
        <w:spacing w:after="0" w:line="311" w:lineRule="auto"/>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 xml:space="preserve">a number of shares of common stock, par value $0.0001 per share, of the Company (the “Common Stock”) equal to the quotient of: (i) (A) the product of (x) such stockholder’s total shares of Sema4 Capital Stock multiplied by (y) the per share amount calculated in accordance with the Merger Agreement </w:t>
      </w:r>
      <w:r>
        <w:rPr>
          <w:rFonts w:ascii="Arial" w:cs="Arial" w:eastAsia="Arial" w:hAnsi="Arial"/>
          <w:sz w:val="16"/>
          <w:szCs w:val="16"/>
          <w:i w:val="1"/>
          <w:iCs w:val="1"/>
          <w:color w:val="auto"/>
        </w:rPr>
        <w:t>minus</w:t>
      </w:r>
      <w:r>
        <w:rPr>
          <w:rFonts w:ascii="Arial" w:cs="Arial" w:eastAsia="Arial" w:hAnsi="Arial"/>
          <w:sz w:val="16"/>
          <w:szCs w:val="16"/>
          <w:color w:val="auto"/>
        </w:rPr>
        <w:t xml:space="preserve"> (B) the amount of cash payable to such stockholder pursuant to its cash election, if any, divided by (ii) $10.</w:t>
      </w:r>
    </w:p>
    <w:p>
      <w:pPr>
        <w:spacing w:after="0" w:line="14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addition, at the Effective Time, each outstanding option to purchase Sema4 Capital Stock, each outstanding and unsettled restricted stock unit in respect of shares of Sema4 Capital Stock and each outstanding stock appreciation right will be rolled over into options to purchase Common Stock, restricted stock units in respect of Common Stock and stock appreciation rights in respect of Common Stock, all as further set forth in and in accordance with the terms of the Merger Agreement.</w:t>
      </w:r>
    </w:p>
    <w:p>
      <w:pPr>
        <w:spacing w:after="0" w:line="187"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In addition to the payment of cash, issuance of Common Stock and rollover of other Sema4 equity awards described above as of the Effective Time, in the event that the closing sale price of Common Stock exceeds certain price thresholds for 20 out of any 30 consecutive trading days during the period of time commencing upon the expiration of the lock-up period applicable to the Sponsor under the Letter Agreement, dated as of August 27, 2021, by and among the Company, Sponsor and each of the executive officers and directors of the Company and ending on the second anniversary of the closing of the Merger, an additional number of shares equal to an amount up to an aggregate of 11% of the shares of Common Stock that would have been issuable upon closing of the Merger to the stockholders of the Company if no cash elections were made and the closing cash payment amount under the Merger Agreement was $0.00 (the “Earn-Out Shares”) shall become issuable, in accordance with the terms of the Merger Agreement following the achievement of those certain price thresholds, to the stockholders of Sema4 as of immediately prior to the closing of the Merger; provided that the board of directors of Sema4 (or a duly authorized committee thereof) may, prior to the closing of the Merger, allocate a portion of such Earn-Out Shares to be issued to service providers of Sema4 in the form of restricted stock units of the Company.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Sponsor Support Agreement</w:t>
      </w:r>
    </w:p>
    <w:p>
      <w:pPr>
        <w:spacing w:after="0" w:line="229"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On February 10, 2021, the Company entered into a Sponsor Support Agreement with the Sponsor and Sema4, whereby Sponsor has agreed to, among other things, (a) vote at any meeting of the stockholders of the Company all of their shares of capital stock of the Company held of record or thereafter acquired in favor of the Stockholder Approvals (as defined in the Merger Agreement), (b) be bound by certain other covenants and agreements related to the Business Combination and (c) be bound by certain transfer restrictions with respect to such securities, prior to the closing of the Business Combination, in each case, on the terms and subject to the conditions set forth in the Sponsor Support Agreement. On February 10, 2021, concurrently with the execution of the Merger Agreement, the Company entered into subscription agreements (collectively, the “Subscription Agreements”) with certain investors (collectively, the “PIPE Investors” which include certain existing equity holders of Sema4), pursuant to, and on the terms and subject to the conditions of which, the PIPE Investors have collectively subscribed for 35,000,000 shares of our common stock for an aggregate purchase price equal to $350,000,000 (the “PIPE Investment”). The PIPE Investment will be consummated immediately prior to the closing of the Sema4 Business Combination. The Subscription Agreements provide for certain customary registration rights for the PIPE Investors. The Subscription Agreements will terminate with no further force and effect upon the earliest to occur of: (a) such date and time as the Merger Agreement is terminated in accordance with its terms; (b) the mutual written agreement of the parties to such Subscription Agreement; and (c) November 9, 2021.</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STOCKHOLDERS’ EQUITY</w:t>
      </w:r>
    </w:p>
    <w:p>
      <w:pPr>
        <w:spacing w:after="0" w:line="22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b w:val="1"/>
          <w:bCs w:val="1"/>
          <w:i w:val="1"/>
          <w:iCs w:val="1"/>
          <w:color w:val="auto"/>
        </w:rPr>
        <w:t xml:space="preserve">Preferred Stock </w:t>
      </w:r>
      <w:r>
        <w:rPr>
          <w:rFonts w:ascii="Arial" w:cs="Arial" w:eastAsia="Arial" w:hAnsi="Arial"/>
          <w:sz w:val="18"/>
          <w:szCs w:val="18"/>
          <w:color w:val="auto"/>
        </w:rPr>
        <w:t>— The Company is authorized to issue 1,000,000 shares of preferred stock with a par value of $0.0001 per share with such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designations, voting and other rights and preferences as may be determined from time to time by the Company’s board of directors. As of June 30, 2021 and December 31, 2020, there were no shares of preferred stock issued or outstanding.</w:t>
      </w:r>
    </w:p>
    <w:p>
      <w:pPr>
        <w:spacing w:after="0" w:line="18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b w:val="1"/>
          <w:bCs w:val="1"/>
          <w:i w:val="1"/>
          <w:iCs w:val="1"/>
          <w:color w:val="auto"/>
        </w:rPr>
        <w:t xml:space="preserve">Class A Common Stock </w:t>
      </w:r>
      <w:r>
        <w:rPr>
          <w:rFonts w:ascii="Arial" w:cs="Arial" w:eastAsia="Arial" w:hAnsi="Arial"/>
          <w:sz w:val="18"/>
          <w:szCs w:val="18"/>
          <w:color w:val="auto"/>
        </w:rPr>
        <w:t>— The Company is authorized to issue 380,000,000 shares of Class A common stock with a par value of $0.0001 per share.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Holders of Class A common stock are entitled to one vote for each share. As of June 30, 2021 and December 31, 2020, there were 13,499,217 and 8,953,013 shares of Class A common stock issued or outstanding, excluding 30,775,783 and 35,321,987 shares of Class A common stock subject to possible redemption, respectively.</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929"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CM LIFE SCIENCES,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b w:val="1"/>
          <w:bCs w:val="1"/>
          <w:i w:val="1"/>
          <w:iCs w:val="1"/>
          <w:color w:val="auto"/>
        </w:rPr>
        <w:t xml:space="preserve">Class B Common Stock </w:t>
      </w:r>
      <w:r>
        <w:rPr>
          <w:rFonts w:ascii="Arial" w:cs="Arial" w:eastAsia="Arial" w:hAnsi="Arial"/>
          <w:sz w:val="18"/>
          <w:szCs w:val="18"/>
          <w:color w:val="auto"/>
        </w:rPr>
        <w:t>— The Company is authorized to issue 20,000,000 shares of Class B common stock with a par value of $0.0001 per share.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Holders of Class B common stock are entitled to one vote for each share. As of June 30, 2021 and December 31, 2020, there were 11,068,750 shares of Class B common stock issued and outstanding.</w:t>
      </w:r>
    </w:p>
    <w:p>
      <w:pPr>
        <w:spacing w:after="0" w:line="184"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The shares of Class B common stock will automatically convert into Class A common stock concurrently with or immediately following the consummation of the Business Combination, on a one-for-one basis, subject to adjustment. In the case that additional shares of Class A common stock, or equity-linked securities, are issued or deemed issued in connection with a Business Combination, the number of shares of Class A common stock issuable upon conversion of all Founder Shares will equal, in the aggregate, on an as-converted basis, 20% of the total number of shares of Class A common stock outstanding after such conversion (after giving effect to any redemptions of shares of Class A common stock by public stockholders), including the total number of shares of Class A common stock issued, or deemed issued or issuable upon conversion or exercise of any equity-linked securities or rights issued or deemed issued, by the Company in connection with or in relation to the consummation of a Business Combination (including the forward purchase shares), excluding any shares of Class A common stock or equity-linked securities or rights exercisable for or convertible into shares of Class A common stock issued, or to be issued, to any seller in a Business Combination and any Private Placement Warrants issued to the Sponsor, officers or directors upon conversion of Working Capital Loans, provided that such conversion of Founder Shares will never occur on a less than one-for-one basis.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WARRANTS</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b w:val="1"/>
          <w:bCs w:val="1"/>
          <w:i w:val="1"/>
          <w:iCs w:val="1"/>
          <w:color w:val="auto"/>
        </w:rPr>
        <w:t xml:space="preserve">Warrants </w:t>
      </w:r>
      <w:r>
        <w:rPr>
          <w:rFonts w:ascii="Arial" w:cs="Arial" w:eastAsia="Arial" w:hAnsi="Arial"/>
          <w:sz w:val="18"/>
          <w:szCs w:val="18"/>
          <w:color w:val="auto"/>
        </w:rPr>
        <w:t>— Public Warrants may only be exercised for a whole number of shares. No fractional warrants will be issued upon separation of the Units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only whole warrants will trade. The Public Warrants will become exercisable on the later of (a) 30 days after the completion of a Business Combination and (b) 12 months from the closing of the Initial Public Offering. The Public Warrants will expire five years after the completion of a Business Combination or earlier upon redemption or liquidation.</w:t>
      </w:r>
    </w:p>
    <w:p>
      <w:pPr>
        <w:spacing w:after="0" w:line="18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Company will not be obligated to deliver any shares of Class A common stock pursuant to the exercise of a warrant and will have no obligation to settle such warrant exercise unless a registration statement under the Securities Act with respect to the Class A common stock underlying the warrants is then effective and a prospectus relating thereto is current, subject to the Company satisfying its obligations with respect to registration. No warrant will be exercisable and the Company will not be obligated to issue shares of Class A common stock upon exercise of a warrant unless the share of Class A common stock issuable upon such warrant exercise has been registered, qualified or deemed to be exempt under the securities laws of the state of residence of the registered holder of the warrants.</w:t>
      </w:r>
    </w:p>
    <w:p>
      <w:pPr>
        <w:spacing w:after="0" w:line="192"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The Company has agreed that as soon as practicable, but in no event later than 15 business days, after the closing of a Business Combination, it will use its best efforts to file with the SEC a registration statement for the registration, under the Securities Act, of the Class A common stock issuable upon exercise of the Public Warrants. The Company will use its best efforts to cause the same to become effective and to maintain the effectiveness of such registration statement, and a current prospectus relating thereto, until the expiration of the Public Warrants in accordance with the provisions of the warrant agreement. If a registration statement covering the shares of Class A common stock issuable upon exercise of the warrants is not effective by the sixtieth (60th) business day after the closing of a Business Combination, warrant holders may, until such time as there is an effective registration statement and during any period when the Company will have failed to maintain an effective registration statement, exercise warrants on a “cashless basis” in accordance with Section 3(a)(9) of the Securities Act or another exemption. Notwithstanding the above, if the Class A common stock are, at the time of any exercise of a Public Warrant, not listed on a national securities exchange such that they satisfy the definition of a “covered security” under Section 18(b)(1) of the Securities Act, the Company may, at its option, require holders of Public Warrants who exercise their Public Warrants to do so on a “cashless basis” in accordance with Section 3(a)(9) of the Securities Act and, in the event the Company so elects, the Company will not be required to file or maintain in effect a registration statement, and in the event the Company does not so elect, it will use its best efforts to register or qualify the shares under applicable blue sky laws to the extent an exemption is not available.</w:t>
      </w:r>
    </w:p>
    <w:p>
      <w:pPr>
        <w:spacing w:after="0" w:line="186" w:lineRule="exact"/>
        <w:rPr>
          <w:sz w:val="20"/>
          <w:szCs w:val="20"/>
          <w:color w:val="auto"/>
        </w:rPr>
      </w:pPr>
    </w:p>
    <w:p>
      <w:pPr>
        <w:ind w:left="340"/>
        <w:spacing w:after="0"/>
        <w:rPr>
          <w:sz w:val="20"/>
          <w:szCs w:val="20"/>
          <w:color w:val="auto"/>
        </w:rPr>
      </w:pPr>
      <w:r>
        <w:rPr>
          <w:rFonts w:ascii="Arial" w:cs="Arial" w:eastAsia="Arial" w:hAnsi="Arial"/>
          <w:sz w:val="16"/>
          <w:szCs w:val="16"/>
          <w:i w:val="1"/>
          <w:iCs w:val="1"/>
          <w:color w:val="auto"/>
        </w:rPr>
        <w:t xml:space="preserve">Redemption of Warrants When the Price per Share of Class A Common Stock Equals or Exceeds $18.00 — </w:t>
      </w:r>
      <w:r>
        <w:rPr>
          <w:rFonts w:ascii="Arial" w:cs="Arial" w:eastAsia="Arial" w:hAnsi="Arial"/>
          <w:sz w:val="16"/>
          <w:szCs w:val="16"/>
          <w:color w:val="auto"/>
        </w:rPr>
        <w:t>Once the warrants become exercisable,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Company may redeem the outstanding Public Warrants:</w:t>
      </w:r>
    </w:p>
    <w:p>
      <w:pPr>
        <w:spacing w:after="0" w:line="211"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 whole and not in part;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at a price of $0.01 per Public Warrant;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upon not less than 30 days’ prior written notice of redemption to each warrant holder; and</w:t>
      </w:r>
    </w:p>
    <w:p>
      <w:pPr>
        <w:spacing w:after="0" w:line="225"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if, and only if, the reported last sale price of the Company’s Class A common stock equals or exceeds $18.00 per share (as adjusted for stock splits, stock dividends, reorganizations, recapitalizations and the like) for any 20 trading days within a 30-trading day period ending on the third trading day prior to the date on which the Company sends the notice of redemption to the warrant holders.</w:t>
      </w:r>
    </w:p>
    <w:p>
      <w:pPr>
        <w:spacing w:after="0" w:line="184"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If and when the warrants become redeemable by the Company, the Company may exercise its redemption right even if it is unable to register or qualify the underlying securities for sale under all applicable state securities laws.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145"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CM LIFE SCIENCES,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6"/>
          <w:szCs w:val="16"/>
          <w:i w:val="1"/>
          <w:iCs w:val="1"/>
          <w:color w:val="auto"/>
        </w:rPr>
        <w:t xml:space="preserve">Redemption of Warrants When the Price per Share of Class A Common Stock Equals or Exceeds $10.00 — </w:t>
      </w:r>
      <w:r>
        <w:rPr>
          <w:rFonts w:ascii="Arial" w:cs="Arial" w:eastAsia="Arial" w:hAnsi="Arial"/>
          <w:sz w:val="16"/>
          <w:szCs w:val="16"/>
          <w:color w:val="auto"/>
        </w:rPr>
        <w:t>Once the warrants become exercisable,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Company may redeem the outstanding warrants:</w:t>
      </w:r>
    </w:p>
    <w:p>
      <w:pPr>
        <w:spacing w:after="0" w:line="211"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 whole and not in part;</w:t>
      </w:r>
    </w:p>
    <w:p>
      <w:pPr>
        <w:spacing w:after="0" w:line="225" w:lineRule="exact"/>
        <w:rPr>
          <w:rFonts w:ascii="Arial" w:cs="Arial" w:eastAsia="Arial" w:hAnsi="Arial"/>
          <w:sz w:val="18"/>
          <w:szCs w:val="18"/>
          <w:color w:val="auto"/>
        </w:rPr>
      </w:pPr>
    </w:p>
    <w:p>
      <w:pPr>
        <w:ind w:left="660" w:hanging="328"/>
        <w:spacing w:after="0" w:line="342" w:lineRule="auto"/>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color w:val="auto"/>
        </w:rPr>
        <w:t>at a price of $0.10 per warrant provided that holders will be able to exercise their warrants prior to redemption and receive that number of shares of Class A common stock determined based on the redemption date and the “fair market value” of the Company’s Class A common stock;</w:t>
      </w:r>
    </w:p>
    <w:p>
      <w:pPr>
        <w:spacing w:after="0" w:line="123" w:lineRule="exact"/>
        <w:rPr>
          <w:rFonts w:ascii="Arial" w:cs="Arial" w:eastAsia="Arial" w:hAnsi="Arial"/>
          <w:sz w:val="16"/>
          <w:szCs w:val="16"/>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upon a minimum of 30 days’ prior written notice of redemption;</w:t>
      </w:r>
    </w:p>
    <w:p>
      <w:pPr>
        <w:spacing w:after="0" w:line="225"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if, and only if, the last reported sale price of the Company’s Class A common stock equals or exceeds $10.00 per share (as adjusted for stock splits, stock dividends, reorganizations, recapitalizations and the like) on the trading day prior to the date on which the Company sends the notice of redemption to the warrant holders;</w:t>
      </w:r>
    </w:p>
    <w:p>
      <w:pPr>
        <w:spacing w:after="0" w:line="183" w:lineRule="exact"/>
        <w:rPr>
          <w:rFonts w:ascii="Arial" w:cs="Arial" w:eastAsia="Arial" w:hAnsi="Arial"/>
          <w:sz w:val="18"/>
          <w:szCs w:val="18"/>
          <w:color w:val="auto"/>
        </w:rPr>
      </w:pPr>
    </w:p>
    <w:p>
      <w:pPr>
        <w:ind w:left="660" w:hanging="328"/>
        <w:spacing w:after="0" w:line="342" w:lineRule="auto"/>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color w:val="auto"/>
        </w:rPr>
        <w:t>if, and only if, there is an effective registration statement covering the issuance of the shares of Class A common stock issuable upon exercise of the warrants and a current prospectus relating thereto is available throughout the 30-day period after the written notice of redemption is given.</w:t>
      </w:r>
    </w:p>
    <w:p>
      <w:pPr>
        <w:spacing w:after="0" w:line="124"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In addition, if (x) the Company issues additional shares of Class A common stock or equity-linked securities for capital raising purposes in connection with the closing of a Business Combination at an issue price or effective issue price of less than $9.20 per share of Class A common stock (with such issue price or effective issue price to be determined in good faith by the Company’s board of directors, and, in the case of any such issuance to the Sponsor or its affiliates, without taking into account any Founder Shares held by the Sponsor or its affiliates, as applicable, prior to such issuance) (the “Newly Issued Price”), (y) the aggregate gross proceeds from such issuances represent more than 60% of the total equity proceeds, and interest thereon, available for the funding of a Business Combination on the date of the completion of a Business Combination (net of redemptions), and (z) the volume weighted average trading price of the Company’s Class A common stock during the 20 trading day period starting on the trading day after the day on which the Company completes a Business Combination (such price, the “Market Value”) is below $9.20 per share, the exercise price of the warrants will be adjusted (to the nearest cent) to be equal to 115% of the higher of the Market Value and the Newly Issued Price, the $18.00 per share redemption trigger price will be adjusted (to the nearest cent) to be equal to 180% of the higher of the Market Value and the Newly Issued Price, and the $10.00 per share redemption trigger price will be adjusted (to the nearest cent) to be equal to the higher of the Market Value and the Newly Issued Price.</w:t>
      </w:r>
    </w:p>
    <w:p>
      <w:pPr>
        <w:spacing w:after="0" w:line="172"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The Private Placement Warrants are identical to the Public Warrants underlying the Units sold in the Initial Public Offering, except that (1) the Private Placement Warrants and the Class A common stock issuable upon the exercise of the Private Placement Warrants will not be transferable, assignable or saleable until 30 days after the completion of a Business Combination, subject to certain limited exceptions, (2) the Private Placement Warrants will be exercisable on a cashless basis, (3) the Private Placement Warrants will be non-redeemable (except as described above in “Redemption of Warrants When the Price per Share of Class A Common Stock Equals or Exceeds $10.00”) so long as they are held by the initial purchasers or their permitted transferees, and (4) the holders of the Private Placement Warrants and the Class A common stock issuable upon the exercise of the Private Placement Warrants will have certain registration rights. If the Private Placement Warrants are held by someone other than the initial purchasers or their permitted transferees, the Private Placement Warrants will be redeemable by the Company and exercisable by such holders on the same basis as the Public Warrants.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FAIR VALUE MEASUREMENTS</w:t>
      </w:r>
    </w:p>
    <w:p>
      <w:pPr>
        <w:spacing w:after="0" w:line="22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fair value of the Company’s financial assets and liabilities reflects management’s estimate of amounts that the Company would have received in connection with the sale of the assets or paid in connection with the transfer of the liabilities in an orderly transaction between market participants at the measurement date. In connection with measuring the fair value of its assets and liabilities, the Company seeks to maximize the use of observable inputs (market data obtained from independent sources) and to minimize the use of unobservable inputs (internal assumptions about how market participants would price assets and liabilities). The following fair value hierarchy is used to classify assets and liabilities based on the observable inputs and unobservable inputs used in order to value the assets and liabilities:</w:t>
      </w:r>
    </w:p>
    <w:p>
      <w:pPr>
        <w:spacing w:after="0" w:line="192" w:lineRule="exact"/>
        <w:rPr>
          <w:sz w:val="20"/>
          <w:szCs w:val="20"/>
          <w:color w:val="auto"/>
        </w:rPr>
      </w:pPr>
    </w:p>
    <w:p>
      <w:pPr>
        <w:ind w:left="980" w:hanging="593"/>
        <w:spacing w:after="0" w:line="308" w:lineRule="auto"/>
        <w:rPr>
          <w:sz w:val="20"/>
          <w:szCs w:val="20"/>
          <w:color w:val="auto"/>
        </w:rPr>
      </w:pPr>
      <w:r>
        <w:rPr>
          <w:rFonts w:ascii="Arial" w:cs="Arial" w:eastAsia="Arial" w:hAnsi="Arial"/>
          <w:sz w:val="17"/>
          <w:szCs w:val="17"/>
          <w:color w:val="auto"/>
        </w:rPr>
        <w:t>Level 1:Quoted prices in active markets for identical assets or liabilities. An active market for an asset or liability is a market in which transactions for the asset or liability occur with sufficient frequency and volume to provide pricing information on an ongoing basis.</w:t>
      </w:r>
    </w:p>
    <w:p>
      <w:pPr>
        <w:spacing w:after="0" w:line="146" w:lineRule="exact"/>
        <w:rPr>
          <w:sz w:val="20"/>
          <w:szCs w:val="20"/>
          <w:color w:val="auto"/>
        </w:rPr>
      </w:pPr>
    </w:p>
    <w:p>
      <w:pPr>
        <w:ind w:left="980" w:right="20" w:hanging="647"/>
        <w:spacing w:after="0" w:line="277" w:lineRule="auto"/>
        <w:rPr>
          <w:sz w:val="20"/>
          <w:szCs w:val="20"/>
          <w:color w:val="auto"/>
        </w:rPr>
      </w:pPr>
      <w:r>
        <w:rPr>
          <w:rFonts w:ascii="Arial" w:cs="Arial" w:eastAsia="Arial" w:hAnsi="Arial"/>
          <w:sz w:val="18"/>
          <w:szCs w:val="18"/>
          <w:color w:val="auto"/>
        </w:rPr>
        <w:t>Level 2: Observable inputs other than Level 1 inputs. Examples of Level 2 inputs include quoted prices in active markets for similar assets or liabilities and quoted prices for identical assets or liabilities in markets that are not active.</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7"/>
          <w:szCs w:val="17"/>
          <w:color w:val="auto"/>
        </w:rPr>
        <w:t>Level 3: Unobservable inputs based on our assessment of the assumptions that market participants would use in pricing the asset or liability.</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CM LIFE SCIENCES,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At June 30, 2021 and December 31, 2020, assets held in the Trust Account were comprised of $442,785,910 and $442,763,951 in money market funds which are invested primarily in U.S. Treasury Securities, respectively. During the three and six months ended June 30, 2021 and the year ended December 31, 2020, the Company did not withdraw any interest income from the Trust Account.</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presents information about the Company’s assets that are measured at fair value on a recurring basis at June 30, 2021 and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2020 and indicates the fair value hierarchy of the valuation inputs the Company utilized to determine such fair value:</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June 30,</w:t>
            </w:r>
          </w:p>
        </w:tc>
        <w:tc>
          <w:tcPr>
            <w:tcW w:w="1220" w:type="dxa"/>
            <w:vAlign w:val="bottom"/>
            <w:gridSpan w:val="2"/>
          </w:tcPr>
          <w:p>
            <w:pPr>
              <w:ind w:left="20"/>
              <w:spacing w:after="0"/>
              <w:rPr>
                <w:sz w:val="20"/>
                <w:szCs w:val="20"/>
                <w:color w:val="auto"/>
              </w:rPr>
            </w:pPr>
            <w:r>
              <w:rPr>
                <w:rFonts w:ascii="Arial" w:cs="Arial" w:eastAsia="Arial" w:hAnsi="Arial"/>
                <w:sz w:val="18"/>
                <w:szCs w:val="18"/>
                <w:b w:val="1"/>
                <w:bCs w:val="1"/>
                <w:color w:val="auto"/>
              </w:rPr>
              <w:t>December 31,</w:t>
            </w:r>
          </w:p>
        </w:tc>
      </w:tr>
      <w:tr>
        <w:trPr>
          <w:trHeight w:val="241"/>
        </w:trPr>
        <w:tc>
          <w:tcPr>
            <w:tcW w:w="7320" w:type="dxa"/>
            <w:vAlign w:val="bottom"/>
            <w:gridSpan w:val="2"/>
          </w:tcPr>
          <w:p>
            <w:pPr>
              <w:spacing w:after="0"/>
              <w:rPr>
                <w:sz w:val="20"/>
                <w:szCs w:val="20"/>
                <w:color w:val="auto"/>
              </w:rPr>
            </w:pPr>
            <w:r>
              <w:rPr>
                <w:rFonts w:ascii="Arial" w:cs="Arial" w:eastAsia="Arial" w:hAnsi="Arial"/>
                <w:sz w:val="18"/>
                <w:szCs w:val="18"/>
                <w:b w:val="1"/>
                <w:bCs w:val="1"/>
                <w:color w:val="auto"/>
              </w:rPr>
              <w:t>Description</w:t>
            </w: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91"/>
              </w:rPr>
              <w:t>Level</w:t>
            </w:r>
          </w:p>
        </w:tc>
        <w:tc>
          <w:tcPr>
            <w:tcW w:w="1240" w:type="dxa"/>
            <w:vAlign w:val="bottom"/>
            <w:gridSpan w:val="2"/>
          </w:tcPr>
          <w:p>
            <w:pPr>
              <w:jc w:val="center"/>
              <w:ind w:left="110"/>
              <w:spacing w:after="0"/>
              <w:rPr>
                <w:sz w:val="20"/>
                <w:szCs w:val="20"/>
                <w:color w:val="auto"/>
              </w:rPr>
            </w:pPr>
            <w:r>
              <w:rPr>
                <w:rFonts w:ascii="Arial" w:cs="Arial" w:eastAsia="Arial" w:hAnsi="Arial"/>
                <w:sz w:val="18"/>
                <w:szCs w:val="18"/>
                <w:b w:val="1"/>
                <w:bCs w:val="1"/>
                <w:color w:val="auto"/>
                <w:w w:val="89"/>
              </w:rPr>
              <w:t>2021</w:t>
            </w:r>
          </w:p>
        </w:tc>
        <w:tc>
          <w:tcPr>
            <w:tcW w:w="220" w:type="dxa"/>
            <w:vAlign w:val="bottom"/>
          </w:tcPr>
          <w:p>
            <w:pPr>
              <w:spacing w:after="0"/>
              <w:rPr>
                <w:sz w:val="20"/>
                <w:szCs w:val="20"/>
                <w:color w:val="auto"/>
              </w:rPr>
            </w:pPr>
          </w:p>
        </w:tc>
        <w:tc>
          <w:tcPr>
            <w:tcW w:w="1120" w:type="dxa"/>
            <w:vAlign w:val="bottom"/>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r>
      <w:tr>
        <w:trPr>
          <w:trHeight w:val="216"/>
        </w:trPr>
        <w:tc>
          <w:tcPr>
            <w:tcW w:w="72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Assets:</w:t>
            </w:r>
          </w:p>
        </w:tc>
        <w:tc>
          <w:tcPr>
            <w:tcW w:w="12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Investments held in Trust Account – U.S. Treasury Securities Money Market Fund</w:t>
            </w:r>
          </w:p>
        </w:tc>
        <w:tc>
          <w:tcPr>
            <w:tcW w:w="124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1</w:t>
            </w:r>
          </w:p>
        </w:tc>
        <w:tc>
          <w:tcPr>
            <w:tcW w:w="1460" w:type="dxa"/>
            <w:vAlign w:val="bottom"/>
            <w:gridSpan w:val="3"/>
            <w:shd w:val="clear" w:color="auto" w:fill="CCEEFF"/>
          </w:tcPr>
          <w:p>
            <w:pPr>
              <w:jc w:val="center"/>
              <w:ind w:right="100"/>
              <w:spacing w:after="0"/>
              <w:rPr>
                <w:sz w:val="20"/>
                <w:szCs w:val="20"/>
                <w:color w:val="auto"/>
              </w:rPr>
            </w:pPr>
            <w:r>
              <w:rPr>
                <w:rFonts w:ascii="Arial" w:cs="Arial" w:eastAsia="Arial" w:hAnsi="Arial"/>
                <w:sz w:val="18"/>
                <w:szCs w:val="18"/>
                <w:color w:val="auto"/>
                <w:w w:val="93"/>
              </w:rPr>
              <w:t>$  442,785,910</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1"/>
              </w:rPr>
              <w:t>$  442,763,951</w:t>
            </w: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presents information about the Company’s liabilities that are measured at fair value on a recurring basis at June 30, 2021 and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2020 and indicates the fair value hierarchy of the valuation inputs the Company utilized to determine such fair value:</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8"/>
              </w:rPr>
              <w:t>June 30,</w:t>
            </w:r>
          </w:p>
        </w:tc>
        <w:tc>
          <w:tcPr>
            <w:tcW w:w="1220" w:type="dxa"/>
            <w:vAlign w:val="bottom"/>
            <w:gridSpan w:val="3"/>
          </w:tcPr>
          <w:p>
            <w:pPr>
              <w:ind w:left="40"/>
              <w:spacing w:after="0"/>
              <w:rPr>
                <w:sz w:val="20"/>
                <w:szCs w:val="20"/>
                <w:color w:val="auto"/>
              </w:rPr>
            </w:pPr>
            <w:r>
              <w:rPr>
                <w:rFonts w:ascii="Arial" w:cs="Arial" w:eastAsia="Arial" w:hAnsi="Arial"/>
                <w:sz w:val="18"/>
                <w:szCs w:val="18"/>
                <w:b w:val="1"/>
                <w:bCs w:val="1"/>
                <w:color w:val="auto"/>
                <w:w w:val="99"/>
              </w:rPr>
              <w:t>December 31,</w:t>
            </w:r>
          </w:p>
        </w:tc>
      </w:tr>
      <w:tr>
        <w:trPr>
          <w:trHeight w:val="241"/>
        </w:trPr>
        <w:tc>
          <w:tcPr>
            <w:tcW w:w="7320" w:type="dxa"/>
            <w:vAlign w:val="bottom"/>
            <w:gridSpan w:val="2"/>
          </w:tcPr>
          <w:p>
            <w:pPr>
              <w:spacing w:after="0"/>
              <w:rPr>
                <w:sz w:val="20"/>
                <w:szCs w:val="20"/>
                <w:color w:val="auto"/>
              </w:rPr>
            </w:pPr>
            <w:r>
              <w:rPr>
                <w:rFonts w:ascii="Arial" w:cs="Arial" w:eastAsia="Arial" w:hAnsi="Arial"/>
                <w:sz w:val="18"/>
                <w:szCs w:val="18"/>
                <w:b w:val="1"/>
                <w:bCs w:val="1"/>
                <w:color w:val="auto"/>
              </w:rPr>
              <w:t>Description</w:t>
            </w: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91"/>
              </w:rPr>
              <w:t>Level</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r>
      <w:tr>
        <w:trPr>
          <w:trHeight w:val="216"/>
        </w:trPr>
        <w:tc>
          <w:tcPr>
            <w:tcW w:w="72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Liabilities:</w:t>
            </w:r>
          </w:p>
        </w:tc>
        <w:tc>
          <w:tcPr>
            <w:tcW w:w="12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Warrant Liability – Public Warrants</w:t>
            </w: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67,888,332</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40,290,250</w:t>
            </w:r>
          </w:p>
        </w:tc>
      </w:tr>
      <w:tr>
        <w:trPr>
          <w:trHeight w:val="230"/>
        </w:trPr>
        <w:tc>
          <w:tcPr>
            <w:tcW w:w="7320" w:type="dxa"/>
            <w:vAlign w:val="bottom"/>
            <w:gridSpan w:val="2"/>
          </w:tcPr>
          <w:p>
            <w:pPr>
              <w:ind w:left="180"/>
              <w:spacing w:after="0"/>
              <w:rPr>
                <w:sz w:val="20"/>
                <w:szCs w:val="20"/>
                <w:color w:val="auto"/>
              </w:rPr>
            </w:pPr>
            <w:r>
              <w:rPr>
                <w:rFonts w:ascii="Arial" w:cs="Arial" w:eastAsia="Arial" w:hAnsi="Arial"/>
                <w:sz w:val="18"/>
                <w:szCs w:val="18"/>
                <w:color w:val="auto"/>
              </w:rPr>
              <w:t>Warrant Liability – Private Placement Warrants</w:t>
            </w:r>
          </w:p>
        </w:tc>
        <w:tc>
          <w:tcPr>
            <w:tcW w:w="1240" w:type="dxa"/>
            <w:vAlign w:val="bottom"/>
          </w:tcPr>
          <w:p>
            <w:pPr>
              <w:jc w:val="center"/>
              <w:spacing w:after="0"/>
              <w:rPr>
                <w:sz w:val="20"/>
                <w:szCs w:val="20"/>
                <w:color w:val="auto"/>
              </w:rPr>
            </w:pPr>
            <w:r>
              <w:rPr>
                <w:rFonts w:ascii="Arial" w:cs="Arial" w:eastAsia="Arial" w:hAnsi="Arial"/>
                <w:sz w:val="18"/>
                <w:szCs w:val="18"/>
                <w:color w:val="auto"/>
                <w:w w:val="99"/>
              </w:rPr>
              <w:t>3</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44,794,968</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30,032,168</w:t>
            </w:r>
          </w:p>
        </w:tc>
      </w:tr>
    </w:tbl>
    <w:p>
      <w:pPr>
        <w:spacing w:after="0" w:line="18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Warrants were accounted for as liabilities in accordance with ASC 815-40 and are presented within warrant liabilities on the accompanying condensed balance sheets. The warrant liabilities are measured at fair value at inception and on a recurring basis, with changes in fair value presented within the change in fair value of warrant liabilities in the condensed statements of operations. There were no transfers between levels for the three and six months ended June 30, 2021.</w:t>
      </w:r>
    </w:p>
    <w:p>
      <w:pPr>
        <w:spacing w:after="0" w:line="18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Level 3 financial liabilities consist of the Private Placement Warrant liability for which there is no current market for these securities such that the determination of fair value requires significant judgment or estimation. Changes in fair value measurements categorized within Level 3 of the fair value hierarchy are analyzed each period based on changes in estimates or assumptions and recorded as appropriate.</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fair value of the Private Placement Warrants was estimated at June 30, 2021 and December 31, 2020 to be $6.19 and $4.24, respectively, using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Monte Carlo simulation and the following assumptions: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w w:val="94"/>
              </w:rPr>
              <w:t>June 30,</w:t>
            </w:r>
          </w:p>
        </w:tc>
        <w:tc>
          <w:tcPr>
            <w:tcW w:w="1260" w:type="dxa"/>
            <w:vAlign w:val="bottom"/>
            <w:gridSpan w:val="3"/>
          </w:tcPr>
          <w:p>
            <w:pPr>
              <w:ind w:left="20"/>
              <w:spacing w:after="0"/>
              <w:rPr>
                <w:sz w:val="20"/>
                <w:szCs w:val="20"/>
                <w:color w:val="auto"/>
              </w:rPr>
            </w:pPr>
            <w:r>
              <w:rPr>
                <w:rFonts w:ascii="Arial" w:cs="Arial" w:eastAsia="Arial" w:hAnsi="Arial"/>
                <w:sz w:val="18"/>
                <w:szCs w:val="18"/>
                <w:b w:val="1"/>
                <w:bCs w:val="1"/>
                <w:color w:val="auto"/>
              </w:rPr>
              <w:t>December 31,</w:t>
            </w:r>
          </w:p>
        </w:tc>
      </w:tr>
      <w:tr>
        <w:trPr>
          <w:trHeight w:val="241"/>
        </w:trPr>
        <w:tc>
          <w:tcPr>
            <w:tcW w:w="86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8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60" w:type="dxa"/>
            <w:vAlign w:val="bottom"/>
            <w:tcBorders>
              <w:bottom w:val="single" w:sz="8" w:color="CCEEFF"/>
            </w:tcBorders>
          </w:tcPr>
          <w:p>
            <w:pPr>
              <w:spacing w:after="0"/>
              <w:rPr>
                <w:sz w:val="20"/>
                <w:szCs w:val="20"/>
                <w:color w:val="auto"/>
              </w:rPr>
            </w:pPr>
          </w:p>
        </w:tc>
      </w:tr>
      <w:tr>
        <w:trPr>
          <w:trHeight w:val="216"/>
        </w:trPr>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Stock Price</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14.01</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11.04</w:t>
            </w:r>
          </w:p>
        </w:tc>
        <w:tc>
          <w:tcPr>
            <w:tcW w:w="160" w:type="dxa"/>
            <w:vAlign w:val="bottom"/>
            <w:shd w:val="clear" w:color="auto" w:fill="CCEEFF"/>
          </w:tcPr>
          <w:p>
            <w:pPr>
              <w:spacing w:after="0"/>
              <w:rPr>
                <w:sz w:val="18"/>
                <w:szCs w:val="18"/>
                <w:color w:val="auto"/>
              </w:rPr>
            </w:pPr>
          </w:p>
        </w:tc>
      </w:tr>
      <w:tr>
        <w:trPr>
          <w:trHeight w:val="216"/>
        </w:trPr>
        <w:tc>
          <w:tcPr>
            <w:tcW w:w="8600" w:type="dxa"/>
            <w:vAlign w:val="bottom"/>
          </w:tcPr>
          <w:p>
            <w:pPr>
              <w:spacing w:after="0"/>
              <w:rPr>
                <w:sz w:val="20"/>
                <w:szCs w:val="20"/>
                <w:color w:val="auto"/>
              </w:rPr>
            </w:pPr>
            <w:r>
              <w:rPr>
                <w:rFonts w:ascii="Arial" w:cs="Arial" w:eastAsia="Arial" w:hAnsi="Arial"/>
                <w:sz w:val="18"/>
                <w:szCs w:val="18"/>
                <w:color w:val="auto"/>
              </w:rPr>
              <w:t>Expected volatility</w:t>
            </w:r>
          </w:p>
        </w:tc>
        <w:tc>
          <w:tcPr>
            <w:tcW w:w="16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42.1%</w:t>
            </w:r>
          </w:p>
        </w:tc>
        <w:tc>
          <w:tcPr>
            <w:tcW w:w="22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42.8%</w:t>
            </w:r>
          </w:p>
        </w:tc>
      </w:tr>
      <w:tr>
        <w:trPr>
          <w:trHeight w:val="216"/>
        </w:trPr>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0.88%</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0.42%</w:t>
            </w:r>
          </w:p>
        </w:tc>
      </w:tr>
      <w:tr>
        <w:trPr>
          <w:trHeight w:val="216"/>
        </w:trPr>
        <w:tc>
          <w:tcPr>
            <w:tcW w:w="8600" w:type="dxa"/>
            <w:vAlign w:val="bottom"/>
          </w:tcPr>
          <w:p>
            <w:pPr>
              <w:spacing w:after="0"/>
              <w:rPr>
                <w:sz w:val="20"/>
                <w:szCs w:val="20"/>
                <w:color w:val="auto"/>
              </w:rPr>
            </w:pPr>
            <w:r>
              <w:rPr>
                <w:rFonts w:ascii="Arial" w:cs="Arial" w:eastAsia="Arial" w:hAnsi="Arial"/>
                <w:sz w:val="18"/>
                <w:szCs w:val="18"/>
                <w:color w:val="auto"/>
              </w:rPr>
              <w:t>Remaining term</w:t>
            </w:r>
          </w:p>
        </w:tc>
        <w:tc>
          <w:tcPr>
            <w:tcW w:w="16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5.06</w:t>
            </w:r>
          </w:p>
        </w:tc>
        <w:tc>
          <w:tcPr>
            <w:tcW w:w="22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5.42</w:t>
            </w:r>
          </w:p>
        </w:tc>
      </w:tr>
      <w:tr>
        <w:trPr>
          <w:trHeight w:val="216"/>
        </w:trPr>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Exercise Price</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11.50</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11.50</w:t>
            </w:r>
          </w:p>
        </w:tc>
      </w:tr>
    </w:tbl>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320" w:type="dxa"/>
            <w:vAlign w:val="bottom"/>
          </w:tcPr>
          <w:p>
            <w:pPr>
              <w:ind w:left="260"/>
              <w:spacing w:after="0"/>
              <w:rPr>
                <w:sz w:val="20"/>
                <w:szCs w:val="20"/>
                <w:color w:val="auto"/>
              </w:rPr>
            </w:pPr>
            <w:r>
              <w:rPr>
                <w:rFonts w:ascii="Arial" w:cs="Arial" w:eastAsia="Arial" w:hAnsi="Arial"/>
                <w:sz w:val="18"/>
                <w:szCs w:val="18"/>
                <w:color w:val="auto"/>
              </w:rPr>
              <w:t>The following table presents the changes in the fair value of warrant liabilities:</w:t>
            </w: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7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3"/>
              </w:rPr>
              <w:t>Private</w:t>
            </w: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9"/>
              </w:rPr>
              <w:t>Warrant</w:t>
            </w:r>
          </w:p>
        </w:tc>
        <w:tc>
          <w:tcPr>
            <w:tcW w:w="0" w:type="dxa"/>
            <w:vAlign w:val="bottom"/>
          </w:tcPr>
          <w:p>
            <w:pPr>
              <w:spacing w:after="0"/>
              <w:rPr>
                <w:sz w:val="1"/>
                <w:szCs w:val="1"/>
                <w:color w:val="auto"/>
              </w:rPr>
            </w:pPr>
          </w:p>
        </w:tc>
      </w:tr>
      <w:tr>
        <w:trPr>
          <w:trHeight w:val="241"/>
        </w:trPr>
        <w:tc>
          <w:tcPr>
            <w:tcW w:w="7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8"/>
              </w:rPr>
              <w:t>Placement</w:t>
            </w:r>
          </w:p>
        </w:tc>
        <w:tc>
          <w:tcPr>
            <w:tcW w:w="200" w:type="dxa"/>
            <w:vAlign w:val="bottom"/>
          </w:tcPr>
          <w:p>
            <w:pPr>
              <w:spacing w:after="0"/>
              <w:rPr>
                <w:sz w:val="20"/>
                <w:szCs w:val="20"/>
                <w:color w:val="auto"/>
              </w:rPr>
            </w:pPr>
          </w:p>
        </w:tc>
        <w:tc>
          <w:tcPr>
            <w:tcW w:w="1120" w:type="dxa"/>
            <w:vAlign w:val="bottom"/>
            <w:gridSpan w:val="2"/>
          </w:tcPr>
          <w:p>
            <w:pPr>
              <w:ind w:left="120"/>
              <w:spacing w:after="0"/>
              <w:rPr>
                <w:sz w:val="20"/>
                <w:szCs w:val="20"/>
                <w:color w:val="auto"/>
              </w:rPr>
            </w:pPr>
            <w:r>
              <w:rPr>
                <w:rFonts w:ascii="Arial" w:cs="Arial" w:eastAsia="Arial" w:hAnsi="Arial"/>
                <w:sz w:val="18"/>
                <w:szCs w:val="18"/>
                <w:b w:val="1"/>
                <w:bCs w:val="1"/>
                <w:color w:val="auto"/>
              </w:rPr>
              <w:t>Public</w:t>
            </w:r>
          </w:p>
        </w:tc>
        <w:tc>
          <w:tcPr>
            <w:tcW w:w="140" w:type="dxa"/>
            <w:vAlign w:val="bottom"/>
          </w:tcPr>
          <w:p>
            <w:pPr>
              <w:spacing w:after="0"/>
              <w:rPr>
                <w:sz w:val="20"/>
                <w:szCs w:val="20"/>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Liabilities</w:t>
            </w:r>
          </w:p>
        </w:tc>
        <w:tc>
          <w:tcPr>
            <w:tcW w:w="0" w:type="dxa"/>
            <w:vAlign w:val="bottom"/>
          </w:tcPr>
          <w:p>
            <w:pPr>
              <w:spacing w:after="0"/>
              <w:rPr>
                <w:sz w:val="1"/>
                <w:szCs w:val="1"/>
                <w:color w:val="auto"/>
              </w:rPr>
            </w:pPr>
          </w:p>
        </w:tc>
      </w:tr>
      <w:tr>
        <w:trPr>
          <w:trHeight w:val="216"/>
        </w:trPr>
        <w:tc>
          <w:tcPr>
            <w:tcW w:w="7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Fair value as of January 1, 2021</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30,032,168</w:t>
            </w:r>
          </w:p>
        </w:tc>
        <w:tc>
          <w:tcPr>
            <w:tcW w:w="2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w w:val="86"/>
              </w:rPr>
              <w:t>40,290,250</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70,322,418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320" w:type="dxa"/>
            <w:vAlign w:val="bottom"/>
          </w:tcPr>
          <w:p>
            <w:pPr>
              <w:spacing w:after="0"/>
              <w:rPr>
                <w:sz w:val="20"/>
                <w:szCs w:val="20"/>
                <w:color w:val="auto"/>
              </w:rPr>
            </w:pPr>
            <w:r>
              <w:rPr>
                <w:rFonts w:ascii="Arial" w:cs="Arial" w:eastAsia="Arial" w:hAnsi="Arial"/>
                <w:sz w:val="18"/>
                <w:szCs w:val="18"/>
                <w:color w:val="auto"/>
              </w:rPr>
              <w:t>Change in valuation inputs or other assumptions</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14,762,800</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gridSpan w:val="2"/>
          </w:tcPr>
          <w:p>
            <w:pPr>
              <w:ind w:left="100"/>
              <w:spacing w:after="0"/>
              <w:rPr>
                <w:sz w:val="20"/>
                <w:szCs w:val="20"/>
                <w:color w:val="auto"/>
              </w:rPr>
            </w:pPr>
            <w:r>
              <w:rPr>
                <w:rFonts w:ascii="Arial" w:cs="Arial" w:eastAsia="Arial" w:hAnsi="Arial"/>
                <w:sz w:val="18"/>
                <w:szCs w:val="18"/>
                <w:color w:val="auto"/>
              </w:rPr>
              <w:t>27,598,082</w:t>
            </w:r>
          </w:p>
        </w:tc>
        <w:tc>
          <w:tcPr>
            <w:tcW w:w="14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42,360,882</w:t>
            </w:r>
          </w:p>
        </w:tc>
        <w:tc>
          <w:tcPr>
            <w:tcW w:w="0" w:type="dxa"/>
            <w:vAlign w:val="bottom"/>
          </w:tcPr>
          <w:p>
            <w:pPr>
              <w:spacing w:after="0"/>
              <w:rPr>
                <w:sz w:val="1"/>
                <w:szCs w:val="1"/>
                <w:color w:val="auto"/>
              </w:rPr>
            </w:pPr>
          </w:p>
        </w:tc>
      </w:tr>
      <w:tr>
        <w:trPr>
          <w:trHeight w:val="27"/>
        </w:trPr>
        <w:tc>
          <w:tcPr>
            <w:tcW w:w="732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Fair value as of June 30, 2021</w:t>
            </w: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320" w:type="dxa"/>
            <w:vAlign w:val="bottom"/>
            <w:vMerge w:val="continue"/>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44,794,968</w:t>
            </w:r>
          </w:p>
        </w:tc>
        <w:tc>
          <w:tcPr>
            <w:tcW w:w="24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67,888,332</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112,683,300</w:t>
            </w:r>
          </w:p>
        </w:tc>
        <w:tc>
          <w:tcPr>
            <w:tcW w:w="0" w:type="dxa"/>
            <w:vAlign w:val="bottom"/>
          </w:tcPr>
          <w:p>
            <w:pPr>
              <w:spacing w:after="0"/>
              <w:rPr>
                <w:sz w:val="1"/>
                <w:szCs w:val="1"/>
                <w:color w:val="auto"/>
              </w:rPr>
            </w:pPr>
          </w:p>
        </w:tc>
      </w:tr>
      <w:tr>
        <w:trPr>
          <w:trHeight w:val="20"/>
        </w:trPr>
        <w:tc>
          <w:tcPr>
            <w:tcW w:w="73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260"/>
        <w:spacing w:after="0"/>
        <w:rPr>
          <w:sz w:val="20"/>
          <w:szCs w:val="20"/>
          <w:color w:val="auto"/>
        </w:rPr>
      </w:pPr>
      <w:r>
        <w:rPr>
          <w:rFonts w:ascii="Arial" w:cs="Arial" w:eastAsia="Arial" w:hAnsi="Arial"/>
          <w:sz w:val="17"/>
          <w:szCs w:val="17"/>
          <w:color w:val="auto"/>
        </w:rPr>
        <w:t>There were no transfers in or out of Level 3 from other levels in the fair value hierarchy during the three and six months ended June 30, 2021.</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SUBSEQUENT EVENTS</w:t>
      </w:r>
    </w:p>
    <w:p>
      <w:pPr>
        <w:spacing w:after="0" w:line="22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Company evaluated subsequent events and transactions that occurred after the balance sheet date up to the date that the condensed financial statements were issued. Based upon this review, the Company did not identify any subsequent events that would have required adjustment or disclosure in the condensed financial statements.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References in this report (the “Quarterly Report”) to “we,” “us” or the “Company” refer to CM Life Sciences, Inc. References to our “management” or our “management team” refer to our officers and directors and references to the “Sponsor” refer to CMLS Holdings LLC. The following discussion and analysis of the Company’s financial condition and results of operations should be read in conjunction with the condensed financial statements and the notes thereto contained elsewhere in this Quarterly Report (the “Financial Statements”). Capitalized terms used but not otherwise defined herein have the meaning set forth in the Financial Statements. Certain information contained in the discussion and analysis set forth below includes forward-looking statements that involve risks and uncertainties.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This Quarterly Report includes “forward-looking statements” within the meaning of Section 27A of the Securities Act and Section 21E of the Exchange Act that are not historical facts and involve risks and uncertainties that could cause actual results to differ materially from those expected and projected. All statements, other than statements of historical fact included in this Quarterly Report including, without limitation, statements in this “Management’s Discussion and Analysis of Financial Condition and Results of Operations” regarding the Company’s financial position, business strategy and the plans and objectives of management for future operations, are forward-looking statements. Words such as “expect,” “believe,” “anticipate,” “intend,” “estimate,” “seek” and variations and similar words and expressions are intended to identify such forward-looking statements. Such forward-looking statements relate to future events or future performance, but reflect management’s current beliefs, based on information currently available. A number of factors could cause actual events, performance or results to differ materially from the events, performance and results discussed in the forward-looking statements. For information identifying important factors that could cause actual results to differ materially from those anticipated in the forward-looking statements, please refer to the Risk Factors section of the Company’s Annual Report on Form 10-K/A filed with the SEC on May 5, 2021. The Company’s securities filings can be accessed on the EDGAR section of the SEC’s website at www.sec.gov. Except as expressly required by applicable securities law, the Company disclaims any intention or obligation to update or revise any forward-looking statements whether as a result of new information, future events or otherwise.</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are a blank check company incorporated on July 10, 2020 as a Delaware corporation and formed for the purpose of effecting a merger, capital stock exchange, asset acquisition, stock purchase, reorganization or similar Business Combination with one or more target businesses. We intend to effectuate our Business Combination using cash from the proceeds of our Initial Public Offering, the sale of the Private Placement Warrants that occurred simultaneously with the completion of our Initial Public Offering and the sale of the Forward Purchase Units, shares issued to the owners of the target, debt issued to bank or other lenders or the owners of the target, or a combination of the foregoing.</w:t>
      </w:r>
    </w:p>
    <w:p>
      <w:pPr>
        <w:spacing w:after="0" w:line="1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expect to continue to incur significant costs in the pursuit of our acquisition plans. We cannot assure you that our plans to complete a Business Combination will be successful.</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We have neither engaged in any operations nor generated any revenues to date. Our only activities through June 30, 2021 were organizational activities, the consummation of the Initial Public Offering, described below, and seeking to identify a target company for our initial Business Combination. We do not expect to generate any operating revenues until after the completion of our initial Business Combination. We generate non-operating income in the form of interest income on marketable securities held in the Trust Account. We will incur expenses as a result of being a public company (for legal, financial reporting, accounting and auditing compliance), as well as for due diligence expenses in connection with completing our initial Business Combination.</w:t>
      </w:r>
    </w:p>
    <w:p>
      <w:pPr>
        <w:spacing w:after="0" w:line="16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For the three months ended June 30, 2021, we had a net income of $13,009,880, which consists of change in the value of the warrant liability of $14,276,800 and an interest income on marketable securities held in the Trust Account of $11,040, offset by operating costs of $1,277,960.</w:t>
      </w:r>
    </w:p>
    <w:p>
      <w:pPr>
        <w:spacing w:after="0" w:line="14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six months ended June 30, 2021, we had a net loss of $45,462,043, which consists of operating costs of $3,123,120 and a change in the value of the warrant liability of 42,360,882, offset by interest income on marketable securities held in the Trust Account of $21,959.</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September 4, 2020, we consummated the Initial Public Offering of 44,275,000 Units, which included the full exercise by the underwriters of the over-allotment option to purchase an additional 5,775,000 Units, at $10.00 per Unit, generating gross proceeds of $442,750,000. Simultaneously with the closing of the Initial Public Offering, we consummated the sale of 7,236,667 Private Placement Warrants to our Sponsor at a price of $1.50 per warrant, generating gross proceeds of $10,855,000.</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Following the Initial Public Offering, the exercise of the over-allotment option and the sale of the Private Placement Warrants, a total of $442,750,000 was placed in the Trust Account. We incurred $24,895,463 in transaction costs, including $8,855,000 of underwriting fees, $15,496,250 of deferred underwriting fees and $544,213 of other offering costs.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9" w:name="page20"/>
    <w:bookmarkEnd w:id="19"/>
    <w:p>
      <w:pPr>
        <w:jc w:val="both"/>
        <w:spacing w:after="0" w:line="263" w:lineRule="auto"/>
        <w:rPr>
          <w:sz w:val="20"/>
          <w:szCs w:val="20"/>
          <w:color w:val="auto"/>
        </w:rPr>
      </w:pPr>
      <w:r>
        <w:rPr>
          <w:rFonts w:ascii="Arial" w:cs="Arial" w:eastAsia="Arial" w:hAnsi="Arial"/>
          <w:sz w:val="18"/>
          <w:szCs w:val="18"/>
          <w:color w:val="auto"/>
        </w:rPr>
        <w:t>For the six months ended June 30, 2021, cash used in operating activities was $926,722. Net loss of $45,462,043 was affected by change in warrant liabilities of $42,360,882 and an interest earned on marketable securities held in the Trust Account of $21,959. Changes in operating assets and liabilities provided $2,196,398 of cash from operating activities.</w:t>
      </w:r>
    </w:p>
    <w:p>
      <w:pPr>
        <w:spacing w:after="0" w:line="18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of June 30, 2021, we had cash and marketable securities held in the Trust Account of $442,785,910. We intend to use substantially all of the funds held in the Trust Account, including any amounts representing interest earned on the Trust Account (less taxes payable and deferred underwriting commissions) to complete our initial Business Combination. To the extent that our capital stock or debt is used, in whole or in part, as consideration to complete our initial Business Combination, the remaining proceeds held in the Trust Account will be used as working capital to finance the operations of the target business or businesses, make other acquisitions and pursue our growth strategies. During the period ended June 30, 2021, we did not withdraw any interest income from the Trust Account.</w:t>
      </w:r>
    </w:p>
    <w:p>
      <w:pPr>
        <w:spacing w:after="0" w:line="19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June 30, 2021, we had $167,959 of cash held outside of the Trust Account. We intend to use the funds held outside the Trust Account primarily to identify and evaluate target businesses, perform business due diligence on prospective target businesses, travel to and from the offices, plants or similar locations of prospective target businesses or their representatives or owners, review corporate documents and material agreements of prospective target businesses, and structure, negotiate and complete a Business Combination.</w:t>
      </w:r>
    </w:p>
    <w:p>
      <w:pPr>
        <w:spacing w:after="0" w:line="187"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In order to fund working capital deficiencies or finance transaction costs in connection with our initial Business Combination, our Sponsor or an affiliate of our Sponsor or certain of our officers and directors may, but are not obligated to, loan us funds as may be required. If we complete a Business Combination, we would repay such loaned amounts. In the event that a Business Combination does not close, we may use a portion of the working capital held outside the Trust Account to repay such loaned amounts but no proceeds from our Trust Account would be used for such repayment. Up to $1,500,000 of such loans may be convertible into warrants identical to the Private Placement Warrants, at a price of $1.50 per warrant at the option of the lender.</w:t>
      </w:r>
    </w:p>
    <w:p>
      <w:pPr>
        <w:spacing w:after="0" w:line="16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Company may raise additional capital through loans or additional investments from the Sponsor or its stockholders, officers, directors, or third parties. The Company’s officers and directors and the Sponsor may but are not obligated to (except as described above), loan the Company funds, from time to time, in whatever amount they deem reasonable in their sole discretion, to meet the Company’s working capital needs. Moreover, we may need to obtain additional financing either to complete our initial Business Combination or because we become obligated to redeem a significant number of our Public Shares upon consummation of our initial Business Combination, in which case we may issue additional securities or incur debt in connection with such Business Combination. Subject to compliance with applicable securities laws, we would only complete such financing simultaneously with the completion of our initial Business Combination. If we are unable to complete our initial Business Combination because we do not have sufficient funds available to us, we will be forced to cease operations and liquidate the Trust Account. In addition, following our initial Business Combination, if cash on hand is insufficient, we may need to obtain additional financing in order to meet our obligations.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Sema4 Business Combination Announcement</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February 10, 2021, the Company announced that it executed an Agreement and Plan of Merger (the “Merger Agreement”) with Mount Sinai Genomics, Inc., a Delaware corporation, d/b/a Sema4 (“Sema4”) and the other parties thereto (the transactions contemplated by the Merger Agreement, including the Merger (as defined below), the “Sema4 Business Combination”). Specifically, the Company entered into the Merger Agreement with Sema4 and S-IV Sub, Inc., a Delaware corporation and a direct, wholly-owned subsidiary of the Company (“Merger Sub”). Pursuant to the terms of the Merger Agreement, CMLS will acquire Sema4 through the merger of Merger Sub with and into Sema4, with Sema4 surviving as a wholly-owned subsidiary of CMLS (the “Merger”)</w:t>
      </w:r>
    </w:p>
    <w:p>
      <w:pPr>
        <w:spacing w:after="0" w:line="19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Sema4 Business Combination is expected to close in the second quarter of 2021, following the receipt of the required approval by CMLS’s stockholders and the satisfaction of certain other customary closing conditions.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 the effective time of the Merger (the “Effective Time”), each share of Sema4 class B common stock, par value $0.00001 per share (“Sema4 Class B Common Stock”) issued and outstanding as of immediately prior to the Effective Time will be converted into 1/100th of a share of Sema4 class A common stock, par value $0.00001 per share (“Sema4 Class A Common Stock”, together with Sema4 Class B Common Stock, “Sema4 Common Stock”) in accordance with Sema4’s organizational documents.</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Immediately thereafter, each share of Sema4 Common Stock and Sema4’s series A-1 preferred stock, series A-2 preferred stock, series B preferred stock and series C preferred stock (collectively, “Sema4 Capital Stock”) issued and outstanding immediately prior to the Effective Time (other than Excluded Shares and Dissenting Shares (each as defined in the Merger Agreement)) will be converted into the right to receive a portion of the total closing merger consideration, with each Sema4 stockholder being entitled to receive the following:</w:t>
      </w:r>
    </w:p>
    <w:p>
      <w:pPr>
        <w:spacing w:after="0" w:line="187" w:lineRule="exact"/>
        <w:rPr>
          <w:sz w:val="20"/>
          <w:szCs w:val="20"/>
          <w:color w:val="auto"/>
        </w:rPr>
      </w:pPr>
    </w:p>
    <w:p>
      <w:pPr>
        <w:jc w:val="both"/>
        <w:ind w:left="660" w:hanging="328"/>
        <w:spacing w:after="0" w:line="263"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if such stockholder has made a cash election as set forth and in accordance with the terms of the Merger Agreement, a portion of the specified aggregate amount of cash consideration payable under the terms of the Merger Agreement (such aggregate amount not to exceed $343,000,000) and pursuant to the terms of such stockholder’s cash election; and</w:t>
      </w:r>
    </w:p>
    <w:p>
      <w:pPr>
        <w:spacing w:after="0" w:line="183"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color w:val="auto"/>
        </w:rPr>
        <w:t>a number of shares of common stock, par value $0.0001 per share, of CMLS (the “Common Stock”) equal to the quotient of: (i) (A) the product of</w:t>
      </w:r>
    </w:p>
    <w:p>
      <w:pPr>
        <w:spacing w:after="0" w:line="46" w:lineRule="exact"/>
        <w:rPr>
          <w:rFonts w:ascii="Arial" w:cs="Arial" w:eastAsia="Arial" w:hAnsi="Arial"/>
          <w:sz w:val="16"/>
          <w:szCs w:val="16"/>
          <w:color w:val="auto"/>
        </w:rPr>
      </w:pPr>
    </w:p>
    <w:p>
      <w:pPr>
        <w:ind w:left="660" w:right="20" w:hanging="4"/>
        <w:spacing w:after="0" w:line="260" w:lineRule="auto"/>
        <w:tabs>
          <w:tab w:leader="none" w:pos="940" w:val="left"/>
        </w:tabs>
        <w:numPr>
          <w:ilvl w:val="1"/>
          <w:numId w:val="6"/>
        </w:numPr>
        <w:rPr>
          <w:rFonts w:ascii="Arial" w:cs="Arial" w:eastAsia="Arial" w:hAnsi="Arial"/>
          <w:sz w:val="18"/>
          <w:szCs w:val="18"/>
          <w:color w:val="auto"/>
        </w:rPr>
      </w:pPr>
      <w:r>
        <w:rPr>
          <w:rFonts w:ascii="Arial" w:cs="Arial" w:eastAsia="Arial" w:hAnsi="Arial"/>
          <w:sz w:val="18"/>
          <w:szCs w:val="18"/>
          <w:color w:val="auto"/>
        </w:rPr>
        <w:t xml:space="preserve">such stockholder’s total shares of Sema4 Capital Stock multiplied by (y) the per share amount calculated in accordance with the Merger Agreement </w:t>
      </w:r>
      <w:r>
        <w:rPr>
          <w:rFonts w:ascii="Arial" w:cs="Arial" w:eastAsia="Arial" w:hAnsi="Arial"/>
          <w:sz w:val="18"/>
          <w:szCs w:val="18"/>
          <w:i w:val="1"/>
          <w:iCs w:val="1"/>
          <w:color w:val="auto"/>
        </w:rPr>
        <w:t>minus</w:t>
      </w:r>
      <w:r>
        <w:rPr>
          <w:rFonts w:ascii="Arial" w:cs="Arial" w:eastAsia="Arial" w:hAnsi="Arial"/>
          <w:sz w:val="18"/>
          <w:szCs w:val="18"/>
          <w:color w:val="auto"/>
        </w:rPr>
        <w:t xml:space="preserve"> (B) the amount of cash payable to such stockholder pursuant to its cash election, if any, divided by (ii) $10.</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20" w:name="page21"/>
    <w:bookmarkEnd w:id="20"/>
    <w:p>
      <w:pPr>
        <w:jc w:val="both"/>
        <w:spacing w:after="0" w:line="259" w:lineRule="auto"/>
        <w:rPr>
          <w:sz w:val="20"/>
          <w:szCs w:val="20"/>
          <w:color w:val="auto"/>
        </w:rPr>
      </w:pPr>
      <w:r>
        <w:rPr>
          <w:rFonts w:ascii="Arial" w:cs="Arial" w:eastAsia="Arial" w:hAnsi="Arial"/>
          <w:sz w:val="18"/>
          <w:szCs w:val="18"/>
          <w:color w:val="auto"/>
        </w:rPr>
        <w:t>In addition, at the Effective Time, each outstanding option to purchase Sema4 Capital Stock, each outstanding and unsettled restricted stock unit in respect of shares of Sema4 Capital Stock and each outstanding stock appreciation right will be rolled over into options to purchase Common Stock, restricted stock units in respect of Common Stock and stock appreciation rights in respect of Common Stock, all as further set forth in and in accordance with the terms of the Merger Agreement.</w:t>
      </w:r>
    </w:p>
    <w:p>
      <w:pPr>
        <w:spacing w:after="0" w:line="18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addition to the payment of cash, issuance of Common Stock and rollover of other Sema4 equity awards described above as of the Effective Time, in the event that the closing sale price of Common Stock exceeds certain price thresholds for 20 out of any 30 consecutive trading days during the period of time commencing upon the expiration of the lock-up period applicable to the Sponsor under the Letter Agreement, dated as of August 27, 2021, by and among the Company, Sponsor and each of the executive officers and directors of the Company and ending on the second anniversary of the closing of the Merger, an additional number of shares equal to an amount up to an aggregate of 11% of the shares of Common Stock that would have been issuable upon closing of the Merger to the stockholders of the Company if no cash elections were made and the closing cash payment amount under the Merger Agreement was $0.00 (the “Earn-Out Shares”) shall become issuable, in accordance with the terms of the Merger Agreement following the achievement of those certain price thresholds, to the stockholders of Sema4 as of immediately prior to the closing of the Merger; provided that the board of directors of Sema4 (or a duly authorized committee thereof) may, prior to the closing of the Merger, allocate a portion of such Earn-Out Shares to be issued to service providers of Sema4 in the form of restricted stock units of the Company.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Financing Arrangements</w:t>
      </w:r>
    </w:p>
    <w:p>
      <w:pPr>
        <w:spacing w:after="0" w:line="229"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We have no obligations, assets or liabilities, which would be considered off-balance sheet arrangements as of June 30, 2021. We do not participate in transactions that create relationships with unconsolidated entities or financial partnerships, often referred to as variable interest entities, which would have been established for the purpose of facilitating off-balance sheet arrangements. We have not entered into any off-balance sheet financing arrangements, established any special purpose entities, guaranteed any debt or commitments of other entities, or purchased any non-financial assets.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We do not have any long-term debt, capital lease obligations, operating lease obligations or long-term liabilities, other than as described below.</w:t>
      </w:r>
    </w:p>
    <w:p>
      <w:pPr>
        <w:spacing w:after="0" w:line="23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underwriters are entitled to a deferred fee of $0.35 per Unit, or $15,496,250 in the aggregate. The deferred fee will become payable to the underwriter from the amounts held in the Trust Account solely in the event that the Company completes a Business Combination, subject to the terms of the underwriting agreement.</w:t>
      </w:r>
    </w:p>
    <w:p>
      <w:pPr>
        <w:spacing w:after="0" w:line="184"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In addition, we entered into separate forward purchase agreements with affiliates of the Sponsor, Casdin and Corvex, in their capacities as investment advisors on behalf of one or more investment funds, clients or accounts managed by the Clients, pursuant to which, subject to the conditions described below, they will cause the Clients to purchase from us up to an aggregate amount of 15,000,000 shares of Class A common stock, or the forward purchase shares, for $10.00 per forward purchase share, or an aggregate amount of up to $150,000,000, in a private placement that will close concurrently with the closing of a Business Combination. The amount of forward purchase shares sold pursuant to the forward purchase agreements will be determined at our discretion based on our needs for additional capital to consummate a Business Combination. Under each forward purchase agreement, we are required to approach Casdin and Corvex if it proposes to raise additional capital by issuing any equity, or securities convertible into, exchangeable or exercisable for equity securities in connection with a Business Combination. The respective obligations of Casdin and Corvex to purchase forward purchase shares will, among other things, be conditioned on us completing a Business Combination with a company engaged in a business that is within the investment objectives of the Clients purchasing forward purchase shares and on the Business Combination (including the target assets or business, and the terms of the Business Combination) being reasonably acceptable to such Clients as determined by Casdin or Corvex, as relevant, as investment advisors on behalf of such Clients. Each of Casdin and Corvex will have the right to transfer a portion of its purchase obligation under the forward purchase agreement to third parties, or upon mutual agreement to each other, subject to compliance with applicable securities laws. To the extent that we obtain alternative financing to fund the initial Business Combination and the Clients participate in such financing, the aggregate commitment under the forward purchase agreement will be reduced by the amount of such alternative financing.</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preparation of condensed financial statements and related disclosures in conformity with accounting principles generally accepted in the United States of America requires management to make estimates and assumptions that affect the reported amounts of assets and liabilities, disclosure of contingent assets and liabilities at the date of the condensed financial statements, and income and expenses during the periods reported. Actual results could materially differ from those estimates. We have identified the following critical accounting policies: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Warrant Liability</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account for the warrants issued in connection with our Initial Public Offering in accordance with the guidance contained in ASC 815 under which the warrants do not meet the criteria for equity treatment and must be recorded as liabilities. Accordingly, we classify the warrants as liabilities at their fair value and adjust the warrants to fair value at each reporting period. This liability is subject to re-measurement at each balance sheet date until exercised, and any change in fair value is recognized in our statements of operations.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Class A Common Stock Subject to Possible Redemption</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account for our Class A common stock subject to possible redemption in accordance with the guidance in Accounting Standards Codification (“ASC”) Topic 480 “Distinguishing Liabilities from Equity.” Class A Common stock subject to mandatory redemption is classified as a liability instrument and is measured at fair value. Conditionally redeemable common stock (including common stock that features redemption rights that are either within the control of the holder or subject to redemption upon the occurrence of uncertain events not solely within our control) is classified as temporary equity. At all other times, common stock is classified as stockholders’ equity. Our common stock features certain redemption rights that are considered to be outside of our control and subject to occurrence of uncertain future events. Accordingly, Class A common stock subject to possible redemption is presented as temporary equity, outside of the stockholders’ equity section of our condensed balance sheets.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Income (Loss) Per Common Share</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apply the two-class method in calculating earnings per share. Net income per common share, basic and diluted for Class A common stock is calculated by dividing the interest income earned on the Trust Account, net of applicable franchise and income taxes, by the weighted average number of Class A common stock outstanding for the period. Net loss per common share, basic and diluted for Class B common stock is calculated by dividing the net income, less income attributable to Class A common stock, by the weighted average number of Class B common stock outstanding for the period presented.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Accounting Standards</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Management does not believe that any recently issued, but not yet effective, accounting standards, if currently adopted, would have a material effect on our condensed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As of June 30, 2021, we were not subject to any market or interest rate risk. The net proceeds received into the Trust Account, have been invested in U.S. government treasury bills, notes or bonds with a maturity of 185 days or less or in certain money market funds that invest solely in US treasuries. Due to the short-term nature of these investments, we believe there will be no associated material exposure to interest rate risk.</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Disclosure controls and procedures are controls and other procedures that are designed to ensure that information required to be disclosed in our reports filed or submitted under the Exchange Act is recorded, processed, summarized and reported within the time periods specified in the SEC’s rules and forms. Disclosure controls and procedures include, without limitation, controls and procedures designed to ensure that information required to be disclosed in our reports filed or submitted under the Exchange Act is accumulated and communicated to our management, including our Chief Executive Officer and Chief Financial Officer, to allow timely decisions regarding required disclosure.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As required by Rules 13a-15 and 15d-15 under the Exchange Act, our Chief Executive Officer and Chief Financial Officer carried out an evaluation of the effectiveness of the design and operation of our disclosure controls and procedures as of June 30, 2021. Based upon their evaluation, our Chief Executive Officer and Chief Financial Officer concluded that, solely due to the Company’s restatement of its financial statements to reclassify the Company’s Public Warrants and Private Placement Warrants (as described in “—Restatement of Previously Issued Financial Statements” below and the Explanatory Note to the Company’s Annual Report on Form 10-K/A filed with the SEC on May 5, 2021), our disclosure controls and procedures (as defined in Rules 13a-15 (e) and 15d-15 (e) under the Exchange Act) were not effective as of June 30, 2021.</w:t>
      </w:r>
    </w:p>
    <w:p>
      <w:pPr>
        <w:spacing w:after="0" w:line="17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do not expect that our disclosure controls and procedures will prevent all errors and all instances of fraud. Disclosure controls and procedures, no matter how well conceived and operated, can provide only reasonable, not absolute, assurance that the objectives of the disclosure controls and procedures are met. Further, the design of disclosure controls and procedures must reflect the fact that there are resource constraints, and the benefits must be considered relative to their costs. Because of the inherent limitations in all disclosure controls and procedures, no evaluation of disclosure controls and procedures can provide absolute assurance that we have detected all our control deficiencies and instances of fraud, if any. The design of disclosure controls and procedures also is based partly on certain assumptions about the likelihood of future events, and there can be no assurance that any design will succeed in achieving its stated goals under all potential future conditions.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Restatement of Previously Issued Financial Statements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May 5, 2021, we revised our prior position on accounting for warrants and concluded that our previously issued financial statements as of December 31, 2020 and for the period from July 10, 2020 (inception) through December 31, 2020; as of September 4, 2020; and as of and for the period ended September 30, 2020 should not be relied on because of a misapplication in the guidance on warrant accounting. However, the non-cash adjustments to the financial statements did not impact the amounts previously reported for our cash, cash and marketable securities held in the trust account, total assets, revenue or cash flows.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22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There was no change in our internal control over financial reporting that occurred during the fiscal quarter ended June 30, 2021 covered by this Quarterly Report on Form 10-Q that has materially affected, or is reasonably likely to materially affect, our internal control over financial reporting, other than as described herein. Management has implemented remediation steps to address the material weakness and to improve our internal control over financial reporting. Specifically, we enhanced the supervisory review of accounting procedures in this financial reporting area and expanded and improved our review process for complex securities and related accounting standards. As of June 30, 2021, this has not been fully remediated.</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23" w:name="page24"/>
    <w:bookmarkEnd w:id="23"/>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Factors that could cause our actual results to differ materially from those in this Quarterly Report are any of the risks described in our Annual Report on Form 10-K/A filed with the SEC on May 5, 2021. Any of these factors could result in a significant or material adverse effect on our results of operations or financial condition. Additional risk factors not presently known to us or that we currently deem immaterial may also impair our business or results of operations. As of the date of this Quarterly Report, there have been no material changes to the risk factors disclosed in our Annual Report on Form 10-K/A filed with the SEC on May 5, 2021, except we may disclose changes to such factors or disclose additional factors from time to time in our future filings with the SEC.</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On September 4, 2020, we consummated our Initial Public Offering of 44,275,000 Units, inclusive of underwriters’ election to fully exercise their over-allotment option, we sold an additional 5,775,000 Units. The Units were sold at an offering price of $10.00 per Unit, generating total gross proceeds of $442,750,000. Jefferies LLC acted as the book running manager of the offering. The securities sold in the offering were registered under the Securities Act on a registration statement on Form S-1 (No. 333-246251 and 333-248541). The SEC declared the registration statement effective on September 1, 2020.</w:t>
      </w:r>
    </w:p>
    <w:p>
      <w:pPr>
        <w:spacing w:after="0" w:line="15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Simultaneously with the consummation of the Initial Public Offering and the full exercise of the over-allotment option, we consummated a private placement of 7,236,667 Private Placement Warrants to our Sponsor at a price of $1.50 per Private Placement Warrant, generating total proceeds of $10,855,000. Such securities were issued pursuant to the exemption from registration contained in Section 4(a)(2) of the Securities Act.</w:t>
      </w:r>
    </w:p>
    <w:p>
      <w:pPr>
        <w:spacing w:after="0" w:line="16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Private Placement Warrants are the same as the warrants underlying the Units sold in the Initial Public Offering, except that Private Placement Warrants are not transferable, assignable or salable until 30 days after the completion of a Business Combination, subject to certain limited exceptions. Additionally, the Private Placement Warrants are exercisable on a cashless basis and are non-redeemable so long as they are held by the initial purchasers or their permitted transferees.</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Of the gross proceeds received from the Initial Public Offering and the sale of the Private Placement Warrants, $442,750,000 was placed in the Trust Account.</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paid a total of $8,855,000 underwriting discounts and commissions and $544,213 for other costs and expenses related to the Initial Public Offering. In addition, the underwriters agreed to defer $15,496,250 in underwriting discounts and commissions.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For a description of the use of the proceeds generated in our Initial Public Offering, see Part I, Item 2 of this Quarterly Report.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exhibits are filed as part of, or incorporated by reference into, this Quarterly Report.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1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No.</w:t>
            </w:r>
          </w:p>
        </w:tc>
        <w:tc>
          <w:tcPr>
            <w:tcW w:w="10100" w:type="dxa"/>
            <w:vAlign w:val="bottom"/>
            <w:gridSpan w:val="3"/>
          </w:tcPr>
          <w:p>
            <w:pPr>
              <w:spacing w:after="0"/>
              <w:rPr>
                <w:sz w:val="20"/>
                <w:szCs w:val="20"/>
                <w:color w:val="auto"/>
              </w:rPr>
            </w:pPr>
            <w:r>
              <w:rPr>
                <w:rFonts w:ascii="Arial" w:cs="Arial" w:eastAsia="Arial" w:hAnsi="Arial"/>
                <w:sz w:val="18"/>
                <w:szCs w:val="18"/>
                <w:b w:val="1"/>
                <w:bCs w:val="1"/>
                <w:color w:val="auto"/>
              </w:rPr>
              <w:t>Description of Exhibit</w:t>
            </w:r>
          </w:p>
        </w:tc>
      </w:tr>
      <w:tr>
        <w:trPr>
          <w:trHeight w:val="176"/>
        </w:trPr>
        <w:tc>
          <w:tcPr>
            <w:tcW w:w="1020" w:type="dxa"/>
            <w:vAlign w:val="bottom"/>
            <w:tcBorders>
              <w:top w:val="single" w:sz="8" w:color="auto"/>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95"/>
              </w:rPr>
              <w:t>31.1*</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10100" w:type="dxa"/>
            <w:vAlign w:val="bottom"/>
            <w:tcBorders>
              <w:top w:val="single" w:sz="8" w:color="auto"/>
              <w:bottom w:val="single" w:sz="8" w:color="0000EE"/>
            </w:tcBorders>
            <w:gridSpan w:val="3"/>
            <w:shd w:val="clear" w:color="auto" w:fill="CCEEFF"/>
          </w:tcPr>
          <w:p>
            <w:pPr>
              <w:spacing w:after="0" w:line="176" w:lineRule="exact"/>
              <w:rPr>
                <w:rFonts w:ascii="Arial" w:cs="Arial" w:eastAsia="Arial" w:hAnsi="Arial"/>
                <w:sz w:val="18"/>
                <w:szCs w:val="18"/>
                <w:color w:val="0000EE"/>
                <w:w w:val="92"/>
              </w:rPr>
            </w:pPr>
            <w:hyperlink w:anchor="page27">
              <w:r>
                <w:rPr>
                  <w:rFonts w:ascii="Arial" w:cs="Arial" w:eastAsia="Arial" w:hAnsi="Arial"/>
                  <w:sz w:val="18"/>
                  <w:szCs w:val="18"/>
                  <w:color w:val="0000EE"/>
                  <w:w w:val="92"/>
                </w:rPr>
                <w:t>Certification of Principal Executive Officer Pursuant to Securities Exchange Act Rules 13a-14(a) and 15(d)-14(a), as adopted Pursuant to</w:t>
              </w:r>
            </w:hyperlink>
          </w:p>
        </w:tc>
      </w:tr>
      <w:tr>
        <w:trPr>
          <w:trHeight w:val="217"/>
        </w:trPr>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100" w:type="dxa"/>
            <w:vAlign w:val="bottom"/>
            <w:gridSpan w:val="3"/>
            <w:shd w:val="clear" w:color="auto" w:fill="CCEEFF"/>
          </w:tcPr>
          <w:p>
            <w:pPr>
              <w:spacing w:after="0" w:line="196" w:lineRule="exact"/>
              <w:rPr>
                <w:rFonts w:ascii="Arial" w:cs="Arial" w:eastAsia="Arial" w:hAnsi="Arial"/>
                <w:sz w:val="18"/>
                <w:szCs w:val="18"/>
                <w:color w:val="0000EE"/>
              </w:rPr>
            </w:pPr>
            <w:hyperlink w:anchor="page27">
              <w:r>
                <w:rPr>
                  <w:rFonts w:ascii="Arial" w:cs="Arial" w:eastAsia="Arial" w:hAnsi="Arial"/>
                  <w:sz w:val="18"/>
                  <w:szCs w:val="18"/>
                  <w:color w:val="0000EE"/>
                </w:rPr>
                <w:t>Section 302 of the Sarbanes-Oxley Act of 2002.</w:t>
              </w:r>
            </w:hyperlink>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900" w:type="dxa"/>
            <w:vAlign w:val="bottom"/>
            <w:tcBorders>
              <w:top w:val="single" w:sz="8" w:color="0000EE"/>
            </w:tcBorders>
          </w:tcPr>
          <w:p>
            <w:pPr>
              <w:spacing w:after="0"/>
              <w:rPr>
                <w:sz w:val="18"/>
                <w:szCs w:val="18"/>
                <w:color w:val="auto"/>
              </w:rPr>
            </w:pPr>
          </w:p>
        </w:tc>
        <w:tc>
          <w:tcPr>
            <w:tcW w:w="2560" w:type="dxa"/>
            <w:vAlign w:val="bottom"/>
            <w:tcBorders>
              <w:top w:val="single" w:sz="8" w:color="0000EE"/>
            </w:tcBorders>
          </w:tcPr>
          <w:p>
            <w:pPr>
              <w:spacing w:after="0"/>
              <w:rPr>
                <w:sz w:val="18"/>
                <w:szCs w:val="18"/>
                <w:color w:val="auto"/>
              </w:rPr>
            </w:pPr>
          </w:p>
        </w:tc>
        <w:tc>
          <w:tcPr>
            <w:tcW w:w="6640" w:type="dxa"/>
            <w:vAlign w:val="bottom"/>
            <w:tcBorders>
              <w:top w:val="single" w:sz="8" w:color="CCEEFF"/>
            </w:tcBorders>
          </w:tcPr>
          <w:p>
            <w:pPr>
              <w:spacing w:after="0"/>
              <w:rPr>
                <w:sz w:val="18"/>
                <w:szCs w:val="18"/>
                <w:color w:val="auto"/>
              </w:rPr>
            </w:pPr>
          </w:p>
        </w:tc>
      </w:tr>
      <w:tr>
        <w:trPr>
          <w:trHeight w:val="175"/>
        </w:trPr>
        <w:tc>
          <w:tcPr>
            <w:tcW w:w="102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95"/>
              </w:rPr>
              <w:t>31.2*</w:t>
            </w:r>
          </w:p>
        </w:tc>
        <w:tc>
          <w:tcPr>
            <w:tcW w:w="12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EE"/>
            </w:tcBorders>
            <w:gridSpan w:val="3"/>
            <w:shd w:val="clear" w:color="auto" w:fill="CCEEFF"/>
          </w:tcPr>
          <w:p>
            <w:pPr>
              <w:spacing w:after="0" w:line="176" w:lineRule="exact"/>
              <w:rPr>
                <w:rFonts w:ascii="Arial" w:cs="Arial" w:eastAsia="Arial" w:hAnsi="Arial"/>
                <w:sz w:val="18"/>
                <w:szCs w:val="18"/>
                <w:color w:val="0000EE"/>
                <w:w w:val="93"/>
              </w:rPr>
            </w:pPr>
            <w:hyperlink w:anchor="page28">
              <w:r>
                <w:rPr>
                  <w:rFonts w:ascii="Arial" w:cs="Arial" w:eastAsia="Arial" w:hAnsi="Arial"/>
                  <w:sz w:val="18"/>
                  <w:szCs w:val="18"/>
                  <w:color w:val="0000EE"/>
                  <w:w w:val="93"/>
                </w:rPr>
                <w:t>Certification of Principal Financial Officer Pursuant to Securities Exchange Act Rules 13a-14(a) and 15(d)-14(a), as adopted Pursuant to</w:t>
              </w:r>
            </w:hyperlink>
          </w:p>
        </w:tc>
      </w:tr>
      <w:tr>
        <w:trPr>
          <w:trHeight w:val="217"/>
        </w:trPr>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100" w:type="dxa"/>
            <w:vAlign w:val="bottom"/>
            <w:gridSpan w:val="3"/>
            <w:shd w:val="clear" w:color="auto" w:fill="CCEEFF"/>
          </w:tcPr>
          <w:p>
            <w:pPr>
              <w:spacing w:after="0" w:line="196" w:lineRule="exact"/>
              <w:rPr>
                <w:rFonts w:ascii="Arial" w:cs="Arial" w:eastAsia="Arial" w:hAnsi="Arial"/>
                <w:sz w:val="18"/>
                <w:szCs w:val="18"/>
                <w:color w:val="0000EE"/>
              </w:rPr>
            </w:pPr>
            <w:hyperlink w:anchor="page28">
              <w:r>
                <w:rPr>
                  <w:rFonts w:ascii="Arial" w:cs="Arial" w:eastAsia="Arial" w:hAnsi="Arial"/>
                  <w:sz w:val="18"/>
                  <w:szCs w:val="18"/>
                  <w:color w:val="0000EE"/>
                </w:rPr>
                <w:t>Section 302 of the Sarbanes-Oxley Act of 2002.</w:t>
              </w:r>
            </w:hyperlink>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900" w:type="dxa"/>
            <w:vAlign w:val="bottom"/>
            <w:tcBorders>
              <w:top w:val="single" w:sz="8" w:color="0000EE"/>
            </w:tcBorders>
          </w:tcPr>
          <w:p>
            <w:pPr>
              <w:spacing w:after="0"/>
              <w:rPr>
                <w:sz w:val="18"/>
                <w:szCs w:val="18"/>
                <w:color w:val="auto"/>
              </w:rPr>
            </w:pPr>
          </w:p>
        </w:tc>
        <w:tc>
          <w:tcPr>
            <w:tcW w:w="2560" w:type="dxa"/>
            <w:vAlign w:val="bottom"/>
            <w:tcBorders>
              <w:top w:val="single" w:sz="8" w:color="0000EE"/>
            </w:tcBorders>
          </w:tcPr>
          <w:p>
            <w:pPr>
              <w:spacing w:after="0"/>
              <w:rPr>
                <w:sz w:val="18"/>
                <w:szCs w:val="18"/>
                <w:color w:val="auto"/>
              </w:rPr>
            </w:pPr>
          </w:p>
        </w:tc>
        <w:tc>
          <w:tcPr>
            <w:tcW w:w="6640" w:type="dxa"/>
            <w:vAlign w:val="bottom"/>
            <w:tcBorders>
              <w:top w:val="single" w:sz="8" w:color="CCEEFF"/>
            </w:tcBorders>
          </w:tcPr>
          <w:p>
            <w:pPr>
              <w:spacing w:after="0"/>
              <w:rPr>
                <w:sz w:val="18"/>
                <w:szCs w:val="18"/>
                <w:color w:val="auto"/>
              </w:rPr>
            </w:pPr>
          </w:p>
        </w:tc>
      </w:tr>
      <w:tr>
        <w:trPr>
          <w:trHeight w:val="176"/>
        </w:trPr>
        <w:tc>
          <w:tcPr>
            <w:tcW w:w="102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rPr>
              <w:t>32.1**</w:t>
            </w:r>
          </w:p>
        </w:tc>
        <w:tc>
          <w:tcPr>
            <w:tcW w:w="12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EE"/>
            </w:tcBorders>
            <w:gridSpan w:val="3"/>
            <w:shd w:val="clear" w:color="auto" w:fill="CCEEFF"/>
          </w:tcPr>
          <w:p>
            <w:pPr>
              <w:spacing w:after="0" w:line="176" w:lineRule="exact"/>
              <w:rPr>
                <w:rFonts w:ascii="Arial" w:cs="Arial" w:eastAsia="Arial" w:hAnsi="Arial"/>
                <w:sz w:val="18"/>
                <w:szCs w:val="18"/>
                <w:color w:val="0000EE"/>
                <w:w w:val="91"/>
              </w:rPr>
            </w:pPr>
            <w:hyperlink w:anchor="page29">
              <w:r>
                <w:rPr>
                  <w:rFonts w:ascii="Arial" w:cs="Arial" w:eastAsia="Arial" w:hAnsi="Arial"/>
                  <w:sz w:val="18"/>
                  <w:szCs w:val="18"/>
                  <w:color w:val="0000EE"/>
                  <w:w w:val="91"/>
                </w:rPr>
                <w:t>Certification of Principal Executive Officer Pursuant to 18 U.S.C. Section 1350, as adopted Pursuant to Section 906 of the Sarbanes-Oxley</w:t>
              </w:r>
            </w:hyperlink>
          </w:p>
        </w:tc>
      </w:tr>
      <w:tr>
        <w:trPr>
          <w:trHeight w:val="217"/>
        </w:trPr>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100" w:type="dxa"/>
            <w:vAlign w:val="bottom"/>
            <w:gridSpan w:val="3"/>
            <w:shd w:val="clear" w:color="auto" w:fill="CCEEFF"/>
          </w:tcPr>
          <w:p>
            <w:pPr>
              <w:spacing w:after="0" w:line="196" w:lineRule="exact"/>
              <w:rPr>
                <w:rFonts w:ascii="Arial" w:cs="Arial" w:eastAsia="Arial" w:hAnsi="Arial"/>
                <w:sz w:val="18"/>
                <w:szCs w:val="18"/>
                <w:color w:val="0000EE"/>
              </w:rPr>
            </w:pPr>
            <w:hyperlink w:anchor="page29">
              <w:r>
                <w:rPr>
                  <w:rFonts w:ascii="Arial" w:cs="Arial" w:eastAsia="Arial" w:hAnsi="Arial"/>
                  <w:sz w:val="18"/>
                  <w:szCs w:val="18"/>
                  <w:color w:val="0000EE"/>
                </w:rPr>
                <w:t>Act of 2002.</w:t>
              </w:r>
            </w:hyperlink>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900" w:type="dxa"/>
            <w:vAlign w:val="bottom"/>
            <w:tcBorders>
              <w:top w:val="single" w:sz="8" w:color="0000EE"/>
            </w:tcBorders>
          </w:tcPr>
          <w:p>
            <w:pPr>
              <w:spacing w:after="0"/>
              <w:rPr>
                <w:sz w:val="18"/>
                <w:szCs w:val="18"/>
                <w:color w:val="auto"/>
              </w:rPr>
            </w:pPr>
          </w:p>
        </w:tc>
        <w:tc>
          <w:tcPr>
            <w:tcW w:w="2560" w:type="dxa"/>
            <w:vAlign w:val="bottom"/>
            <w:tcBorders>
              <w:top w:val="single" w:sz="8" w:color="CCEEFF"/>
            </w:tcBorders>
          </w:tcPr>
          <w:p>
            <w:pPr>
              <w:spacing w:after="0"/>
              <w:rPr>
                <w:sz w:val="18"/>
                <w:szCs w:val="18"/>
                <w:color w:val="auto"/>
              </w:rPr>
            </w:pPr>
          </w:p>
        </w:tc>
        <w:tc>
          <w:tcPr>
            <w:tcW w:w="6640" w:type="dxa"/>
            <w:vAlign w:val="bottom"/>
            <w:tcBorders>
              <w:top w:val="single" w:sz="8" w:color="CCEEFF"/>
            </w:tcBorders>
          </w:tcPr>
          <w:p>
            <w:pPr>
              <w:spacing w:after="0"/>
              <w:rPr>
                <w:sz w:val="18"/>
                <w:szCs w:val="18"/>
                <w:color w:val="auto"/>
              </w:rPr>
            </w:pPr>
          </w:p>
        </w:tc>
      </w:tr>
      <w:tr>
        <w:trPr>
          <w:trHeight w:val="175"/>
        </w:trPr>
        <w:tc>
          <w:tcPr>
            <w:tcW w:w="102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rPr>
              <w:t>32.2**</w:t>
            </w:r>
          </w:p>
        </w:tc>
        <w:tc>
          <w:tcPr>
            <w:tcW w:w="12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EE"/>
            </w:tcBorders>
            <w:gridSpan w:val="3"/>
            <w:shd w:val="clear" w:color="auto" w:fill="CCEEFF"/>
          </w:tcPr>
          <w:p>
            <w:pPr>
              <w:spacing w:after="0" w:line="176" w:lineRule="exact"/>
              <w:rPr>
                <w:rFonts w:ascii="Arial" w:cs="Arial" w:eastAsia="Arial" w:hAnsi="Arial"/>
                <w:sz w:val="18"/>
                <w:szCs w:val="18"/>
                <w:color w:val="0000EE"/>
                <w:w w:val="92"/>
              </w:rPr>
            </w:pPr>
            <w:hyperlink w:anchor="page30">
              <w:r>
                <w:rPr>
                  <w:rFonts w:ascii="Arial" w:cs="Arial" w:eastAsia="Arial" w:hAnsi="Arial"/>
                  <w:sz w:val="18"/>
                  <w:szCs w:val="18"/>
                  <w:color w:val="0000EE"/>
                  <w:w w:val="92"/>
                </w:rPr>
                <w:t>Certification of Principal Financial Officer Pursuant to 18 U.S.C. Section 1350, as adopted Pursuant to Section 906 of the Sarbanes-Oxley</w:t>
              </w:r>
            </w:hyperlink>
          </w:p>
        </w:tc>
      </w:tr>
      <w:tr>
        <w:trPr>
          <w:trHeight w:val="217"/>
        </w:trPr>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100" w:type="dxa"/>
            <w:vAlign w:val="bottom"/>
            <w:gridSpan w:val="3"/>
            <w:shd w:val="clear" w:color="auto" w:fill="CCEEFF"/>
          </w:tcPr>
          <w:p>
            <w:pPr>
              <w:spacing w:after="0" w:line="196" w:lineRule="exact"/>
              <w:rPr>
                <w:rFonts w:ascii="Arial" w:cs="Arial" w:eastAsia="Arial" w:hAnsi="Arial"/>
                <w:sz w:val="18"/>
                <w:szCs w:val="18"/>
                <w:color w:val="0000EE"/>
              </w:rPr>
            </w:pPr>
            <w:hyperlink w:anchor="page30">
              <w:r>
                <w:rPr>
                  <w:rFonts w:ascii="Arial" w:cs="Arial" w:eastAsia="Arial" w:hAnsi="Arial"/>
                  <w:sz w:val="18"/>
                  <w:szCs w:val="18"/>
                  <w:color w:val="0000EE"/>
                </w:rPr>
                <w:t>Act of 2002.</w:t>
              </w:r>
            </w:hyperlink>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900" w:type="dxa"/>
            <w:vAlign w:val="bottom"/>
            <w:tcBorders>
              <w:top w:val="single" w:sz="8" w:color="0000EE"/>
            </w:tcBorders>
          </w:tcPr>
          <w:p>
            <w:pPr>
              <w:spacing w:after="0"/>
              <w:rPr>
                <w:sz w:val="18"/>
                <w:szCs w:val="18"/>
                <w:color w:val="auto"/>
              </w:rPr>
            </w:pPr>
          </w:p>
        </w:tc>
        <w:tc>
          <w:tcPr>
            <w:tcW w:w="2560" w:type="dxa"/>
            <w:vAlign w:val="bottom"/>
            <w:tcBorders>
              <w:top w:val="single" w:sz="8" w:color="CCEEFF"/>
            </w:tcBorders>
          </w:tcPr>
          <w:p>
            <w:pPr>
              <w:spacing w:after="0"/>
              <w:rPr>
                <w:sz w:val="18"/>
                <w:szCs w:val="18"/>
                <w:color w:val="auto"/>
              </w:rPr>
            </w:pPr>
          </w:p>
        </w:tc>
        <w:tc>
          <w:tcPr>
            <w:tcW w:w="6640" w:type="dxa"/>
            <w:vAlign w:val="bottom"/>
            <w:tcBorders>
              <w:top w:val="single" w:sz="8" w:color="CCEEFF"/>
            </w:tcBorders>
          </w:tcPr>
          <w:p>
            <w:pPr>
              <w:spacing w:after="0"/>
              <w:rPr>
                <w:sz w:val="18"/>
                <w:szCs w:val="18"/>
                <w:color w:val="auto"/>
              </w:rPr>
            </w:pPr>
          </w:p>
        </w:tc>
      </w:tr>
      <w:tr>
        <w:trPr>
          <w:trHeight w:val="216"/>
        </w:trPr>
        <w:tc>
          <w:tcPr>
            <w:tcW w:w="11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7"/>
              </w:rPr>
              <w:t>101.INS*</w:t>
            </w:r>
          </w:p>
        </w:tc>
        <w:tc>
          <w:tcPr>
            <w:tcW w:w="10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XBRL Instance Document</w:t>
            </w:r>
          </w:p>
        </w:tc>
      </w:tr>
      <w:tr>
        <w:trPr>
          <w:trHeight w:val="216"/>
        </w:trPr>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6640" w:type="dxa"/>
            <w:vAlign w:val="bottom"/>
          </w:tcPr>
          <w:p>
            <w:pPr>
              <w:spacing w:after="0"/>
              <w:rPr>
                <w:sz w:val="18"/>
                <w:szCs w:val="18"/>
                <w:color w:val="auto"/>
              </w:rPr>
            </w:pPr>
          </w:p>
        </w:tc>
      </w:tr>
      <w:tr>
        <w:trPr>
          <w:trHeight w:val="216"/>
        </w:trPr>
        <w:tc>
          <w:tcPr>
            <w:tcW w:w="11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8"/>
              </w:rPr>
              <w:t>101.CAL*</w:t>
            </w:r>
          </w:p>
        </w:tc>
        <w:tc>
          <w:tcPr>
            <w:tcW w:w="10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216"/>
        </w:trPr>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6640" w:type="dxa"/>
            <w:vAlign w:val="bottom"/>
          </w:tcPr>
          <w:p>
            <w:pPr>
              <w:spacing w:after="0"/>
              <w:rPr>
                <w:sz w:val="18"/>
                <w:szCs w:val="18"/>
                <w:color w:val="auto"/>
              </w:rPr>
            </w:pPr>
          </w:p>
        </w:tc>
      </w:tr>
      <w:tr>
        <w:trPr>
          <w:trHeight w:val="216"/>
        </w:trPr>
        <w:tc>
          <w:tcPr>
            <w:tcW w:w="11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4"/>
              </w:rPr>
              <w:t>101.SCH*</w:t>
            </w:r>
          </w:p>
        </w:tc>
        <w:tc>
          <w:tcPr>
            <w:tcW w:w="10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XBRL Taxonomy Extension Schema Document</w:t>
            </w:r>
          </w:p>
        </w:tc>
      </w:tr>
      <w:tr>
        <w:trPr>
          <w:trHeight w:val="216"/>
        </w:trPr>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6640" w:type="dxa"/>
            <w:vAlign w:val="bottom"/>
          </w:tcPr>
          <w:p>
            <w:pPr>
              <w:spacing w:after="0"/>
              <w:rPr>
                <w:sz w:val="18"/>
                <w:szCs w:val="18"/>
                <w:color w:val="auto"/>
              </w:rPr>
            </w:pPr>
          </w:p>
        </w:tc>
      </w:tr>
      <w:tr>
        <w:trPr>
          <w:trHeight w:val="216"/>
        </w:trPr>
        <w:tc>
          <w:tcPr>
            <w:tcW w:w="11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4"/>
              </w:rPr>
              <w:t>101.DEF*</w:t>
            </w:r>
          </w:p>
        </w:tc>
        <w:tc>
          <w:tcPr>
            <w:tcW w:w="10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216"/>
        </w:trPr>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6640" w:type="dxa"/>
            <w:vAlign w:val="bottom"/>
          </w:tcPr>
          <w:p>
            <w:pPr>
              <w:spacing w:after="0"/>
              <w:rPr>
                <w:sz w:val="18"/>
                <w:szCs w:val="18"/>
                <w:color w:val="auto"/>
              </w:rPr>
            </w:pPr>
          </w:p>
        </w:tc>
      </w:tr>
      <w:tr>
        <w:trPr>
          <w:trHeight w:val="216"/>
        </w:trPr>
        <w:tc>
          <w:tcPr>
            <w:tcW w:w="11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101.LAB*</w:t>
            </w:r>
          </w:p>
        </w:tc>
        <w:tc>
          <w:tcPr>
            <w:tcW w:w="10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XBRL Taxonomy Extension Labels Linkbase Document</w:t>
            </w:r>
          </w:p>
        </w:tc>
      </w:tr>
      <w:tr>
        <w:trPr>
          <w:trHeight w:val="216"/>
        </w:trPr>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6640" w:type="dxa"/>
            <w:vAlign w:val="bottom"/>
          </w:tcPr>
          <w:p>
            <w:pPr>
              <w:spacing w:after="0"/>
              <w:rPr>
                <w:sz w:val="18"/>
                <w:szCs w:val="18"/>
                <w:color w:val="auto"/>
              </w:rPr>
            </w:pPr>
          </w:p>
        </w:tc>
      </w:tr>
      <w:tr>
        <w:trPr>
          <w:trHeight w:val="216"/>
        </w:trPr>
        <w:tc>
          <w:tcPr>
            <w:tcW w:w="11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3"/>
              </w:rPr>
              <w:t>101.PRE*</w:t>
            </w:r>
          </w:p>
        </w:tc>
        <w:tc>
          <w:tcPr>
            <w:tcW w:w="10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202" w:lineRule="exact"/>
        <w:rPr>
          <w:sz w:val="20"/>
          <w:szCs w:val="20"/>
          <w:color w:val="auto"/>
        </w:rPr>
      </w:pPr>
    </w:p>
    <w:p>
      <w:pPr>
        <w:ind w:right="9820" w:firstLine="8"/>
        <w:spacing w:after="0" w:line="623" w:lineRule="auto"/>
        <w:tabs>
          <w:tab w:leader="none" w:pos="324" w:val="left"/>
        </w:tabs>
        <w:numPr>
          <w:ilvl w:val="0"/>
          <w:numId w:val="7"/>
        </w:numPr>
        <w:rPr>
          <w:rFonts w:ascii="Arial" w:cs="Arial" w:eastAsia="Arial" w:hAnsi="Arial"/>
          <w:sz w:val="16"/>
          <w:szCs w:val="16"/>
          <w:color w:val="auto"/>
        </w:rPr>
      </w:pPr>
      <w:r>
        <w:rPr>
          <w:rFonts w:ascii="Arial" w:cs="Arial" w:eastAsia="Arial" w:hAnsi="Arial"/>
          <w:sz w:val="16"/>
          <w:szCs w:val="16"/>
          <w:color w:val="auto"/>
        </w:rPr>
        <w:t>Filed herewith. ** Furnished.</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5" w:name="page26"/>
    <w:bookmarkEnd w:id="25"/>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Pursuant to the requirements of Securities Exchange Act of 1934, the registrant has duly caused this report to be signed on its behalf by the undersigned, thereunto duly authorized.</w:t>
      </w:r>
    </w:p>
    <w:p>
      <w:pPr>
        <w:spacing w:after="0" w:line="1"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auto"/>
        </w:rPr>
        <w:t>CM LIFE SCIENCES, INC.</w:t>
      </w:r>
    </w:p>
    <w:p>
      <w:pPr>
        <w:spacing w:after="0" w:line="211" w:lineRule="exact"/>
        <w:rPr>
          <w:sz w:val="20"/>
          <w:szCs w:val="20"/>
          <w:color w:val="auto"/>
        </w:rPr>
      </w:pPr>
    </w:p>
    <w:p>
      <w:pPr>
        <w:spacing w:after="0"/>
        <w:tabs>
          <w:tab w:leader="none" w:pos="7300" w:val="left"/>
        </w:tabs>
        <w:rPr>
          <w:sz w:val="20"/>
          <w:szCs w:val="20"/>
          <w:color w:val="auto"/>
        </w:rPr>
      </w:pPr>
      <w:r>
        <w:rPr>
          <w:rFonts w:ascii="Arial" w:cs="Arial" w:eastAsia="Arial" w:hAnsi="Arial"/>
          <w:sz w:val="18"/>
          <w:szCs w:val="18"/>
          <w:color w:val="auto"/>
        </w:rPr>
        <w:t>Date: July 21, 2021</w:t>
      </w:r>
      <w:r>
        <w:rPr>
          <w:sz w:val="20"/>
          <w:szCs w:val="20"/>
          <w:color w:val="auto"/>
        </w:rPr>
        <w:tab/>
      </w:r>
      <w:r>
        <w:rPr>
          <w:rFonts w:ascii="Arial" w:cs="Arial" w:eastAsia="Arial" w:hAnsi="Arial"/>
          <w:sz w:val="16"/>
          <w:szCs w:val="16"/>
          <w:color w:val="auto"/>
        </w:rPr>
        <w:t>/s/ Eli Casdin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14605</wp:posOffset>
            </wp:positionV>
            <wp:extent cx="249428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3"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Name: Eli Casdin</w:t>
      </w:r>
    </w:p>
    <w:p>
      <w:pPr>
        <w:spacing w:after="0" w:line="36" w:lineRule="exact"/>
        <w:rPr>
          <w:sz w:val="20"/>
          <w:szCs w:val="20"/>
          <w:color w:val="auto"/>
        </w:rPr>
      </w:pPr>
    </w:p>
    <w:p>
      <w:pPr>
        <w:ind w:left="6740"/>
        <w:spacing w:after="0"/>
        <w:tabs>
          <w:tab w:leader="none" w:pos="7300" w:val="left"/>
        </w:tabs>
        <w:rPr>
          <w:sz w:val="20"/>
          <w:szCs w:val="20"/>
          <w:color w:val="auto"/>
        </w:rPr>
      </w:pPr>
      <w:r>
        <w:rPr>
          <w:rFonts w:ascii="Arial" w:cs="Arial" w:eastAsia="Arial" w:hAnsi="Arial"/>
          <w:sz w:val="18"/>
          <w:szCs w:val="18"/>
          <w:color w:val="auto"/>
        </w:rPr>
        <w:t>Title:</w:t>
        <w:tab/>
        <w:t>Chief Executive Officer and Director</w:t>
      </w:r>
    </w:p>
    <w:p>
      <w:pPr>
        <w:spacing w:after="0" w:line="9"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(Principal Executive Officer)</w:t>
      </w:r>
    </w:p>
    <w:p>
      <w:pPr>
        <w:spacing w:after="0" w:line="211" w:lineRule="exact"/>
        <w:rPr>
          <w:sz w:val="20"/>
          <w:szCs w:val="20"/>
          <w:color w:val="auto"/>
        </w:rPr>
      </w:pPr>
    </w:p>
    <w:p>
      <w:pPr>
        <w:spacing w:after="0"/>
        <w:tabs>
          <w:tab w:leader="none" w:pos="7300" w:val="left"/>
        </w:tabs>
        <w:rPr>
          <w:sz w:val="20"/>
          <w:szCs w:val="20"/>
          <w:color w:val="auto"/>
        </w:rPr>
      </w:pPr>
      <w:r>
        <w:rPr>
          <w:rFonts w:ascii="Arial" w:cs="Arial" w:eastAsia="Arial" w:hAnsi="Arial"/>
          <w:sz w:val="18"/>
          <w:szCs w:val="18"/>
          <w:color w:val="auto"/>
        </w:rPr>
        <w:t>Date: July 21, 2021</w:t>
      </w:r>
      <w:r>
        <w:rPr>
          <w:sz w:val="20"/>
          <w:szCs w:val="20"/>
          <w:color w:val="auto"/>
        </w:rPr>
        <w:tab/>
      </w:r>
      <w:r>
        <w:rPr>
          <w:rFonts w:ascii="Arial" w:cs="Arial" w:eastAsia="Arial" w:hAnsi="Arial"/>
          <w:sz w:val="16"/>
          <w:szCs w:val="16"/>
          <w:color w:val="auto"/>
        </w:rPr>
        <w:t>/s/ Brian Emes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14605</wp:posOffset>
            </wp:positionV>
            <wp:extent cx="249428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3"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Name: Brian Emes</w:t>
      </w:r>
    </w:p>
    <w:p>
      <w:pPr>
        <w:spacing w:after="0" w:line="36" w:lineRule="exact"/>
        <w:rPr>
          <w:sz w:val="20"/>
          <w:szCs w:val="20"/>
          <w:color w:val="auto"/>
        </w:rPr>
      </w:pPr>
    </w:p>
    <w:p>
      <w:pPr>
        <w:ind w:left="6740"/>
        <w:spacing w:after="0"/>
        <w:tabs>
          <w:tab w:leader="none" w:pos="7300" w:val="left"/>
        </w:tabs>
        <w:rPr>
          <w:sz w:val="20"/>
          <w:szCs w:val="20"/>
          <w:color w:val="auto"/>
        </w:rPr>
      </w:pPr>
      <w:r>
        <w:rPr>
          <w:rFonts w:ascii="Arial" w:cs="Arial" w:eastAsia="Arial" w:hAnsi="Arial"/>
          <w:sz w:val="18"/>
          <w:szCs w:val="18"/>
          <w:color w:val="auto"/>
        </w:rPr>
        <w:t>Title:</w:t>
        <w:tab/>
        <w:t>Chief Financial Officer and Secretary</w:t>
      </w:r>
    </w:p>
    <w:p>
      <w:pPr>
        <w:spacing w:after="0" w:line="9"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(Principal Financial and Accounting Officer)</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6" w:name="page27"/>
    <w:bookmarkEnd w:id="26"/>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RULES 13a-14(a) AND 15d-14(a)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SECURITIES EXCHANGE ACT OF 1934, 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Eli Casdin, certify that:</w:t>
      </w:r>
    </w:p>
    <w:p>
      <w:pPr>
        <w:spacing w:after="0" w:line="225"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CM Life Sciences, Inc.;</w:t>
      </w:r>
    </w:p>
    <w:p>
      <w:pPr>
        <w:spacing w:after="0" w:line="225"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660" w:right="20" w:hanging="328"/>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70" w:lineRule="exact"/>
        <w:rPr>
          <w:rFonts w:ascii="Arial" w:cs="Arial" w:eastAsia="Arial" w:hAnsi="Arial"/>
          <w:sz w:val="18"/>
          <w:szCs w:val="18"/>
          <w:color w:val="auto"/>
        </w:rPr>
      </w:pPr>
    </w:p>
    <w:p>
      <w:pPr>
        <w:jc w:val="both"/>
        <w:ind w:left="980" w:hanging="324"/>
        <w:spacing w:after="0" w:line="263" w:lineRule="auto"/>
        <w:tabs>
          <w:tab w:leader="none" w:pos="980"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980" w:hanging="324"/>
        <w:spacing w:after="0"/>
        <w:tabs>
          <w:tab w:leader="none" w:pos="980" w:val="left"/>
        </w:tabs>
        <w:numPr>
          <w:ilvl w:val="1"/>
          <w:numId w:val="8"/>
        </w:numPr>
        <w:rPr>
          <w:rFonts w:ascii="Arial" w:cs="Arial" w:eastAsia="Arial" w:hAnsi="Arial"/>
          <w:sz w:val="18"/>
          <w:szCs w:val="18"/>
          <w:color w:val="auto"/>
        </w:rPr>
      </w:pPr>
      <w:r>
        <w:rPr>
          <w:rFonts w:ascii="Arial" w:cs="Arial" w:eastAsia="Arial" w:hAnsi="Arial"/>
          <w:sz w:val="18"/>
          <w:szCs w:val="18"/>
          <w:color w:val="auto"/>
        </w:rPr>
        <w:t>(Paragraph omitted pursuant to SEC Release Nos. 33-8238/34-47986 and 33-8392/34-49313);</w:t>
      </w:r>
    </w:p>
    <w:p>
      <w:pPr>
        <w:spacing w:after="0" w:line="225" w:lineRule="exact"/>
        <w:rPr>
          <w:rFonts w:ascii="Arial" w:cs="Arial" w:eastAsia="Arial" w:hAnsi="Arial"/>
          <w:sz w:val="18"/>
          <w:szCs w:val="18"/>
          <w:color w:val="auto"/>
        </w:rPr>
      </w:pPr>
    </w:p>
    <w:p>
      <w:pPr>
        <w:ind w:left="980" w:hanging="324"/>
        <w:spacing w:after="0" w:line="308" w:lineRule="auto"/>
        <w:tabs>
          <w:tab w:leader="none" w:pos="980" w:val="left"/>
        </w:tabs>
        <w:numPr>
          <w:ilvl w:val="1"/>
          <w:numId w:val="8"/>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980" w:hanging="324"/>
        <w:spacing w:after="0" w:line="263" w:lineRule="auto"/>
        <w:tabs>
          <w:tab w:leader="none" w:pos="980" w:val="left"/>
        </w:tabs>
        <w:numPr>
          <w:ilvl w:val="1"/>
          <w:numId w:val="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980" w:hanging="324"/>
        <w:spacing w:after="0" w:line="308" w:lineRule="auto"/>
        <w:rPr>
          <w:rFonts w:ascii="Arial" w:cs="Arial" w:eastAsia="Arial" w:hAnsi="Arial"/>
          <w:sz w:val="17"/>
          <w:szCs w:val="17"/>
          <w:color w:val="auto"/>
        </w:rPr>
      </w:pPr>
      <w:r>
        <w:rPr>
          <w:rFonts w:ascii="Arial" w:cs="Arial" w:eastAsia="Arial" w:hAnsi="Arial"/>
          <w:sz w:val="17"/>
          <w:szCs w:val="17"/>
          <w:color w:val="auto"/>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sz w:val="20"/>
          <w:szCs w:val="20"/>
          <w:color w:val="auto"/>
        </w:rPr>
      </w:pPr>
    </w:p>
    <w:p>
      <w:pPr>
        <w:ind w:left="980" w:hanging="324"/>
        <w:spacing w:after="0" w:line="277"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tabs>
          <w:tab w:leader="none" w:pos="6740" w:val="left"/>
          <w:tab w:leader="none" w:pos="7180" w:val="left"/>
        </w:tabs>
        <w:rPr>
          <w:sz w:val="20"/>
          <w:szCs w:val="20"/>
          <w:color w:val="auto"/>
        </w:rPr>
      </w:pPr>
      <w:r>
        <w:rPr>
          <w:rFonts w:ascii="Arial" w:cs="Arial" w:eastAsia="Arial" w:hAnsi="Arial"/>
          <w:sz w:val="18"/>
          <w:szCs w:val="18"/>
          <w:color w:val="auto"/>
        </w:rPr>
        <w:t>Date: July 21,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Eli Casdin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14605</wp:posOffset>
            </wp:positionV>
            <wp:extent cx="256286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Eli Casdin</w:t>
      </w:r>
    </w:p>
    <w:p>
      <w:pPr>
        <w:spacing w:after="0" w:line="23"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Chief Executive Officer and Director</w:t>
      </w:r>
    </w:p>
    <w:p>
      <w:pPr>
        <w:spacing w:after="0" w:line="9"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121" w:right="339" w:bottom="1440" w:gutter="0" w:footer="0" w:header="0"/>
        </w:sectPr>
      </w:pPr>
    </w:p>
    <w:bookmarkStart w:id="27" w:name="page28"/>
    <w:bookmarkEnd w:id="27"/>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RULES 13a-14(a) AND 15d-14(a)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SECURITIES EXCHANGE ACT OF 1934, 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Brian Emes, certify that:</w:t>
      </w:r>
    </w:p>
    <w:p>
      <w:pPr>
        <w:spacing w:after="0" w:line="225"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CM Life Sciences, Inc.;</w:t>
      </w:r>
    </w:p>
    <w:p>
      <w:pPr>
        <w:spacing w:after="0" w:line="225"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660" w:right="20" w:hanging="328"/>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70" w:lineRule="exact"/>
        <w:rPr>
          <w:rFonts w:ascii="Arial" w:cs="Arial" w:eastAsia="Arial" w:hAnsi="Arial"/>
          <w:sz w:val="18"/>
          <w:szCs w:val="18"/>
          <w:color w:val="auto"/>
        </w:rPr>
      </w:pPr>
    </w:p>
    <w:p>
      <w:pPr>
        <w:jc w:val="both"/>
        <w:ind w:left="980" w:hanging="324"/>
        <w:spacing w:after="0" w:line="263" w:lineRule="auto"/>
        <w:tabs>
          <w:tab w:leader="none" w:pos="98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980" w:hanging="324"/>
        <w:spacing w:after="0"/>
        <w:tabs>
          <w:tab w:leader="none" w:pos="980" w:val="left"/>
        </w:tabs>
        <w:numPr>
          <w:ilvl w:val="1"/>
          <w:numId w:val="10"/>
        </w:numPr>
        <w:rPr>
          <w:rFonts w:ascii="Arial" w:cs="Arial" w:eastAsia="Arial" w:hAnsi="Arial"/>
          <w:sz w:val="18"/>
          <w:szCs w:val="18"/>
          <w:color w:val="auto"/>
        </w:rPr>
      </w:pPr>
      <w:r>
        <w:rPr>
          <w:rFonts w:ascii="Arial" w:cs="Arial" w:eastAsia="Arial" w:hAnsi="Arial"/>
          <w:sz w:val="18"/>
          <w:szCs w:val="18"/>
          <w:color w:val="auto"/>
        </w:rPr>
        <w:t>(Paragraph omitted pursuant to SEC Release Nos. 33-8238/34-47986 and 33-8392/34-49313);</w:t>
      </w:r>
    </w:p>
    <w:p>
      <w:pPr>
        <w:spacing w:after="0" w:line="225" w:lineRule="exact"/>
        <w:rPr>
          <w:rFonts w:ascii="Arial" w:cs="Arial" w:eastAsia="Arial" w:hAnsi="Arial"/>
          <w:sz w:val="18"/>
          <w:szCs w:val="18"/>
          <w:color w:val="auto"/>
        </w:rPr>
      </w:pPr>
    </w:p>
    <w:p>
      <w:pPr>
        <w:ind w:left="980" w:hanging="324"/>
        <w:spacing w:after="0" w:line="308" w:lineRule="auto"/>
        <w:tabs>
          <w:tab w:leader="none" w:pos="980" w:val="left"/>
        </w:tabs>
        <w:numPr>
          <w:ilvl w:val="1"/>
          <w:numId w:val="10"/>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980" w:hanging="324"/>
        <w:spacing w:after="0" w:line="263" w:lineRule="auto"/>
        <w:tabs>
          <w:tab w:leader="none" w:pos="98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980" w:hanging="324"/>
        <w:spacing w:after="0" w:line="308" w:lineRule="auto"/>
        <w:rPr>
          <w:rFonts w:ascii="Arial" w:cs="Arial" w:eastAsia="Arial" w:hAnsi="Arial"/>
          <w:sz w:val="17"/>
          <w:szCs w:val="17"/>
          <w:color w:val="auto"/>
        </w:rPr>
      </w:pPr>
      <w:r>
        <w:rPr>
          <w:rFonts w:ascii="Arial" w:cs="Arial" w:eastAsia="Arial" w:hAnsi="Arial"/>
          <w:sz w:val="17"/>
          <w:szCs w:val="17"/>
          <w:color w:val="auto"/>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sz w:val="20"/>
          <w:szCs w:val="20"/>
          <w:color w:val="auto"/>
        </w:rPr>
      </w:pPr>
    </w:p>
    <w:p>
      <w:pPr>
        <w:ind w:left="980" w:hanging="324"/>
        <w:spacing w:after="0" w:line="277"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tabs>
          <w:tab w:leader="none" w:pos="6740" w:val="left"/>
          <w:tab w:leader="none" w:pos="7180" w:val="left"/>
        </w:tabs>
        <w:rPr>
          <w:sz w:val="20"/>
          <w:szCs w:val="20"/>
          <w:color w:val="auto"/>
        </w:rPr>
      </w:pPr>
      <w:r>
        <w:rPr>
          <w:rFonts w:ascii="Arial" w:cs="Arial" w:eastAsia="Arial" w:hAnsi="Arial"/>
          <w:sz w:val="18"/>
          <w:szCs w:val="18"/>
          <w:color w:val="auto"/>
        </w:rPr>
        <w:t>Date: July 21,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Brian Emes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14605</wp:posOffset>
            </wp:positionV>
            <wp:extent cx="256286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Brian Emes</w:t>
      </w:r>
    </w:p>
    <w:p>
      <w:pPr>
        <w:spacing w:after="0" w:line="23"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Chief Financial Officer and Secretary</w:t>
      </w:r>
    </w:p>
    <w:p>
      <w:pPr>
        <w:spacing w:after="0" w:line="9"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(Principal Financial and Accounting Officer)</w:t>
      </w:r>
    </w:p>
    <w:p>
      <w:pPr>
        <w:sectPr>
          <w:pgSz w:w="11900" w:h="16838" w:orient="portrait"/>
          <w:cols w:equalWidth="0" w:num="1">
            <w:col w:w="11240"/>
          </w:cols>
          <w:pgMar w:left="320" w:top="121" w:right="339" w:bottom="1440" w:gutter="0" w:footer="0" w:header="0"/>
        </w:sectPr>
      </w:pPr>
    </w:p>
    <w:bookmarkStart w:id="28" w:name="page29"/>
    <w:bookmarkEnd w:id="28"/>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ADDED BY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connection with the Quarterly Report of CM Life Sciences, Inc. (the “Company”) on Form 10-Q for the quarterly period ended June 30, 2021, as filed with the Securities and Exchange Commission (the “Report”), I, Eli Casdin, Chief Executive Officer of the Company, certify, pursuant to 18 U.S.C. §1350, as added by §906 of the Sarbanes-Oxley Act of 2002, that:</w:t>
      </w:r>
    </w:p>
    <w:p>
      <w:pPr>
        <w:spacing w:after="0" w:line="184"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To my knowledge, the information contained in the Report fairly presents, in all material respects, the financial condition and results of operations of the Company as of and for the period covered by the Report.</w:t>
      </w:r>
    </w:p>
    <w:p>
      <w:pPr>
        <w:spacing w:after="0" w:line="170" w:lineRule="exact"/>
        <w:rPr>
          <w:sz w:val="20"/>
          <w:szCs w:val="20"/>
          <w:color w:val="auto"/>
        </w:rPr>
      </w:pPr>
    </w:p>
    <w:p>
      <w:pPr>
        <w:spacing w:after="0"/>
        <w:tabs>
          <w:tab w:leader="none" w:pos="6740" w:val="left"/>
          <w:tab w:leader="none" w:pos="7180" w:val="left"/>
        </w:tabs>
        <w:rPr>
          <w:sz w:val="20"/>
          <w:szCs w:val="20"/>
          <w:color w:val="auto"/>
        </w:rPr>
      </w:pPr>
      <w:r>
        <w:rPr>
          <w:rFonts w:ascii="Arial" w:cs="Arial" w:eastAsia="Arial" w:hAnsi="Arial"/>
          <w:sz w:val="18"/>
          <w:szCs w:val="18"/>
          <w:color w:val="auto"/>
        </w:rPr>
        <w:t>Date: July 21,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Eli Casdin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14605</wp:posOffset>
            </wp:positionV>
            <wp:extent cx="256286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Eli Casdin</w:t>
      </w:r>
    </w:p>
    <w:p>
      <w:pPr>
        <w:spacing w:after="0" w:line="23"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Chief Executive Officer and Director</w:t>
      </w:r>
    </w:p>
    <w:p>
      <w:pPr>
        <w:spacing w:after="0" w:line="9"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121" w:right="339" w:bottom="1440" w:gutter="0" w:footer="0" w:header="0"/>
        </w:sectPr>
      </w:pPr>
    </w:p>
    <w:bookmarkStart w:id="29" w:name="page30"/>
    <w:bookmarkEnd w:id="29"/>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ADDED BY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connection with the Quarterly Report of CM Life Sciences, Inc. (the “Company”) on Form 10-Q for the quarterly period ended June 30, 2021, as filed with the Securities and Exchange Commission (the “Report”), I, Brian Emes, Chief Financial Officer of the Company, certify, pursuant to 18 U.S.C. §1350, as added by §906 of the Sarbanes-Oxley Act of 2002, that:</w:t>
      </w:r>
    </w:p>
    <w:p>
      <w:pPr>
        <w:spacing w:after="0" w:line="184"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To my knowledge, the information contained in the Report fairly presents, in all material respects, the financial condition and results of operations of the Company as of and for the period covered by the Report.</w:t>
      </w:r>
    </w:p>
    <w:p>
      <w:pPr>
        <w:spacing w:after="0" w:line="170" w:lineRule="exact"/>
        <w:rPr>
          <w:sz w:val="20"/>
          <w:szCs w:val="20"/>
          <w:color w:val="auto"/>
        </w:rPr>
      </w:pPr>
    </w:p>
    <w:p>
      <w:pPr>
        <w:spacing w:after="0"/>
        <w:tabs>
          <w:tab w:leader="none" w:pos="6740" w:val="left"/>
          <w:tab w:leader="none" w:pos="7180" w:val="left"/>
        </w:tabs>
        <w:rPr>
          <w:sz w:val="20"/>
          <w:szCs w:val="20"/>
          <w:color w:val="auto"/>
        </w:rPr>
      </w:pPr>
      <w:r>
        <w:rPr>
          <w:rFonts w:ascii="Arial" w:cs="Arial" w:eastAsia="Arial" w:hAnsi="Arial"/>
          <w:sz w:val="18"/>
          <w:szCs w:val="18"/>
          <w:color w:val="auto"/>
        </w:rPr>
        <w:t>Date: July 21,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Brian Emes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14605</wp:posOffset>
            </wp:positionV>
            <wp:extent cx="256286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7"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Brian Emes</w:t>
      </w:r>
    </w:p>
    <w:p>
      <w:pPr>
        <w:spacing w:after="0" w:line="23"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Chief Financial Officer and Secretary</w:t>
      </w:r>
    </w:p>
    <w:p>
      <w:pPr>
        <w:spacing w:after="0" w:line="9"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(Principal Financial and Accounting Officer)</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lvl w:ilvl="1">
      <w:lvlJc w:val="left"/>
      <w:lvlText w:val="☒"/>
      <w:numFmt w:val="bullet"/>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1)"/>
      <w:numFmt w:val="lowerLetter"/>
      <w:start w:val="1"/>
    </w:lvl>
  </w:abstractNum>
  <w:abstractNum w:abstractNumId="3">
    <w:nsid w:val="515F007C"/>
    <w:multiLevelType w:val="hybridMultilevel"/>
    <w:lvl w:ilvl="0">
      <w:lvlJc w:val="left"/>
      <w:lvlText w:val="●"/>
      <w:numFmt w:val="bullet"/>
      <w:start w:val="1"/>
    </w:lvl>
  </w:abstractNum>
  <w:abstractNum w:abstractNumId="4">
    <w:nsid w:val="5BD062C2"/>
    <w:multiLevelType w:val="hybridMultilevel"/>
    <w:lvl w:ilvl="0">
      <w:lvlJc w:val="left"/>
      <w:lvlText w:val="●"/>
      <w:numFmt w:val="bullet"/>
      <w:start w:val="1"/>
    </w:lvl>
  </w:abstractNum>
  <w:abstractNum w:abstractNumId="5">
    <w:nsid w:val="12200854"/>
    <w:multiLevelType w:val="hybridMultilevel"/>
    <w:lvl w:ilvl="0">
      <w:lvlJc w:val="left"/>
      <w:lvlText w:val="(%1)"/>
      <w:numFmt w:val="lowerLetter"/>
      <w:start w:val="1"/>
    </w:lvl>
    <w:lvl w:ilvl="1">
      <w:lvlJc w:val="left"/>
      <w:lvlText w:val="(%2)"/>
      <w:numFmt w:val="lowerLetter"/>
      <w:start w:val="24"/>
    </w:lvl>
  </w:abstractNum>
  <w:abstractNum w:abstractNumId="6">
    <w:nsid w:val="4DB127F8"/>
    <w:multiLevelType w:val="hybridMultilevel"/>
    <w:lvl w:ilvl="0">
      <w:lvlJc w:val="left"/>
      <w:lvlText w:val="*"/>
      <w:numFmt w:val="bullet"/>
      <w:start w:val="1"/>
    </w:lvl>
  </w:abstractNum>
  <w:abstractNum w:abstractNumId="7">
    <w:nsid w:val="216231B"/>
    <w:multiLevelType w:val="hybridMultilevel"/>
    <w:lvl w:ilvl="0">
      <w:lvlJc w:val="left"/>
      <w:lvlText w:val="%1."/>
      <w:numFmt w:val="decimal"/>
      <w:start w:val="1"/>
    </w:lvl>
    <w:lvl w:ilvl="1">
      <w:lvlJc w:val="left"/>
      <w:lvlText w:val="%2)"/>
      <w:numFmt w:val="lowerLetter"/>
      <w:start w:val="1"/>
    </w:lvl>
  </w:abstractNum>
  <w:abstractNum w:abstractNumId="8">
    <w:nsid w:val="1F16E9E8"/>
    <w:multiLevelType w:val="hybridMultilevel"/>
    <w:lvl w:ilvl="0">
      <w:lvlJc w:val="left"/>
      <w:lvlText w:val="(%1)"/>
      <w:numFmt w:val="lowerLetter"/>
      <w:start w:val="2"/>
    </w:lvl>
  </w:abstractNum>
  <w:abstractNum w:abstractNumId="9">
    <w:nsid w:val="1190CDE7"/>
    <w:multiLevelType w:val="hybridMultilevel"/>
    <w:lvl w:ilvl="0">
      <w:lvlJc w:val="left"/>
      <w:lvlText w:val="%1."/>
      <w:numFmt w:val="decimal"/>
      <w:start w:val="1"/>
    </w:lvl>
    <w:lvl w:ilvl="1">
      <w:lvlJc w:val="left"/>
      <w:lvlText w:val="%2)"/>
      <w:numFmt w:val="lowerLetter"/>
      <w:start w:val="1"/>
    </w:lvl>
  </w:abstractNum>
  <w:abstractNum w:abstractNumId="10">
    <w:nsid w:val="66EF438D"/>
    <w:multiLevelType w:val="hybridMultilevel"/>
    <w:lvl w:ilvl="0">
      <w:lvlJc w:val="left"/>
      <w:lvlText w:val="(%1)"/>
      <w:numFmt w:val="lowerLetter"/>
      <w:start w:val="2"/>
    </w:lvl>
  </w:abstractNum>
  <w:abstractNum w:abstractNumId="11">
    <w:nsid w:val="140E0F76"/>
    <w:multiLevelType w:val="hybridMultilevel"/>
    <w:lvl w:ilvl="0">
      <w:lvlJc w:val="left"/>
      <w:lvlText w:val="%1."/>
      <w:numFmt w:val="decimal"/>
      <w:start w:val="1"/>
    </w:lvl>
  </w:abstractNum>
  <w:abstractNum w:abstractNumId="12">
    <w:nsid w:val="335225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2021-07-21T15:33:56Z</dcterms:created>
  <dcterms:modified xsi:type="dcterms:W3CDTF">2021-07-21T15:33:56Z</dcterms:modified>
</cp:coreProperties>
</file>