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GENEDX HOLDINGS CORP. (f/k/a SEMA4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Mount Sinai Health System,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150 East 42nd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Suite 2-B.17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212.659.8105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right="60" w:firstLine="8"/>
        <w:spacing w:after="0" w:line="194" w:lineRule="auto"/>
        <w:tabs>
          <w:tab w:leader="none" w:pos="112"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(the "Exchange Act")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CUSIP No. 81663L101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6035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035040"/>
                    </a:xfrm>
                    <a:prstGeom prst="rect">
                      <a:avLst/>
                    </a:prstGeom>
                    <a:noFill/>
                  </pic:spPr>
                </pic:pic>
              </a:graphicData>
            </a:graphic>
          </wp:anchor>
        </w:drawing>
      </w:r>
    </w:p>
    <w:p>
      <w:pPr>
        <w:spacing w:after="0" w:line="2" w:lineRule="exact"/>
        <w:rPr>
          <w:sz w:val="20"/>
          <w:szCs w:val="20"/>
          <w:color w:val="auto"/>
        </w:rPr>
      </w:pPr>
    </w:p>
    <w:p>
      <w:pPr>
        <w:ind w:left="760" w:hanging="671"/>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0"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ICAHN SCHOOL OF MEDICINE AT MOUNT SINAI</w:t>
      </w:r>
    </w:p>
    <w:p>
      <w:pPr>
        <w:spacing w:after="0" w:line="239" w:lineRule="exact"/>
        <w:rPr>
          <w:sz w:val="20"/>
          <w:szCs w:val="20"/>
          <w:color w:val="auto"/>
        </w:rPr>
      </w:pPr>
    </w:p>
    <w:p>
      <w:pPr>
        <w:ind w:left="760" w:hanging="671"/>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000" w:hanging="236"/>
        <w:spacing w:after="0" w:line="218" w:lineRule="exact"/>
        <w:tabs>
          <w:tab w:leader="none" w:pos="1000" w:val="left"/>
        </w:tabs>
        <w:numPr>
          <w:ilvl w:val="1"/>
          <w:numId w:val="3"/>
        </w:numPr>
        <w:rPr>
          <w:rFonts w:ascii="Arial" w:cs="Arial" w:eastAsia="Arial" w:hAnsi="Arial"/>
          <w:sz w:val="18"/>
          <w:szCs w:val="18"/>
          <w:color w:val="auto"/>
        </w:rPr>
      </w:pPr>
      <w:r>
        <w:rPr>
          <w:rFonts w:ascii="Arial Unicode MS" w:cs="Arial Unicode MS" w:eastAsia="Arial Unicode MS" w:hAnsi="Arial Unicode MS"/>
          <w:sz w:val="18"/>
          <w:szCs w:val="18"/>
          <w:color w:val="auto"/>
        </w:rPr>
        <w:t>☐</w:t>
      </w:r>
    </w:p>
    <w:p>
      <w:pPr>
        <w:ind w:left="1020" w:hanging="256"/>
        <w:spacing w:after="0" w:line="235" w:lineRule="exact"/>
        <w:tabs>
          <w:tab w:leader="none" w:pos="1020" w:val="left"/>
        </w:tabs>
        <w:numPr>
          <w:ilvl w:val="1"/>
          <w:numId w:val="3"/>
        </w:numPr>
        <w:rPr>
          <w:rFonts w:ascii="Arial" w:cs="Arial" w:eastAsia="Arial" w:hAnsi="Arial"/>
          <w:sz w:val="18"/>
          <w:szCs w:val="18"/>
          <w:color w:val="auto"/>
        </w:rPr>
      </w:pPr>
      <w:r>
        <w:rPr>
          <w:rFonts w:ascii="Arial Unicode MS" w:cs="Arial Unicode MS" w:eastAsia="Arial Unicode MS" w:hAnsi="Arial Unicode MS"/>
          <w:sz w:val="18"/>
          <w:szCs w:val="18"/>
          <w:color w:val="auto"/>
        </w:rPr>
        <w:t>☐</w:t>
      </w:r>
    </w:p>
    <w:p>
      <w:pPr>
        <w:spacing w:after="0" w:line="195" w:lineRule="exact"/>
        <w:rPr>
          <w:sz w:val="20"/>
          <w:szCs w:val="20"/>
          <w:color w:val="auto"/>
        </w:rPr>
      </w:pPr>
    </w:p>
    <w:p>
      <w:pPr>
        <w:ind w:left="760" w:hanging="671"/>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760" w:right="8860" w:hanging="671"/>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184" w:lineRule="exact"/>
        <w:rPr>
          <w:sz w:val="20"/>
          <w:szCs w:val="20"/>
          <w:color w:val="auto"/>
        </w:rPr>
      </w:pPr>
    </w:p>
    <w:p>
      <w:pPr>
        <w:ind w:left="760" w:hanging="671"/>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39" w:lineRule="exact"/>
        <w:rPr>
          <w:sz w:val="20"/>
          <w:szCs w:val="20"/>
          <w:color w:val="auto"/>
        </w:rPr>
      </w:pPr>
    </w:p>
    <w:p>
      <w:pPr>
        <w:ind w:left="760" w:hanging="671"/>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20"/>
          <w:szCs w:val="20"/>
          <w:color w:val="auto"/>
        </w:rPr>
        <w:t>New York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60" w:type="dxa"/>
            <w:vAlign w:val="bottom"/>
            <w:tcBorders>
              <w:top w:val="single" w:sz="8" w:color="auto"/>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7</w:t>
            </w:r>
          </w:p>
        </w:tc>
        <w:tc>
          <w:tcPr>
            <w:tcW w:w="85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660" w:type="dxa"/>
            <w:vAlign w:val="bottom"/>
            <w:tcBorders>
              <w:right w:val="single" w:sz="8" w:color="auto"/>
            </w:tcBorders>
          </w:tcPr>
          <w:p>
            <w:pPr>
              <w:spacing w:after="0"/>
              <w:rPr>
                <w:sz w:val="20"/>
                <w:szCs w:val="20"/>
                <w:color w:val="auto"/>
              </w:rPr>
            </w:pPr>
          </w:p>
        </w:tc>
        <w:tc>
          <w:tcPr>
            <w:tcW w:w="8520" w:type="dxa"/>
            <w:vAlign w:val="bottom"/>
          </w:tcPr>
          <w:p>
            <w:pPr>
              <w:ind w:left="60"/>
              <w:spacing w:after="0"/>
              <w:rPr>
                <w:sz w:val="20"/>
                <w:szCs w:val="20"/>
                <w:color w:val="auto"/>
              </w:rPr>
            </w:pPr>
            <w:r>
              <w:rPr>
                <w:rFonts w:ascii="Arial" w:cs="Arial" w:eastAsia="Arial" w:hAnsi="Arial"/>
                <w:sz w:val="18"/>
                <w:szCs w:val="18"/>
                <w:color w:val="auto"/>
              </w:rPr>
              <w:t>123,176,901</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vMerge w:val="continue"/>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Shares</w:t>
            </w:r>
          </w:p>
        </w:tc>
        <w:tc>
          <w:tcPr>
            <w:tcW w:w="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8</w:t>
            </w:r>
          </w:p>
        </w:tc>
        <w:tc>
          <w:tcPr>
            <w:tcW w:w="8520" w:type="dxa"/>
            <w:vAlign w:val="bottom"/>
          </w:tcPr>
          <w:p>
            <w:pPr>
              <w:ind w:left="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Beneficially</w:t>
            </w:r>
          </w:p>
        </w:tc>
        <w:tc>
          <w:tcPr>
            <w:tcW w:w="660" w:type="dxa"/>
            <w:vAlign w:val="bottom"/>
            <w:tcBorders>
              <w:right w:val="single" w:sz="8" w:color="auto"/>
            </w:tcBorders>
          </w:tcPr>
          <w:p>
            <w:pPr>
              <w:spacing w:after="0"/>
              <w:rPr>
                <w:sz w:val="18"/>
                <w:szCs w:val="18"/>
                <w:color w:val="auto"/>
              </w:rPr>
            </w:pPr>
          </w:p>
        </w:tc>
        <w:tc>
          <w:tcPr>
            <w:tcW w:w="85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6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9</w:t>
            </w:r>
          </w:p>
        </w:tc>
        <w:tc>
          <w:tcPr>
            <w:tcW w:w="8520" w:type="dxa"/>
            <w:vAlign w:val="bottom"/>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Reporting</w:t>
            </w:r>
          </w:p>
        </w:tc>
        <w:tc>
          <w:tcPr>
            <w:tcW w:w="660" w:type="dxa"/>
            <w:vAlign w:val="bottom"/>
            <w:tcBorders>
              <w:right w:val="single" w:sz="8" w:color="auto"/>
            </w:tcBorders>
          </w:tcPr>
          <w:p>
            <w:pPr>
              <w:spacing w:after="0"/>
              <w:rPr>
                <w:sz w:val="18"/>
                <w:szCs w:val="18"/>
                <w:color w:val="auto"/>
              </w:rPr>
            </w:pPr>
          </w:p>
        </w:tc>
        <w:tc>
          <w:tcPr>
            <w:tcW w:w="8520" w:type="dxa"/>
            <w:vAlign w:val="bottom"/>
          </w:tcPr>
          <w:p>
            <w:pPr>
              <w:ind w:left="60"/>
              <w:spacing w:after="0"/>
              <w:rPr>
                <w:sz w:val="20"/>
                <w:szCs w:val="20"/>
                <w:color w:val="auto"/>
              </w:rPr>
            </w:pPr>
            <w:r>
              <w:rPr>
                <w:rFonts w:ascii="Arial" w:cs="Arial" w:eastAsia="Arial" w:hAnsi="Arial"/>
                <w:sz w:val="18"/>
                <w:szCs w:val="18"/>
                <w:color w:val="auto"/>
              </w:rPr>
              <w:t>123,176,901</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Person</w:t>
            </w:r>
          </w:p>
        </w:tc>
        <w:tc>
          <w:tcPr>
            <w:tcW w:w="660" w:type="dxa"/>
            <w:vAlign w:val="bottom"/>
            <w:tcBorders>
              <w:right w:val="single" w:sz="8" w:color="auto"/>
            </w:tcBorders>
          </w:tcPr>
          <w:p>
            <w:pPr>
              <w:spacing w:after="0"/>
              <w:rPr>
                <w:sz w:val="18"/>
                <w:szCs w:val="18"/>
                <w:color w:val="auto"/>
              </w:rPr>
            </w:pPr>
          </w:p>
        </w:tc>
        <w:tc>
          <w:tcPr>
            <w:tcW w:w="8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With</w:t>
            </w:r>
          </w:p>
        </w:tc>
        <w:tc>
          <w:tcPr>
            <w:tcW w:w="660" w:type="dxa"/>
            <w:vAlign w:val="bottom"/>
            <w:tcBorders>
              <w:bottom w:val="single" w:sz="8" w:color="auto"/>
              <w:right w:val="single" w:sz="8" w:color="auto"/>
            </w:tcBorders>
          </w:tcPr>
          <w:p>
            <w:pPr>
              <w:spacing w:after="0"/>
              <w:rPr>
                <w:sz w:val="2"/>
                <w:szCs w:val="2"/>
                <w:color w:val="auto"/>
              </w:rPr>
            </w:pPr>
          </w:p>
        </w:tc>
        <w:tc>
          <w:tcPr>
            <w:tcW w:w="8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60" w:type="dxa"/>
            <w:vAlign w:val="bottom"/>
            <w:tcBorders>
              <w:right w:val="single" w:sz="8" w:color="auto"/>
            </w:tcBorders>
            <w:vMerge w:val="continue"/>
          </w:tcPr>
          <w:p>
            <w:pPr>
              <w:spacing w:after="0"/>
              <w:rPr>
                <w:sz w:val="16"/>
                <w:szCs w:val="16"/>
                <w:color w:val="auto"/>
              </w:rPr>
            </w:pPr>
          </w:p>
        </w:tc>
        <w:tc>
          <w:tcPr>
            <w:tcW w:w="6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w:t>
            </w:r>
          </w:p>
        </w:tc>
        <w:tc>
          <w:tcPr>
            <w:tcW w:w="8520" w:type="dxa"/>
            <w:vAlign w:val="bottom"/>
          </w:tcPr>
          <w:p>
            <w:pPr>
              <w:ind w:left="6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0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5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760" w:right="3920" w:hanging="671"/>
        <w:spacing w:after="0" w:line="269"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123,176,901</w:t>
      </w:r>
      <w:r>
        <w:rPr>
          <w:rFonts w:ascii="Arial" w:cs="Arial" w:eastAsia="Arial" w:hAnsi="Arial"/>
          <w:sz w:val="29"/>
          <w:szCs w:val="29"/>
          <w:color w:val="auto"/>
          <w:vertAlign w:val="superscript"/>
        </w:rPr>
        <w:t>1</w:t>
      </w:r>
    </w:p>
    <w:p>
      <w:pPr>
        <w:spacing w:after="0" w:line="41" w:lineRule="exact"/>
        <w:rPr>
          <w:rFonts w:ascii="Arial" w:cs="Arial" w:eastAsia="Arial" w:hAnsi="Arial"/>
          <w:sz w:val="18"/>
          <w:szCs w:val="18"/>
          <w:color w:val="auto"/>
        </w:rPr>
      </w:pPr>
    </w:p>
    <w:p>
      <w:pPr>
        <w:ind w:left="760" w:right="2000" w:hanging="671"/>
        <w:spacing w:after="0" w:line="233" w:lineRule="exact"/>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See Items 3 and 5 below.</w:t>
      </w:r>
    </w:p>
    <w:p>
      <w:pPr>
        <w:spacing w:after="0" w:line="196" w:lineRule="exact"/>
        <w:rPr>
          <w:rFonts w:ascii="Arial" w:cs="Arial" w:eastAsia="Arial" w:hAnsi="Arial"/>
          <w:sz w:val="18"/>
          <w:szCs w:val="18"/>
          <w:color w:val="auto"/>
        </w:rPr>
      </w:pPr>
    </w:p>
    <w:p>
      <w:pPr>
        <w:ind w:left="760" w:right="5540" w:hanging="671"/>
        <w:spacing w:after="0" w:line="28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15.6%</w:t>
      </w:r>
      <w:r>
        <w:rPr>
          <w:rFonts w:ascii="Arial" w:cs="Arial" w:eastAsia="Arial" w:hAnsi="Arial"/>
          <w:sz w:val="29"/>
          <w:szCs w:val="29"/>
          <w:color w:val="auto"/>
          <w:vertAlign w:val="superscript"/>
        </w:rPr>
        <w:t>2</w:t>
      </w:r>
    </w:p>
    <w:p>
      <w:pPr>
        <w:spacing w:after="0" w:line="30" w:lineRule="exact"/>
        <w:rPr>
          <w:rFonts w:ascii="Arial" w:cs="Arial" w:eastAsia="Arial" w:hAnsi="Arial"/>
          <w:sz w:val="18"/>
          <w:szCs w:val="18"/>
          <w:color w:val="auto"/>
        </w:rPr>
      </w:pPr>
    </w:p>
    <w:p>
      <w:pPr>
        <w:ind w:left="760" w:right="6140" w:hanging="671"/>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120" w:hanging="112"/>
        <w:spacing w:after="0" w:line="182" w:lineRule="auto"/>
        <w:tabs>
          <w:tab w:leader="none" w:pos="1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The shares do not include up to 11,597,198 Earn-Out Shares (as described in Item 3 of the Initial Filing (as defined below)).</w:t>
      </w:r>
    </w:p>
    <w:p>
      <w:pPr>
        <w:jc w:val="both"/>
        <w:ind w:firstLine="8"/>
        <w:spacing w:after="0" w:line="217" w:lineRule="auto"/>
        <w:tabs>
          <w:tab w:leader="none" w:pos="129"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Based on 810,000,334 shares of Class A Common Stock (as defined below) to be outstanding immediately after the Public Offering (as defined below) and the Registered Direct Offering (as defined below), as reported in the Issuer's final prospectus on Form 424 filed with the SEC on January 30, 2023, reduced by the 22,336,624 Additional Direct Offering Shares (as defined below), plus 185,000 shares that were issued as a result of the partial exercise by the underwriter of the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CUSIP No. 81663L101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5888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88990"/>
                    </a:xfrm>
                    <a:prstGeom prst="rect">
                      <a:avLst/>
                    </a:prstGeom>
                    <a:noFill/>
                  </pic:spPr>
                </pic:pic>
              </a:graphicData>
            </a:graphic>
          </wp:anchor>
        </w:drawing>
      </w:r>
    </w:p>
    <w:p>
      <w:pPr>
        <w:spacing w:after="0" w:line="2" w:lineRule="exact"/>
        <w:rPr>
          <w:sz w:val="20"/>
          <w:szCs w:val="20"/>
          <w:color w:val="auto"/>
        </w:rPr>
      </w:pPr>
    </w:p>
    <w:p>
      <w:pPr>
        <w:ind w:left="760" w:right="7340" w:hanging="671"/>
        <w:spacing w:after="0" w:line="535"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NAMES OF REPORTING PERSONS MOUNT SINAI HEALTH SYSTEM, INC.</w:t>
      </w:r>
    </w:p>
    <w:p>
      <w:pPr>
        <w:spacing w:after="0" w:line="1" w:lineRule="exact"/>
        <w:rPr>
          <w:sz w:val="20"/>
          <w:szCs w:val="20"/>
          <w:color w:val="auto"/>
        </w:rPr>
      </w:pPr>
    </w:p>
    <w:p>
      <w:pPr>
        <w:ind w:left="760" w:hanging="671"/>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000" w:hanging="236"/>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20" w:hanging="256"/>
        <w:spacing w:after="0" w:line="207" w:lineRule="exact"/>
        <w:tabs>
          <w:tab w:leader="none" w:pos="102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760" w:hanging="671"/>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39" w:lineRule="exact"/>
        <w:rPr>
          <w:sz w:val="20"/>
          <w:szCs w:val="20"/>
          <w:color w:val="auto"/>
        </w:rPr>
      </w:pPr>
    </w:p>
    <w:p>
      <w:pPr>
        <w:ind w:left="760" w:right="8860" w:hanging="671"/>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184" w:lineRule="exact"/>
        <w:rPr>
          <w:sz w:val="20"/>
          <w:szCs w:val="20"/>
          <w:color w:val="auto"/>
        </w:rPr>
      </w:pPr>
    </w:p>
    <w:p>
      <w:pPr>
        <w:ind w:left="760" w:hanging="671"/>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39" w:lineRule="exact"/>
        <w:rPr>
          <w:sz w:val="20"/>
          <w:szCs w:val="20"/>
          <w:color w:val="auto"/>
        </w:rPr>
      </w:pPr>
    </w:p>
    <w:p>
      <w:pPr>
        <w:ind w:left="760" w:right="6800" w:hanging="671"/>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8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7</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68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80" w:type="dxa"/>
            <w:vAlign w:val="bottom"/>
            <w:tcBorders>
              <w:right w:val="single" w:sz="8" w:color="auto"/>
            </w:tcBorders>
            <w:vMerge w:val="continue"/>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Shares</w:t>
            </w:r>
          </w:p>
        </w:tc>
        <w:tc>
          <w:tcPr>
            <w:tcW w:w="6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8</w:t>
            </w:r>
          </w:p>
        </w:tc>
        <w:tc>
          <w:tcPr>
            <w:tcW w:w="8480" w:type="dxa"/>
            <w:vAlign w:val="bottom"/>
          </w:tcPr>
          <w:p>
            <w:pPr>
              <w:ind w:left="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Beneficially</w:t>
            </w:r>
          </w:p>
        </w:tc>
        <w:tc>
          <w:tcPr>
            <w:tcW w:w="68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Owned By</w:t>
            </w:r>
          </w:p>
        </w:tc>
        <w:tc>
          <w:tcPr>
            <w:tcW w:w="680" w:type="dxa"/>
            <w:vAlign w:val="bottom"/>
            <w:tcBorders>
              <w:bottom w:val="single" w:sz="8" w:color="auto"/>
              <w:right w:val="single" w:sz="8" w:color="auto"/>
            </w:tcBorders>
          </w:tcPr>
          <w:p>
            <w:pPr>
              <w:spacing w:after="0"/>
              <w:rPr>
                <w:sz w:val="20"/>
                <w:szCs w:val="20"/>
                <w:color w:val="auto"/>
              </w:rPr>
            </w:pPr>
          </w:p>
        </w:tc>
        <w:tc>
          <w:tcPr>
            <w:tcW w:w="8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68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9</w:t>
            </w:r>
          </w:p>
        </w:tc>
        <w:tc>
          <w:tcPr>
            <w:tcW w:w="8480" w:type="dxa"/>
            <w:vAlign w:val="bottom"/>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Reporting</w:t>
            </w:r>
          </w:p>
        </w:tc>
        <w:tc>
          <w:tcPr>
            <w:tcW w:w="68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Person</w:t>
            </w:r>
          </w:p>
        </w:tc>
        <w:tc>
          <w:tcPr>
            <w:tcW w:w="680" w:type="dxa"/>
            <w:vAlign w:val="bottom"/>
            <w:tcBorders>
              <w:right w:val="single" w:sz="8" w:color="auto"/>
            </w:tcBorders>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right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80" w:type="dxa"/>
            <w:vAlign w:val="bottom"/>
            <w:tcBorders>
              <w:right w:val="single" w:sz="8" w:color="auto"/>
            </w:tcBorders>
            <w:vMerge w:val="continue"/>
          </w:tcPr>
          <w:p>
            <w:pPr>
              <w:spacing w:after="0"/>
              <w:rPr>
                <w:sz w:val="16"/>
                <w:szCs w:val="16"/>
                <w:color w:val="auto"/>
              </w:rPr>
            </w:pPr>
          </w:p>
        </w:tc>
        <w:tc>
          <w:tcPr>
            <w:tcW w:w="6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10</w:t>
            </w:r>
          </w:p>
        </w:tc>
        <w:tc>
          <w:tcPr>
            <w:tcW w:w="8480" w:type="dxa"/>
            <w:vAlign w:val="bottom"/>
          </w:tcPr>
          <w:p>
            <w:pPr>
              <w:ind w:left="6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0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760" w:right="3920" w:hanging="671"/>
        <w:spacing w:after="0" w:line="260"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98" w:lineRule="exact"/>
        <w:rPr>
          <w:rFonts w:ascii="Arial" w:cs="Arial" w:eastAsia="Arial" w:hAnsi="Arial"/>
          <w:sz w:val="18"/>
          <w:szCs w:val="18"/>
          <w:color w:val="auto"/>
        </w:rPr>
      </w:pPr>
    </w:p>
    <w:p>
      <w:pPr>
        <w:ind w:left="760" w:hanging="671"/>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8" w:lineRule="exact"/>
        <w:rPr>
          <w:rFonts w:ascii="Arial" w:cs="Arial" w:eastAsia="Arial" w:hAnsi="Arial"/>
          <w:sz w:val="18"/>
          <w:szCs w:val="18"/>
          <w:color w:val="auto"/>
        </w:rPr>
      </w:pPr>
    </w:p>
    <w:p>
      <w:pPr>
        <w:ind w:left="7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56" w:lineRule="exact"/>
        <w:rPr>
          <w:rFonts w:ascii="Arial" w:cs="Arial" w:eastAsia="Arial" w:hAnsi="Arial"/>
          <w:sz w:val="18"/>
          <w:szCs w:val="18"/>
          <w:color w:val="auto"/>
        </w:rPr>
      </w:pPr>
    </w:p>
    <w:p>
      <w:pPr>
        <w:ind w:left="760" w:right="5540" w:hanging="671"/>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83" w:lineRule="exact"/>
        <w:rPr>
          <w:rFonts w:ascii="Arial" w:cs="Arial" w:eastAsia="Arial" w:hAnsi="Arial"/>
          <w:sz w:val="18"/>
          <w:szCs w:val="18"/>
          <w:color w:val="auto"/>
        </w:rPr>
      </w:pPr>
    </w:p>
    <w:p>
      <w:pPr>
        <w:ind w:left="760" w:right="6140" w:hanging="671"/>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Amendment No. 3 ("Amendment No. 3") to Schedule 13D relates to the Class A common stock, par value $0.0001 per share (the "Class A Common Stock"), of GeneDX Holdings Corp. (f/k/a Sema4 Holdings Corp.) (the "Issuer"), and amends and supplements the Schedule 13D filed on October 13, 2021 (the "Initial Filing"), as amended by Amendment No. 1, filed on January 21, 2022 ("Amendment No. 1") and Amendment No. 2, filed on May 6, 2022 ("Amendment No. 2" and, as amended, the "Schedule 13D") by Icahn School of Medicine at Mount Sinai ("ISMMS") and Mount Sinai Health System, Inc. ("MSHS"). As of January 31, 2023, following the closing of the transactions described in the Issuer's Current Report on Form 8-K (referenced in Item 4 below), the issued and outstanding Class A Common Stock of the Issuer totaled 787,848,710 shares. The principal executive office of the Issuer is located at 333 Ludlow Street, North Tower, 8th Floor, Stamford, Connecticut 06902.</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2 of this Amendment No. 3 incorporates herein by reference the information set forth in Item 2 of the Schedule 13D.</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and supplemented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4 of this Amendment No. 3 is hereby incorporated by reference into this Item 3.</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and supplemented as follows: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disclosed by the Issuer in a Current Report on Form 8-K filed on January 30, 2023, the Issuer entered into (a) an underwriting agreement relating to an underwritten public offering (the "Public Offering") of 328,571,429 shares of Class A Common Stock and (b) subscription agreements with certain institutional investors affiliated with a member of the Issuer's board of directors, relating to a registered direct offering (the "Registered Direct Offering" and, together with the Public Offering, the "Offerings") of 100,000,000 shares of Class A Common Stock, comprising of (i) 77,663,376 shares to be issued following the closing of the Public Offering and (ii) 22,336,624 shares (the "Additional Direct Offering Shares") that are subject to stockholder approval to satisfy Nasdaq Stock Market rules with respect to the issuance of such shares.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On January 31, 2023, as part of the Public Offering, ISMMS acquired 28,571,428 shares of Class A Common Stock for approximately $10,000,000.</w:t>
      </w:r>
    </w:p>
    <w:p>
      <w:pPr>
        <w:spacing w:after="0" w:line="2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information in Item 3 of the Schedule 13D is incorporated by reference into this Item 4. The Reporting Persons expect to evaluate on an ongoing basis the Issuer's financial condition and prospects and their respective interests in, and intentions with respect to, the Issuer and their respective investments in the securities of the Issuer, which review may be based on various factors, including the Issuer's business and financial condition, results of operations and prospects, general economic and industry conditions, the securities markets in general and those for the Issuer's securities in particular, as well as other developments and other investment opportunities. Accordingly, each Reporting Person reserves the right to change its intentions, as it deems appropriate. In particular, each Reporting Person may, at any time and from time to time, in the open market, in privately negotiated transactions or otherwise, increase its holdings in the Issuer or dispose of all or a portion of the securities of the Issuer that such Reporting Person now owns or may hereafter acquire, including sales pursuant to the exercise of the registration rights provided for in the Subscription Agreements or in the Registration Rights Agreement described in the Schedule 13D.</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Except as described in the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the Issuer with respect to the business and affairs of the Issuer and may from time to time consider pursuing or proposing such matters with advisors, the Issuer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as follows:</w:t>
      </w:r>
    </w:p>
    <w:p>
      <w:pPr>
        <w:spacing w:after="0" w:line="225" w:lineRule="exact"/>
        <w:rPr>
          <w:sz w:val="20"/>
          <w:szCs w:val="20"/>
          <w:color w:val="auto"/>
        </w:rPr>
      </w:pPr>
    </w:p>
    <w:p>
      <w:pPr>
        <w:ind w:left="980" w:right="200" w:hanging="972"/>
        <w:spacing w:after="0" w:line="301" w:lineRule="auto"/>
        <w:tabs>
          <w:tab w:leader="none" w:pos="253"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and (b) Items 7 through 11 and 13 of each of the cover pages of this Amendment No. 3 are incorporated herein by reference. Calculation of the percentage of shares of Class A Common Stock beneficially owned assumes that there were 787,848,710 shares of Class A Common Stock issued and outstanding following the Offerings. As of January 31, 2023, ISMMS directly owns 123,176,901 shares of Class A Common Stock. The information set forth in Item 4 of this Amendment No. 3 is hereby incorporated by reference into this Item 5.</w:t>
      </w:r>
    </w:p>
    <w:p>
      <w:pPr>
        <w:spacing w:after="0" w:line="157" w:lineRule="exact"/>
        <w:rPr>
          <w:sz w:val="20"/>
          <w:szCs w:val="20"/>
          <w:color w:val="auto"/>
        </w:rPr>
      </w:pPr>
    </w:p>
    <w:p>
      <w:pPr>
        <w:ind w:left="980" w:right="220"/>
        <w:spacing w:after="0" w:line="263" w:lineRule="auto"/>
        <w:rPr>
          <w:sz w:val="20"/>
          <w:szCs w:val="20"/>
          <w:color w:val="auto"/>
        </w:rPr>
      </w:pPr>
      <w:r>
        <w:rPr>
          <w:rFonts w:ascii="Arial" w:cs="Arial" w:eastAsia="Arial" w:hAnsi="Arial"/>
          <w:sz w:val="18"/>
          <w:szCs w:val="18"/>
          <w:color w:val="auto"/>
        </w:rPr>
        <w:t>MSHS disclaims beneficial ownership over all shares beneficially owned by ISMMS, other than for the purpose of determining obligations under the Securities Exchange Act of 1934, as amended, and the filing of this Amendment No. 3 shall not be deemed an admission that MSHS is the beneficial owner of such securities for any other purpose.</w:t>
      </w:r>
    </w:p>
    <w:p>
      <w:pPr>
        <w:spacing w:after="0" w:line="184" w:lineRule="exact"/>
        <w:rPr>
          <w:sz w:val="20"/>
          <w:szCs w:val="20"/>
          <w:color w:val="auto"/>
        </w:rPr>
      </w:pPr>
    </w:p>
    <w:p>
      <w:pPr>
        <w:ind w:left="980" w:right="500" w:hanging="972"/>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described in Item 4 of this Amendment No. 3, which is incorporated herein by reference, during the past 60 days, none of the Reporting Persons conducted transactions in the Class A Common Stock.</w:t>
      </w:r>
    </w:p>
    <w:p>
      <w:pPr>
        <w:spacing w:after="0" w:line="170" w:lineRule="exact"/>
        <w:rPr>
          <w:rFonts w:ascii="Arial" w:cs="Arial" w:eastAsia="Arial" w:hAnsi="Arial"/>
          <w:sz w:val="18"/>
          <w:szCs w:val="18"/>
          <w:color w:val="auto"/>
        </w:rPr>
      </w:pPr>
    </w:p>
    <w:p>
      <w:pPr>
        <w:ind w:left="980" w:right="60" w:hanging="972"/>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knowledge of the Reporting Persons, no one other than the Reporting Persons has the right to receive or the power to direct the receipt of dividends from, or the proceeds from the sale of, the securities of the Issuer reported as beneficially owned by the Reporting Persons herein.</w:t>
      </w:r>
    </w:p>
    <w:p>
      <w:pPr>
        <w:spacing w:after="0" w:line="183" w:lineRule="exact"/>
        <w:rPr>
          <w:rFonts w:ascii="Arial" w:cs="Arial" w:eastAsia="Arial" w:hAnsi="Arial"/>
          <w:sz w:val="18"/>
          <w:szCs w:val="18"/>
          <w:color w:val="auto"/>
        </w:rPr>
      </w:pPr>
    </w:p>
    <w:p>
      <w:pPr>
        <w:ind w:left="980" w:hanging="97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6 of the Schedule 13D is hereby amended and restated as follows: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set forth in Items 2, 3, 4 and 5 is hereby incorporated by reference into this Item 6. The Subscription Agreements described in Amendment No. 1 provide for certain customary registration rights for the PIPE investors. The Registration Rights Agreement described in the Initial Filing provides for certain customary registration rights for certain shareholders of the Issuer.</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7 of this Amendment No. 3 incorporates herein by reference the information set forth in Item 7 of the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80"/>
        <w:spacing w:after="0" w:line="495"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6, 2023</w:t>
      </w:r>
    </w:p>
    <w:p>
      <w:pPr>
        <w:spacing w:after="0" w:line="2"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ICAHN SCHOOL OF MEDICINE AT MOUNT SINAI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5640" w:type="dxa"/>
        <w:tblCellMar>
          <w:top w:w="0" w:type="dxa"/>
          <w:left w:w="0" w:type="dxa"/>
          <w:bottom w:w="0" w:type="dxa"/>
          <w:right w:w="0" w:type="dxa"/>
        </w:tblCellMar>
      </w:tblPr>
      <w:tr>
        <w:trPr>
          <w:trHeight w:val="24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Stephen Harvey</w:t>
            </w:r>
          </w:p>
        </w:tc>
      </w:tr>
      <w:tr>
        <w:trPr>
          <w:trHeight w:val="213"/>
        </w:trPr>
        <w:tc>
          <w:tcPr>
            <w:tcW w:w="66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940" w:type="dxa"/>
            <w:vAlign w:val="bottom"/>
          </w:tcPr>
          <w:p>
            <w:pPr>
              <w:spacing w:after="0" w:line="212" w:lineRule="exact"/>
              <w:rPr>
                <w:sz w:val="20"/>
                <w:szCs w:val="20"/>
                <w:color w:val="auto"/>
              </w:rPr>
            </w:pPr>
            <w:r>
              <w:rPr>
                <w:rFonts w:ascii="Arial" w:cs="Arial" w:eastAsia="Arial" w:hAnsi="Arial"/>
                <w:sz w:val="20"/>
                <w:szCs w:val="20"/>
                <w:color w:val="auto"/>
              </w:rPr>
              <w:t>Stephen Harvey</w:t>
            </w:r>
          </w:p>
        </w:tc>
      </w:tr>
      <w:tr>
        <w:trPr>
          <w:trHeight w:val="229"/>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94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250"/>
        </w:trPr>
        <w:tc>
          <w:tcPr>
            <w:tcW w:w="66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Icahn School of Medicine at Mount Sinai</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2023</w:t>
      </w:r>
    </w:p>
    <w:p>
      <w:pPr>
        <w:spacing w:after="0" w:line="217"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MOUNT SINAI HEALTH SYSTEM,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5640" w:type="dxa"/>
        <w:tblCellMar>
          <w:top w:w="0" w:type="dxa"/>
          <w:left w:w="0" w:type="dxa"/>
          <w:bottom w:w="0" w:type="dxa"/>
          <w:right w:w="0" w:type="dxa"/>
        </w:tblCellMar>
      </w:tblPr>
      <w:tr>
        <w:trPr>
          <w:trHeight w:val="24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Stephen Harvey</w:t>
            </w:r>
          </w:p>
        </w:tc>
      </w:tr>
      <w:tr>
        <w:trPr>
          <w:trHeight w:val="213"/>
        </w:trPr>
        <w:tc>
          <w:tcPr>
            <w:tcW w:w="66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940" w:type="dxa"/>
            <w:vAlign w:val="bottom"/>
          </w:tcPr>
          <w:p>
            <w:pPr>
              <w:spacing w:after="0" w:line="212" w:lineRule="exact"/>
              <w:rPr>
                <w:sz w:val="20"/>
                <w:szCs w:val="20"/>
                <w:color w:val="auto"/>
              </w:rPr>
            </w:pPr>
            <w:r>
              <w:rPr>
                <w:rFonts w:ascii="Arial" w:cs="Arial" w:eastAsia="Arial" w:hAnsi="Arial"/>
                <w:sz w:val="20"/>
                <w:szCs w:val="20"/>
                <w:color w:val="auto"/>
              </w:rPr>
              <w:t>Stephen Harvey</w:t>
            </w:r>
          </w:p>
        </w:tc>
      </w:t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94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250"/>
        </w:trPr>
        <w:tc>
          <w:tcPr>
            <w:tcW w:w="66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Mount Sinai Health System, Inc.</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9"/>
          <w:szCs w:val="19"/>
          <w:b w:val="1"/>
          <w:bCs w:val="1"/>
          <w:color w:val="auto"/>
        </w:rPr>
        <w:t>Attention:</w:t>
      </w:r>
      <w:r>
        <w:rPr>
          <w:sz w:val="20"/>
          <w:szCs w:val="20"/>
          <w:color w:val="auto"/>
        </w:rPr>
        <w:tab/>
      </w:r>
      <w:r>
        <w:rPr>
          <w:rFonts w:ascii="Arial" w:cs="Arial" w:eastAsia="Arial" w:hAnsi="Arial"/>
          <w:sz w:val="19"/>
          <w:szCs w:val="19"/>
          <w:b w:val="1"/>
          <w:bCs w:val="1"/>
          <w:color w:val="auto"/>
        </w:rPr>
        <w:t>Intentional misstatements or omissions of fact constitute Federal criminal violations (See 18 U.S.C. 1001)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lvl w:ilvl="1">
      <w:lvlJc w:val="left"/>
      <w:lvlText w:val="(%2)"/>
      <w:numFmt w:val="lowerLetter"/>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5"/>
      <w:numFmt w:val="bullet"/>
      <w:start w:val="1"/>
    </w:lvl>
  </w:abstractNum>
  <w:abstractNum w:abstractNumId="6">
    <w:nsid w:val="3352255A"/>
    <w:multiLevelType w:val="hybridMultilevel"/>
    <w:lvl w:ilvl="0">
      <w:lvlJc w:val="left"/>
      <w:lvlText w:val="6"/>
      <w:numFmt w:val="bullet"/>
      <w:start w:val="1"/>
    </w:lvl>
  </w:abstractNum>
  <w:abstractNum w:abstractNumId="7">
    <w:nsid w:val="109CF92E"/>
    <w:multiLevelType w:val="hybridMultilevel"/>
    <w:lvl w:ilvl="0">
      <w:lvlJc w:val="left"/>
      <w:lvlText w:val="%1"/>
      <w:numFmt w:val="decimal"/>
      <w:start w:val="11"/>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1"/>
      <w:numFmt w:val="bullet"/>
      <w:start w:val="1"/>
    </w:lvl>
  </w:abstractNum>
  <w:abstractNum w:abstractNumId="11">
    <w:nsid w:val="41A7C4C9"/>
    <w:multiLevelType w:val="hybridMultilevel"/>
    <w:lvl w:ilvl="0">
      <w:lvlJc w:val="left"/>
      <w:lvlText w:val="2"/>
      <w:numFmt w:val="bullet"/>
      <w:start w:val="1"/>
    </w:lvl>
    <w:lvl w:ilvl="1">
      <w:lvlJc w:val="left"/>
      <w:lvlText w:val="(%2)"/>
      <w:numFmt w:val="lowerLetter"/>
      <w:start w:val="1"/>
    </w:lvl>
  </w:abstractNum>
  <w:abstractNum w:abstractNumId="12">
    <w:nsid w:val="6B68079A"/>
    <w:multiLevelType w:val="hybridMultilevel"/>
    <w:lvl w:ilvl="0">
      <w:lvlJc w:val="left"/>
      <w:lvlText w:val="3"/>
      <w:numFmt w:val="bullet"/>
      <w:start w:val="1"/>
    </w:lvl>
  </w:abstractNum>
  <w:abstractNum w:abstractNumId="13">
    <w:nsid w:val="4E6AFB66"/>
    <w:multiLevelType w:val="hybridMultilevel"/>
    <w:lvl w:ilvl="0">
      <w:lvlJc w:val="left"/>
      <w:lvlText w:val="4"/>
      <w:numFmt w:val="bullet"/>
      <w:start w:val="1"/>
    </w:lvl>
  </w:abstractNum>
  <w:abstractNum w:abstractNumId="14">
    <w:nsid w:val="25E45D32"/>
    <w:multiLevelType w:val="hybridMultilevel"/>
    <w:lvl w:ilvl="0">
      <w:lvlJc w:val="left"/>
      <w:lvlText w:val="5"/>
      <w:numFmt w:val="bullet"/>
      <w:start w:val="1"/>
    </w:lvl>
  </w:abstractNum>
  <w:abstractNum w:abstractNumId="15">
    <w:nsid w:val="519B500D"/>
    <w:multiLevelType w:val="hybridMultilevel"/>
    <w:lvl w:ilvl="0">
      <w:lvlJc w:val="left"/>
      <w:lvlText w:val="6"/>
      <w:numFmt w:val="bullet"/>
      <w:start w:val="1"/>
    </w:lvl>
  </w:abstractNum>
  <w:abstractNum w:abstractNumId="16">
    <w:nsid w:val="431BD7B7"/>
    <w:multiLevelType w:val="hybridMultilevel"/>
    <w:lvl w:ilvl="0">
      <w:lvlJc w:val="left"/>
      <w:lvlText w:val="%1"/>
      <w:numFmt w:val="decimal"/>
      <w:start w:val="1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2023-02-06T15:39:04Z</dcterms:created>
  <dcterms:modified xsi:type="dcterms:W3CDTF">2023-02-06T15:39:04Z</dcterms:modified>
</cp:coreProperties>
</file>