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333-258467</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 NO. 7</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August 12,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5715</wp:posOffset>
            </wp:positionV>
            <wp:extent cx="1877060" cy="5740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77060" cy="5740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236,223,401 Shares of Common Stock</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7,236,667 Warrants to Purchase Shares of Common Stock</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21,995,000 Shares of Common Stock Underlying 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163195</wp:posOffset>
            </wp:positionV>
            <wp:extent cx="13804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ind w:right="80" w:firstLine="324"/>
        <w:spacing w:after="0" w:line="231" w:lineRule="auto"/>
        <w:rPr>
          <w:sz w:val="20"/>
          <w:szCs w:val="20"/>
          <w:color w:val="auto"/>
        </w:rPr>
      </w:pPr>
      <w:r>
        <w:rPr>
          <w:rFonts w:ascii="Arial" w:cs="Arial" w:eastAsia="Arial" w:hAnsi="Arial"/>
          <w:sz w:val="18"/>
          <w:szCs w:val="18"/>
          <w:color w:val="auto"/>
        </w:rPr>
        <w:t>This prospectus supplement supplements the prospectus dated August 12, 2021 (the “Prospectus”), which forms a part of our registration statement on Form S-1 (No. 333-258467). This prospectus supplement is being filed to update and supplement the information in the Prospectus with the information contained in our current report on Form 8-K, filed with the Securities and Exchange Commission (the “SEC”) on January 31, 2022 (the “Current Report”). Accordingly, we have attached the Current Report to this prospectus supplement.</w:t>
      </w:r>
    </w:p>
    <w:p>
      <w:pPr>
        <w:spacing w:after="0" w:line="216" w:lineRule="exact"/>
        <w:rPr>
          <w:sz w:val="24"/>
          <w:szCs w:val="24"/>
          <w:color w:val="auto"/>
        </w:rPr>
      </w:pPr>
    </w:p>
    <w:p>
      <w:pPr>
        <w:ind w:firstLine="324"/>
        <w:spacing w:after="0" w:line="287" w:lineRule="auto"/>
        <w:rPr>
          <w:sz w:val="20"/>
          <w:szCs w:val="20"/>
          <w:color w:val="auto"/>
        </w:rPr>
      </w:pPr>
      <w:r>
        <w:rPr>
          <w:rFonts w:ascii="Arial" w:cs="Arial" w:eastAsia="Arial" w:hAnsi="Arial"/>
          <w:sz w:val="16"/>
          <w:szCs w:val="16"/>
          <w:color w:val="auto"/>
        </w:rPr>
        <w:t>The Prospectus and this prospectus supplement relate to the offer and sale from time to time by the selling securityholders named in the Prospectus (the “Selling Securityholders”) of (A) up to 236,223,401 shares of our Class A common stock, par value $0.0001 per share (“Class A common stock” or “common stock”), consisting of (i) up to 35,000,000 shares of our Class A common stock issued in a private placement pursuant to subscription agreements each entered into on February 9, 2021; (ii) up to 11,068,750 shares of our Class A common stock issued in connection with the consummation of the Business Combination (as defined in the Prospectus), in exchange for shares of our Class B common stock originally issued in a private placement to CMLS Holdings LLC (the “Sponsor”); (iii) up to 182,917,984 shares of our Class A common stock issued or issuable to certain former stockholders and equity award holders of Sema4 (the “Sema4 equity holders”) in connection with or as a result of the consummation of the Business Combination, consisting of (a) up to 149,856,840 shares of our Class A common stock; (b) up to 14,039,568 shares of our Class A common stock issuable upon the exercise or vesting of certain equity awards; and (c) up to 19,021,576 shares of Class A common stock that certain Sema4 equity holders have the contingent right to receive upon the achievement of certain vesting conditions; and (iv) up to 7,236,667 shares of our Class A common stock issuable upon the exercise of the private placement warrants (as defined below); and (B) up to 7,236,667 warrants (the “private placement warrants”) originally issued in a private placement to the Sponsor and certain of the other Initial Stockholders (as defined in the Prospectus).</w:t>
      </w:r>
    </w:p>
    <w:p>
      <w:pPr>
        <w:spacing w:after="0" w:line="168" w:lineRule="exact"/>
        <w:rPr>
          <w:sz w:val="24"/>
          <w:szCs w:val="24"/>
          <w:color w:val="auto"/>
        </w:rPr>
      </w:pPr>
    </w:p>
    <w:p>
      <w:pPr>
        <w:ind w:right="60" w:firstLine="324"/>
        <w:spacing w:after="0" w:line="279" w:lineRule="auto"/>
        <w:rPr>
          <w:sz w:val="20"/>
          <w:szCs w:val="20"/>
          <w:color w:val="auto"/>
        </w:rPr>
      </w:pPr>
      <w:r>
        <w:rPr>
          <w:rFonts w:ascii="Arial" w:cs="Arial" w:eastAsia="Arial" w:hAnsi="Arial"/>
          <w:sz w:val="17"/>
          <w:szCs w:val="17"/>
          <w:color w:val="auto"/>
        </w:rPr>
        <w:t>In addition, the Prospectus and this prospectus supplement relate to the offer and sale of: (i) up to 14,758,333 shares of our Class A common stock that are issuable by us upon the exercise of 14,758,333 warrants (the “public warrants”) originally issued in our initial public offering ; and (ii) up to 7,236,667 shares of our Class A common stock that are issuable by us upon the exercise of the private placement warrants following the public resale of the private placement warrants by the Selling Securityholders pursuant to the Prospectus and this prospectus supplement.</w:t>
      </w:r>
    </w:p>
    <w:p>
      <w:pPr>
        <w:spacing w:after="0" w:line="171" w:lineRule="exact"/>
        <w:rPr>
          <w:sz w:val="24"/>
          <w:szCs w:val="24"/>
          <w:color w:val="auto"/>
        </w:rPr>
      </w:pPr>
    </w:p>
    <w:p>
      <w:pPr>
        <w:jc w:val="both"/>
        <w:ind w:right="360" w:firstLine="324"/>
        <w:spacing w:after="0" w:line="263" w:lineRule="auto"/>
        <w:rPr>
          <w:sz w:val="20"/>
          <w:szCs w:val="20"/>
          <w:color w:val="auto"/>
        </w:rPr>
      </w:pPr>
      <w:r>
        <w:rPr>
          <w:rFonts w:ascii="Arial" w:cs="Arial" w:eastAsia="Arial" w:hAnsi="Arial"/>
          <w:sz w:val="18"/>
          <w:szCs w:val="18"/>
          <w:color w:val="auto"/>
        </w:rPr>
        <w:t>Our common stock and public warrants are listed on the Nasdaq Global Select Market (the “Nasdaq”) under the symbols “SMFR” and “SMFRW,” respectively. On January 28, 2022, the last reported sales price of our common stock was $3.07 per share and the last reported sales price of our public warrants was $0.68 per warrant.</w:t>
      </w:r>
    </w:p>
    <w:p>
      <w:pPr>
        <w:spacing w:after="0" w:line="184" w:lineRule="exact"/>
        <w:rPr>
          <w:sz w:val="24"/>
          <w:szCs w:val="24"/>
          <w:color w:val="auto"/>
        </w:rPr>
      </w:pPr>
    </w:p>
    <w:p>
      <w:pPr>
        <w:ind w:right="300" w:firstLine="324"/>
        <w:spacing w:after="0" w:line="259" w:lineRule="auto"/>
        <w:rPr>
          <w:sz w:val="20"/>
          <w:szCs w:val="20"/>
          <w:color w:val="auto"/>
        </w:rPr>
      </w:pPr>
      <w:r>
        <w:rPr>
          <w:rFonts w:ascii="Arial" w:cs="Arial" w:eastAsia="Arial" w:hAnsi="Arial"/>
          <w:sz w:val="18"/>
          <w:szCs w:val="18"/>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p>
    <w:p>
      <w:pPr>
        <w:spacing w:after="0" w:line="187" w:lineRule="exact"/>
        <w:rPr>
          <w:sz w:val="24"/>
          <w:szCs w:val="24"/>
          <w:color w:val="auto"/>
        </w:rPr>
      </w:pPr>
    </w:p>
    <w:p>
      <w:pPr>
        <w:ind w:right="120" w:firstLine="324"/>
        <w:spacing w:after="0" w:line="277" w:lineRule="auto"/>
        <w:rPr>
          <w:sz w:val="20"/>
          <w:szCs w:val="20"/>
          <w:color w:val="auto"/>
        </w:rPr>
      </w:pPr>
      <w:r>
        <w:rPr>
          <w:rFonts w:ascii="Arial" w:cs="Arial" w:eastAsia="Arial" w:hAnsi="Arial"/>
          <w:sz w:val="18"/>
          <w:szCs w:val="18"/>
          <w:b w:val="1"/>
          <w:bCs w:val="1"/>
          <w:i w:val="1"/>
          <w:iCs w:val="1"/>
          <w:color w:val="auto"/>
        </w:rPr>
        <w:t>Investing in our securities involves risks. See the section entitled “Risk Factors” beginning on page 10 of the Prospectus to read about factors you should consider before buying our securities.</w:t>
      </w:r>
    </w:p>
    <w:p>
      <w:pPr>
        <w:sectPr>
          <w:pgSz w:w="11900" w:h="16838" w:orient="portrait"/>
          <w:cols w:equalWidth="0" w:num="1">
            <w:col w:w="11240"/>
          </w:cols>
          <w:pgMar w:left="320" w:top="999" w:right="339" w:bottom="1440" w:gutter="0" w:footer="0" w:header="0"/>
        </w:sectPr>
      </w:pPr>
    </w:p>
    <w:bookmarkStart w:id="1" w:name="page2"/>
    <w:bookmarkEnd w:id="1"/>
    <w:p>
      <w:pPr>
        <w:ind w:firstLine="324"/>
        <w:spacing w:after="0" w:line="312" w:lineRule="auto"/>
        <w:rPr>
          <w:sz w:val="20"/>
          <w:szCs w:val="20"/>
          <w:color w:val="auto"/>
        </w:rPr>
      </w:pPr>
      <w:r>
        <w:rPr>
          <w:rFonts w:ascii="Arial" w:cs="Arial" w:eastAsia="Arial" w:hAnsi="Arial"/>
          <w:sz w:val="17"/>
          <w:szCs w:val="17"/>
          <w:b w:val="1"/>
          <w:bCs w:val="1"/>
          <w:color w:val="auto"/>
        </w:rPr>
        <w:t>Neither the SEC nor any state securities commission has approved or disapproved of these securities or determined if this prospectus supplement or the Prospectus is truthful or complete. Any representation to the contrary is a criminal offense.</w:t>
      </w:r>
    </w:p>
    <w:p>
      <w:pPr>
        <w:spacing w:after="0" w:line="140"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The date of this prospectus supplement is January 31, 2022</w:t>
      </w:r>
    </w:p>
    <w:p>
      <w:pPr>
        <w:sectPr>
          <w:pgSz w:w="11900" w:h="16838" w:orient="portrait"/>
          <w:cols w:equalWidth="0" w:num="1">
            <w:col w:w="10520"/>
          </w:cols>
          <w:pgMar w:left="320" w:top="891" w:right="1059" w:bottom="1440" w:gutter="0" w:footer="0" w:header="0"/>
        </w:sectPr>
      </w:pPr>
    </w:p>
    <w:bookmarkStart w:id="2" w:name="page3"/>
    <w:bookmarkEnd w:id="2"/>
    <w:p>
      <w:pPr>
        <w:jc w:val="center"/>
        <w:spacing w:after="0"/>
        <w:rPr>
          <w:sz w:val="20"/>
          <w:szCs w:val="20"/>
          <w:color w:val="auto"/>
        </w:rPr>
      </w:pPr>
      <w:r>
        <w:rPr>
          <w:rFonts w:ascii="Arial" w:cs="Arial" w:eastAsia="Arial" w:hAnsi="Arial"/>
          <w:sz w:val="32"/>
          <w:szCs w:val="32"/>
          <w:b w:val="1"/>
          <w:bCs w:val="1"/>
          <w:color w:val="auto"/>
        </w:rPr>
        <w:t>UNITED STATES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31F20"/>
        </w:rPr>
        <w:t>CURRENT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31F20"/>
        </w:rPr>
        <w:t>Pursuant to Section 13 OR 15(d) of The Securities Exchange Act of 1934</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January 31, 2022 (January 25, 2022)</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Sema4 Holdings Corp.</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268"/>
        </w:trPr>
        <w:tc>
          <w:tcPr>
            <w:tcW w:w="422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2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001-39482</w:t>
            </w:r>
          </w:p>
        </w:tc>
        <w:tc>
          <w:tcPr>
            <w:tcW w:w="100" w:type="dxa"/>
            <w:vAlign w:val="bottom"/>
          </w:tcPr>
          <w:p>
            <w:pPr>
              <w:spacing w:after="0"/>
              <w:rPr>
                <w:sz w:val="23"/>
                <w:szCs w:val="23"/>
                <w:color w:val="auto"/>
              </w:rPr>
            </w:pPr>
          </w:p>
        </w:tc>
        <w:tc>
          <w:tcPr>
            <w:tcW w:w="4180" w:type="dxa"/>
            <w:vAlign w:val="bottom"/>
          </w:tcPr>
          <w:p>
            <w:pPr>
              <w:jc w:val="right"/>
              <w:ind w:right="1570"/>
              <w:spacing w:after="0"/>
              <w:rPr>
                <w:sz w:val="20"/>
                <w:szCs w:val="20"/>
                <w:color w:val="auto"/>
              </w:rPr>
            </w:pPr>
            <w:r>
              <w:rPr>
                <w:rFonts w:ascii="Arial" w:cs="Arial" w:eastAsia="Arial" w:hAnsi="Arial"/>
                <w:sz w:val="18"/>
                <w:szCs w:val="18"/>
                <w:b w:val="1"/>
                <w:bCs w:val="1"/>
                <w:color w:val="auto"/>
              </w:rPr>
              <w:t>85-1966622</w:t>
            </w:r>
          </w:p>
        </w:tc>
      </w:tr>
      <w:tr>
        <w:trPr>
          <w:trHeight w:val="176"/>
        </w:trPr>
        <w:tc>
          <w:tcPr>
            <w:tcW w:w="422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92"/>
              </w:rPr>
              <w:t>(State or other jurisdiction of incorporation or</w:t>
            </w:r>
          </w:p>
        </w:tc>
        <w:tc>
          <w:tcPr>
            <w:tcW w:w="80" w:type="dxa"/>
            <w:vAlign w:val="bottom"/>
          </w:tcPr>
          <w:p>
            <w:pPr>
              <w:spacing w:after="0"/>
              <w:rPr>
                <w:sz w:val="15"/>
                <w:szCs w:val="15"/>
                <w:color w:val="auto"/>
              </w:rPr>
            </w:pPr>
          </w:p>
        </w:tc>
        <w:tc>
          <w:tcPr>
            <w:tcW w:w="262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93"/>
              </w:rPr>
              <w:t>(Commission File Number)</w:t>
            </w:r>
          </w:p>
        </w:tc>
        <w:tc>
          <w:tcPr>
            <w:tcW w:w="100" w:type="dxa"/>
            <w:vAlign w:val="bottom"/>
          </w:tcPr>
          <w:p>
            <w:pPr>
              <w:spacing w:after="0"/>
              <w:rPr>
                <w:sz w:val="15"/>
                <w:szCs w:val="15"/>
                <w:color w:val="auto"/>
              </w:rPr>
            </w:pPr>
          </w:p>
        </w:tc>
        <w:tc>
          <w:tcPr>
            <w:tcW w:w="418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4220" w:type="dxa"/>
            <w:vAlign w:val="bottom"/>
          </w:tcPr>
          <w:p>
            <w:pPr>
              <w:jc w:val="center"/>
              <w:spacing w:after="0"/>
              <w:rPr>
                <w:sz w:val="20"/>
                <w:szCs w:val="20"/>
                <w:color w:val="auto"/>
              </w:rPr>
            </w:pPr>
            <w:r>
              <w:rPr>
                <w:rFonts w:ascii="Arial" w:cs="Arial" w:eastAsia="Arial" w:hAnsi="Arial"/>
                <w:sz w:val="18"/>
                <w:szCs w:val="18"/>
                <w:color w:val="auto"/>
                <w:w w:val="92"/>
              </w:rPr>
              <w:t>organization)</w:t>
            </w:r>
          </w:p>
        </w:tc>
        <w:tc>
          <w:tcPr>
            <w:tcW w:w="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80" w:type="dxa"/>
            <w:vAlign w:val="bottom"/>
          </w:tcPr>
          <w:p>
            <w:pPr>
              <w:spacing w:after="0"/>
              <w:rPr>
                <w:sz w:val="20"/>
                <w:szCs w:val="20"/>
                <w:color w:val="auto"/>
              </w:rPr>
            </w:pPr>
          </w:p>
        </w:tc>
      </w:tr>
      <w:tr>
        <w:trPr>
          <w:trHeight w:val="310"/>
        </w:trPr>
        <w:tc>
          <w:tcPr>
            <w:tcW w:w="4220" w:type="dxa"/>
            <w:vAlign w:val="bottom"/>
          </w:tcPr>
          <w:p>
            <w:pPr>
              <w:jc w:val="center"/>
              <w:spacing w:after="0"/>
              <w:rPr>
                <w:sz w:val="20"/>
                <w:szCs w:val="20"/>
                <w:color w:val="auto"/>
              </w:rPr>
            </w:pPr>
            <w:r>
              <w:rPr>
                <w:rFonts w:ascii="Arial" w:cs="Arial" w:eastAsia="Arial" w:hAnsi="Arial"/>
                <w:sz w:val="18"/>
                <w:szCs w:val="18"/>
                <w:b w:val="1"/>
                <w:bCs w:val="1"/>
                <w:color w:val="auto"/>
                <w:w w:val="91"/>
              </w:rPr>
              <w:t>333 Ludlow Street, North Tower, 8th Floor</w:t>
            </w:r>
          </w:p>
        </w:tc>
        <w:tc>
          <w:tcPr>
            <w:tcW w:w="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270"/>
        </w:trPr>
        <w:tc>
          <w:tcPr>
            <w:tcW w:w="4220" w:type="dxa"/>
            <w:vAlign w:val="bottom"/>
            <w:tcBorders>
              <w:bottom w:val="single" w:sz="8" w:color="auto"/>
            </w:tcBorders>
          </w:tcPr>
          <w:p>
            <w:pPr>
              <w:ind w:left="1300"/>
              <w:spacing w:after="0"/>
              <w:rPr>
                <w:sz w:val="20"/>
                <w:szCs w:val="20"/>
                <w:color w:val="auto"/>
              </w:rPr>
            </w:pPr>
            <w:r>
              <w:rPr>
                <w:rFonts w:ascii="Arial" w:cs="Arial" w:eastAsia="Arial" w:hAnsi="Arial"/>
                <w:sz w:val="18"/>
                <w:szCs w:val="18"/>
                <w:b w:val="1"/>
                <w:bCs w:val="1"/>
                <w:color w:val="auto"/>
              </w:rPr>
              <w:t>Stamford, Connecticut</w:t>
            </w:r>
          </w:p>
        </w:tc>
        <w:tc>
          <w:tcPr>
            <w:tcW w:w="8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180" w:type="dxa"/>
            <w:vAlign w:val="bottom"/>
            <w:tcBorders>
              <w:bottom w:val="single" w:sz="8" w:color="auto"/>
            </w:tcBorders>
          </w:tcPr>
          <w:p>
            <w:pPr>
              <w:jc w:val="right"/>
              <w:ind w:right="1770"/>
              <w:spacing w:after="0"/>
              <w:rPr>
                <w:sz w:val="20"/>
                <w:szCs w:val="20"/>
                <w:color w:val="auto"/>
              </w:rPr>
            </w:pPr>
            <w:r>
              <w:rPr>
                <w:rFonts w:ascii="Arial" w:cs="Arial" w:eastAsia="Arial" w:hAnsi="Arial"/>
                <w:sz w:val="18"/>
                <w:szCs w:val="18"/>
                <w:b w:val="1"/>
                <w:bCs w:val="1"/>
                <w:color w:val="auto"/>
              </w:rPr>
              <w:t>06902</w:t>
            </w:r>
          </w:p>
        </w:tc>
      </w:tr>
      <w:tr>
        <w:trPr>
          <w:trHeight w:val="224"/>
        </w:trPr>
        <w:tc>
          <w:tcPr>
            <w:tcW w:w="422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80" w:type="dxa"/>
            <w:vAlign w:val="bottom"/>
          </w:tcPr>
          <w:p>
            <w:pPr>
              <w:jc w:val="center"/>
              <w:spacing w:after="0"/>
              <w:rPr>
                <w:sz w:val="20"/>
                <w:szCs w:val="20"/>
                <w:color w:val="auto"/>
              </w:rPr>
            </w:pPr>
            <w:r>
              <w:rPr>
                <w:rFonts w:ascii="Arial" w:cs="Arial" w:eastAsia="Arial" w:hAnsi="Arial"/>
                <w:sz w:val="18"/>
                <w:szCs w:val="18"/>
                <w:color w:val="auto"/>
                <w:w w:val="94"/>
              </w:rPr>
              <w:t>(Zip Code)</w:t>
            </w:r>
          </w:p>
        </w:tc>
      </w:tr>
      <w:tr>
        <w:trPr>
          <w:trHeight w:val="337"/>
        </w:trPr>
        <w:tc>
          <w:tcPr>
            <w:tcW w:w="4220" w:type="dxa"/>
            <w:vAlign w:val="bottom"/>
          </w:tcPr>
          <w:p>
            <w:pPr>
              <w:spacing w:after="0"/>
              <w:rPr>
                <w:sz w:val="24"/>
                <w:szCs w:val="24"/>
                <w:color w:val="auto"/>
              </w:rPr>
            </w:pPr>
          </w:p>
        </w:tc>
        <w:tc>
          <w:tcPr>
            <w:tcW w:w="2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(800) 298-6470</w:t>
            </w:r>
          </w:p>
        </w:tc>
        <w:tc>
          <w:tcPr>
            <w:tcW w:w="100" w:type="dxa"/>
            <w:vAlign w:val="bottom"/>
          </w:tcPr>
          <w:p>
            <w:pPr>
              <w:spacing w:after="0"/>
              <w:rPr>
                <w:sz w:val="24"/>
                <w:szCs w:val="24"/>
                <w:color w:val="auto"/>
              </w:rPr>
            </w:pPr>
          </w:p>
        </w:tc>
        <w:tc>
          <w:tcPr>
            <w:tcW w:w="4180" w:type="dxa"/>
            <w:vAlign w:val="bottom"/>
          </w:tcPr>
          <w:p>
            <w:pPr>
              <w:spacing w:after="0"/>
              <w:rPr>
                <w:sz w:val="24"/>
                <w:szCs w:val="24"/>
                <w:color w:val="auto"/>
              </w:rPr>
            </w:pPr>
          </w:p>
        </w:tc>
      </w:tr>
    </w:tbl>
    <w:p>
      <w:pPr>
        <w:jc w:val="center"/>
        <w:spacing w:after="0" w:line="236" w:lineRule="auto"/>
        <w:rPr>
          <w:sz w:val="20"/>
          <w:szCs w:val="20"/>
          <w:color w:val="auto"/>
        </w:rPr>
      </w:pPr>
      <w:r>
        <w:rPr>
          <w:rFonts w:ascii="Arial" w:cs="Arial" w:eastAsia="Arial" w:hAnsi="Arial"/>
          <w:sz w:val="18"/>
          <w:szCs w:val="18"/>
          <w:color w:val="auto"/>
        </w:rPr>
        <w:t>Registrant's telephone number, including area code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(Former name or former address, if changed since last report.)</w:t>
      </w:r>
    </w:p>
    <w:p>
      <w:pPr>
        <w:spacing w:after="0" w:line="23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0"/>
          <w:szCs w:val="20"/>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13e-4(c) under the Exchange Act (17 CFR 240.13e-4(c))</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8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Title of each class</w:t>
            </w:r>
          </w:p>
        </w:tc>
        <w:tc>
          <w:tcPr>
            <w:tcW w:w="21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Trading Symbol(s)</w:t>
            </w:r>
          </w:p>
        </w:tc>
        <w:tc>
          <w:tcPr>
            <w:tcW w:w="428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c>
          <w:tcPr>
            <w:tcW w:w="0" w:type="dxa"/>
            <w:vAlign w:val="bottom"/>
          </w:tcPr>
          <w:p>
            <w:pPr>
              <w:spacing w:after="0"/>
              <w:rPr>
                <w:sz w:val="1"/>
                <w:szCs w:val="1"/>
                <w:color w:val="auto"/>
              </w:rPr>
            </w:pPr>
          </w:p>
        </w:tc>
      </w:tr>
      <w:tr>
        <w:trPr>
          <w:trHeight w:val="223"/>
        </w:trPr>
        <w:tc>
          <w:tcPr>
            <w:tcW w:w="4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Class A common stock, par value $0.0001 per share</w:t>
            </w:r>
          </w:p>
        </w:tc>
        <w:tc>
          <w:tcPr>
            <w:tcW w:w="8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SMFR</w:t>
            </w:r>
          </w:p>
        </w:tc>
        <w:tc>
          <w:tcPr>
            <w:tcW w:w="100" w:type="dxa"/>
            <w:vAlign w:val="bottom"/>
            <w:tcBorders>
              <w:top w:val="single" w:sz="8" w:color="CCEEFF"/>
            </w:tcBorders>
            <w:shd w:val="clear" w:color="auto" w:fill="CCEEFF"/>
          </w:tcPr>
          <w:p>
            <w:pPr>
              <w:spacing w:after="0"/>
              <w:rPr>
                <w:sz w:val="19"/>
                <w:szCs w:val="19"/>
                <w:color w:val="auto"/>
              </w:rPr>
            </w:pPr>
          </w:p>
        </w:tc>
        <w:tc>
          <w:tcPr>
            <w:tcW w:w="4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The Nasdaq Global Select Market</w:t>
            </w:r>
          </w:p>
        </w:tc>
        <w:tc>
          <w:tcPr>
            <w:tcW w:w="0" w:type="dxa"/>
            <w:vAlign w:val="bottom"/>
          </w:tcPr>
          <w:p>
            <w:pPr>
              <w:spacing w:after="0"/>
              <w:rPr>
                <w:sz w:val="1"/>
                <w:szCs w:val="1"/>
                <w:color w:val="auto"/>
              </w:rPr>
            </w:pPr>
          </w:p>
        </w:tc>
      </w:tr>
      <w:tr>
        <w:trPr>
          <w:trHeight w:val="175"/>
        </w:trPr>
        <w:tc>
          <w:tcPr>
            <w:tcW w:w="486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89"/>
              </w:rPr>
              <w:t>Warrants to purchase one share of Class A common stock, each</w:t>
            </w:r>
          </w:p>
        </w:tc>
        <w:tc>
          <w:tcPr>
            <w:tcW w:w="210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4"/>
              </w:rPr>
              <w:t>SMFRW</w:t>
            </w:r>
          </w:p>
        </w:tc>
        <w:tc>
          <w:tcPr>
            <w:tcW w:w="4280" w:type="dxa"/>
            <w:vAlign w:val="bottom"/>
            <w:vMerge w:val="restart"/>
          </w:tcPr>
          <w:p>
            <w:pPr>
              <w:jc w:val="center"/>
              <w:spacing w:after="0"/>
              <w:rPr>
                <w:sz w:val="20"/>
                <w:szCs w:val="20"/>
                <w:color w:val="auto"/>
              </w:rPr>
            </w:pPr>
            <w:r>
              <w:rPr>
                <w:rFonts w:ascii="Arial" w:cs="Arial" w:eastAsia="Arial" w:hAnsi="Arial"/>
                <w:sz w:val="18"/>
                <w:szCs w:val="18"/>
                <w:color w:val="auto"/>
                <w:w w:val="90"/>
              </w:rPr>
              <w:t>The Nasdaq Global Select Market</w:t>
            </w:r>
          </w:p>
        </w:tc>
        <w:tc>
          <w:tcPr>
            <w:tcW w:w="0" w:type="dxa"/>
            <w:vAlign w:val="bottom"/>
          </w:tcPr>
          <w:p>
            <w:pPr>
              <w:spacing w:after="0"/>
              <w:rPr>
                <w:sz w:val="1"/>
                <w:szCs w:val="1"/>
                <w:color w:val="auto"/>
              </w:rPr>
            </w:pPr>
          </w:p>
        </w:tc>
      </w:tr>
      <w:tr>
        <w:trPr>
          <w:trHeight w:val="135"/>
        </w:trPr>
        <w:tc>
          <w:tcPr>
            <w:tcW w:w="486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88"/>
              </w:rPr>
              <w:t>at an exercise price of $11.50 per share</w:t>
            </w:r>
          </w:p>
        </w:tc>
        <w:tc>
          <w:tcPr>
            <w:tcW w:w="2100" w:type="dxa"/>
            <w:vAlign w:val="bottom"/>
            <w:gridSpan w:val="2"/>
            <w:vMerge w:val="continue"/>
          </w:tcPr>
          <w:p>
            <w:pPr>
              <w:spacing w:after="0"/>
              <w:rPr>
                <w:sz w:val="11"/>
                <w:szCs w:val="11"/>
                <w:color w:val="auto"/>
              </w:rPr>
            </w:pPr>
          </w:p>
        </w:tc>
        <w:tc>
          <w:tcPr>
            <w:tcW w:w="4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860" w:type="dxa"/>
            <w:vAlign w:val="bottom"/>
            <w:gridSpan w:val="2"/>
            <w:vMerge w:val="continue"/>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0"/>
          <w:szCs w:val="20"/>
          <w:color w:val="auto"/>
        </w:rPr>
      </w:pPr>
    </w:p>
    <w:p>
      <w:pPr>
        <w:spacing w:after="0" w:line="207" w:lineRule="exact"/>
        <w:rPr>
          <w:sz w:val="20"/>
          <w:szCs w:val="20"/>
          <w:color w:val="auto"/>
        </w:rPr>
      </w:pPr>
      <w:r>
        <w:rPr>
          <w:rFonts w:ascii="Arial" w:cs="Arial" w:eastAsia="Arial" w:hAnsi="Arial"/>
          <w:sz w:val="18"/>
          <w:szCs w:val="18"/>
          <w:color w:val="231F20"/>
        </w:rPr>
        <w:t xml:space="preserve">Emerging growth company </w:t>
      </w:r>
      <w:r>
        <w:rPr>
          <w:rFonts w:ascii="MS PGothic" w:cs="MS PGothic" w:eastAsia="MS PGothic" w:hAnsi="MS PGothic"/>
          <w:sz w:val="18"/>
          <w:szCs w:val="18"/>
          <w:color w:val="000000"/>
        </w:rPr>
        <w:t>☒</w:t>
      </w:r>
    </w:p>
    <w:p>
      <w:pPr>
        <w:spacing w:after="0" w:line="150" w:lineRule="exact"/>
        <w:rPr>
          <w:sz w:val="20"/>
          <w:szCs w:val="20"/>
          <w:color w:val="auto"/>
        </w:rPr>
      </w:pPr>
    </w:p>
    <w:p>
      <w:pPr>
        <w:ind w:right="160"/>
        <w:spacing w:after="0" w:line="233"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ectPr>
          <w:pgSz w:w="11900" w:h="16838" w:orient="portrait"/>
          <w:cols w:equalWidth="0" w:num="1">
            <w:col w:w="11240"/>
          </w:cols>
          <w:pgMar w:left="320" w:top="1205" w:right="339" w:bottom="1440" w:gutter="0" w:footer="0" w:header="0"/>
        </w:sectPr>
      </w:pPr>
    </w:p>
    <w:bookmarkStart w:id="3" w:name="page4"/>
    <w:bookmarkEnd w:id="3"/>
    <w:p>
      <w:pPr>
        <w:ind w:right="300"/>
        <w:spacing w:after="0" w:line="267" w:lineRule="auto"/>
        <w:rPr>
          <w:sz w:val="20"/>
          <w:szCs w:val="20"/>
          <w:color w:val="auto"/>
        </w:rPr>
      </w:pPr>
      <w:r>
        <w:rPr>
          <w:rFonts w:ascii="Arial" w:cs="Arial" w:eastAsia="Arial" w:hAnsi="Arial"/>
          <w:sz w:val="20"/>
          <w:szCs w:val="20"/>
          <w:b w:val="1"/>
          <w:bCs w:val="1"/>
          <w:color w:val="auto"/>
        </w:rPr>
        <w:t>Item 5.02 Departure of Directors or Certain Officers; Election of Directors; Appointment of Certain Officers; Compensatory Arrangements of Certain Officers.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(b) Departure of Certain Officers.</w:t>
      </w:r>
    </w:p>
    <w:p>
      <w:pPr>
        <w:spacing w:after="0" w:line="243" w:lineRule="exact"/>
        <w:rPr>
          <w:sz w:val="20"/>
          <w:szCs w:val="20"/>
          <w:color w:val="auto"/>
        </w:rPr>
      </w:pPr>
    </w:p>
    <w:p>
      <w:pPr>
        <w:ind w:right="480"/>
        <w:spacing w:after="0" w:line="260" w:lineRule="auto"/>
        <w:rPr>
          <w:sz w:val="20"/>
          <w:szCs w:val="20"/>
          <w:color w:val="auto"/>
        </w:rPr>
      </w:pPr>
      <w:r>
        <w:rPr>
          <w:rFonts w:ascii="Arial" w:cs="Arial" w:eastAsia="Arial" w:hAnsi="Arial"/>
          <w:sz w:val="20"/>
          <w:szCs w:val="20"/>
          <w:color w:val="auto"/>
        </w:rPr>
        <w:t>James Coffin, Ph.D., the President and Chief Operating Officer of Sema4 Holdings Corp. (the “Company”), will leave the Company for personal reasons, effective February 1, 2022.</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(e) Compensatory Arrangements with Certain Officers.</w:t>
      </w:r>
    </w:p>
    <w:p>
      <w:pPr>
        <w:spacing w:after="0" w:line="243"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In connection with Mr. Coffin’s departure, the Company and Mr. Coffin have entered into a Separation Agreement (the "Separation Agreement"), pursuant to which Mr. Coffin will receive the following severance benefits in exchange for a customary release of claims against the Company:</w:t>
      </w:r>
    </w:p>
    <w:p>
      <w:pPr>
        <w:spacing w:after="0" w:line="210" w:lineRule="exact"/>
        <w:rPr>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a severance payment equal to 12 months of Mr. Coffin’s annual base salary;</w:t>
      </w:r>
    </w:p>
    <w:p>
      <w:pPr>
        <w:spacing w:after="0" w:line="2" w:lineRule="exact"/>
        <w:rPr>
          <w:rFonts w:ascii="Arial" w:cs="Arial" w:eastAsia="Arial" w:hAnsi="Arial"/>
          <w:sz w:val="20"/>
          <w:szCs w:val="20"/>
          <w:color w:val="auto"/>
        </w:rPr>
      </w:pPr>
    </w:p>
    <w:p>
      <w:pPr>
        <w:ind w:left="640" w:hanging="308"/>
        <w:spacing w:after="0" w:line="225" w:lineRule="auto"/>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a discretionary 2021 annual bonus payment;</w:t>
      </w:r>
    </w:p>
    <w:p>
      <w:pPr>
        <w:ind w:left="640" w:hanging="308"/>
        <w:spacing w:after="0" w:line="225" w:lineRule="auto"/>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12 months of reimbursement of COBRA continuation benefits;</w:t>
      </w:r>
    </w:p>
    <w:p>
      <w:pPr>
        <w:ind w:left="640" w:hanging="308"/>
        <w:spacing w:after="0" w:line="225" w:lineRule="auto"/>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accelerated vesting of 25,425 stock options that were otherwise scheduled to vest on February 2, 2022; and</w:t>
      </w: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an extended period to exercise certain of Mr. Coffin’s vested stock options through May 30, 2022.</w:t>
      </w:r>
    </w:p>
    <w:p>
      <w:pPr>
        <w:spacing w:after="0" w:line="213"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The foregoing description of the Separation Agreement does not purport to be complete and is qualified in its entirety by reference to the full text of the Separation Agreement, a copy of which is attached as Exhibit 10.1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300" w:type="dxa"/>
            <w:vAlign w:val="bottom"/>
            <w:gridSpan w:val="5"/>
          </w:tcPr>
          <w:p>
            <w:pPr>
              <w:jc w:val="right"/>
              <w:ind w:right="500"/>
              <w:spacing w:after="0"/>
              <w:rPr>
                <w:sz w:val="20"/>
                <w:szCs w:val="20"/>
                <w:color w:val="auto"/>
              </w:rPr>
            </w:pPr>
            <w:r>
              <w:rPr>
                <w:rFonts w:ascii="Arial" w:cs="Arial" w:eastAsia="Arial" w:hAnsi="Arial"/>
                <w:sz w:val="20"/>
                <w:szCs w:val="20"/>
                <w:b w:val="1"/>
                <w:bCs w:val="1"/>
                <w:color w:val="auto"/>
                <w:w w:val="91"/>
              </w:rPr>
              <w:t>Item 9.01</w:t>
            </w:r>
          </w:p>
        </w:tc>
        <w:tc>
          <w:tcPr>
            <w:tcW w:w="6400" w:type="dxa"/>
            <w:vAlign w:val="bottom"/>
            <w:gridSpan w:val="4"/>
          </w:tcPr>
          <w:p>
            <w:pPr>
              <w:ind w:left="40"/>
              <w:spacing w:after="0"/>
              <w:rPr>
                <w:sz w:val="20"/>
                <w:szCs w:val="20"/>
                <w:color w:val="auto"/>
              </w:rPr>
            </w:pPr>
            <w:r>
              <w:rPr>
                <w:rFonts w:ascii="Arial" w:cs="Arial" w:eastAsia="Arial" w:hAnsi="Arial"/>
                <w:sz w:val="20"/>
                <w:szCs w:val="20"/>
                <w:b w:val="1"/>
                <w:bCs w:val="1"/>
                <w:color w:val="auto"/>
              </w:rPr>
              <w:t>Financial Statements and Exhibits.</w:t>
            </w:r>
          </w:p>
        </w:tc>
        <w:tc>
          <w:tcPr>
            <w:tcW w:w="0" w:type="dxa"/>
            <w:vAlign w:val="bottom"/>
          </w:tcPr>
          <w:p>
            <w:pPr>
              <w:spacing w:after="0"/>
              <w:rPr>
                <w:sz w:val="1"/>
                <w:szCs w:val="1"/>
                <w:color w:val="auto"/>
              </w:rPr>
            </w:pPr>
          </w:p>
        </w:tc>
      </w:tr>
      <w:tr>
        <w:trPr>
          <w:trHeight w:val="459"/>
        </w:trPr>
        <w:tc>
          <w:tcPr>
            <w:tcW w:w="1300" w:type="dxa"/>
            <w:vAlign w:val="bottom"/>
            <w:gridSpan w:val="5"/>
          </w:tcPr>
          <w:p>
            <w:pPr>
              <w:jc w:val="right"/>
              <w:ind w:right="300"/>
              <w:spacing w:after="0"/>
              <w:rPr>
                <w:sz w:val="20"/>
                <w:szCs w:val="20"/>
                <w:color w:val="auto"/>
              </w:rPr>
            </w:pPr>
            <w:r>
              <w:rPr>
                <w:rFonts w:ascii="Arial" w:cs="Arial" w:eastAsia="Arial" w:hAnsi="Arial"/>
                <w:sz w:val="20"/>
                <w:szCs w:val="20"/>
                <w:color w:val="auto"/>
                <w:w w:val="92"/>
              </w:rPr>
              <w:t>(d) Exhibits.</w:t>
            </w:r>
          </w:p>
        </w:tc>
        <w:tc>
          <w:tcPr>
            <w:tcW w:w="3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6"/>
        </w:trPr>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gridSpan w:val="3"/>
          </w:tcPr>
          <w:p>
            <w:pPr>
              <w:jc w:val="right"/>
              <w:ind w:right="340"/>
              <w:spacing w:after="0"/>
              <w:rPr>
                <w:sz w:val="20"/>
                <w:szCs w:val="20"/>
                <w:color w:val="auto"/>
              </w:rPr>
            </w:pPr>
            <w:r>
              <w:rPr>
                <w:rFonts w:ascii="Arial" w:cs="Arial" w:eastAsia="Arial" w:hAnsi="Arial"/>
                <w:sz w:val="20"/>
                <w:szCs w:val="20"/>
                <w:b w:val="1"/>
                <w:bCs w:val="1"/>
                <w:color w:val="auto"/>
                <w:w w:val="89"/>
              </w:rPr>
              <w:t>Exhibit</w:t>
            </w:r>
          </w:p>
        </w:tc>
        <w:tc>
          <w:tcPr>
            <w:tcW w:w="3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gridSpan w:val="5"/>
          </w:tcPr>
          <w:p>
            <w:pPr>
              <w:jc w:val="right"/>
              <w:ind w:right="300"/>
              <w:spacing w:after="0"/>
              <w:rPr>
                <w:sz w:val="20"/>
                <w:szCs w:val="20"/>
                <w:color w:val="auto"/>
              </w:rPr>
            </w:pPr>
            <w:r>
              <w:rPr>
                <w:rFonts w:ascii="Arial" w:cs="Arial" w:eastAsia="Arial" w:hAnsi="Arial"/>
                <w:sz w:val="20"/>
                <w:szCs w:val="20"/>
                <w:b w:val="1"/>
                <w:bCs w:val="1"/>
                <w:color w:val="auto"/>
              </w:rPr>
              <w:t>Number</w:t>
            </w:r>
          </w:p>
        </w:tc>
        <w:tc>
          <w:tcPr>
            <w:tcW w:w="3980" w:type="dxa"/>
            <w:vAlign w:val="bottom"/>
          </w:tcPr>
          <w:p>
            <w:pPr>
              <w:spacing w:after="0"/>
              <w:rPr>
                <w:sz w:val="21"/>
                <w:szCs w:val="21"/>
                <w:color w:val="auto"/>
              </w:rPr>
            </w:pPr>
          </w:p>
        </w:tc>
        <w:tc>
          <w:tcPr>
            <w:tcW w:w="2420" w:type="dxa"/>
            <w:vAlign w:val="bottom"/>
            <w:gridSpan w:val="3"/>
            <w:vMerge w:val="restart"/>
          </w:tcPr>
          <w:p>
            <w:pPr>
              <w:spacing w:after="0"/>
              <w:rPr>
                <w:sz w:val="20"/>
                <w:szCs w:val="20"/>
                <w:color w:val="auto"/>
              </w:rPr>
            </w:pPr>
            <w:r>
              <w:rPr>
                <w:rFonts w:ascii="Arial" w:cs="Arial" w:eastAsia="Arial" w:hAnsi="Arial"/>
                <w:sz w:val="20"/>
                <w:szCs w:val="20"/>
                <w:b w:val="1"/>
                <w:bCs w:val="1"/>
                <w:color w:val="auto"/>
              </w:rPr>
              <w:t>Description</w:t>
            </w:r>
          </w:p>
        </w:tc>
        <w:tc>
          <w:tcPr>
            <w:tcW w:w="0" w:type="dxa"/>
            <w:vAlign w:val="bottom"/>
          </w:tcPr>
          <w:p>
            <w:pPr>
              <w:spacing w:after="0"/>
              <w:rPr>
                <w:sz w:val="1"/>
                <w:szCs w:val="1"/>
                <w:color w:val="auto"/>
              </w:rPr>
            </w:pPr>
          </w:p>
        </w:tc>
      </w:tr>
      <w:tr>
        <w:trPr>
          <w:trHeight w:val="48"/>
        </w:trPr>
        <w:tc>
          <w:tcPr>
            <w:tcW w:w="30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3980" w:type="dxa"/>
            <w:vAlign w:val="bottom"/>
          </w:tcPr>
          <w:p>
            <w:pPr>
              <w:spacing w:after="0"/>
              <w:rPr>
                <w:sz w:val="4"/>
                <w:szCs w:val="4"/>
                <w:color w:val="auto"/>
              </w:rPr>
            </w:pPr>
          </w:p>
        </w:tc>
        <w:tc>
          <w:tcPr>
            <w:tcW w:w="24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9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60" w:type="dxa"/>
            <w:vAlign w:val="bottom"/>
            <w:gridSpan w:val="3"/>
          </w:tcPr>
          <w:p>
            <w:pPr>
              <w:jc w:val="right"/>
              <w:ind w:right="41"/>
              <w:spacing w:after="0"/>
              <w:rPr>
                <w:sz w:val="20"/>
                <w:szCs w:val="20"/>
                <w:color w:val="auto"/>
              </w:rPr>
            </w:pPr>
            <w:r>
              <w:rPr>
                <w:rFonts w:ascii="Arial" w:cs="Arial" w:eastAsia="Arial" w:hAnsi="Arial"/>
                <w:sz w:val="20"/>
                <w:szCs w:val="20"/>
                <w:color w:val="auto"/>
              </w:rPr>
              <w:t>10.1</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0" w:type="dxa"/>
            <w:vAlign w:val="bottom"/>
            <w:gridSpan w:val="4"/>
          </w:tcPr>
          <w:p>
            <w:pPr>
              <w:spacing w:after="0"/>
              <w:rPr>
                <w:rFonts w:ascii="Arial" w:cs="Arial" w:eastAsia="Arial" w:hAnsi="Arial"/>
                <w:sz w:val="20"/>
                <w:szCs w:val="20"/>
                <w:color w:val="0000FF"/>
              </w:rPr>
            </w:pPr>
            <w:hyperlink r:id="rId10">
              <w:r>
                <w:rPr>
                  <w:rFonts w:ascii="Arial" w:cs="Arial" w:eastAsia="Arial" w:hAnsi="Arial"/>
                  <w:sz w:val="20"/>
                  <w:szCs w:val="20"/>
                  <w:color w:val="0000FF"/>
                </w:rPr>
                <w:t>Separation Agreement with James Coffin dated as of January 25, 2022.</w:t>
              </w:r>
            </w:hyperlink>
          </w:p>
        </w:tc>
        <w:tc>
          <w:tcPr>
            <w:tcW w:w="0" w:type="dxa"/>
            <w:vAlign w:val="bottom"/>
          </w:tcPr>
          <w:p>
            <w:pPr>
              <w:spacing w:after="0"/>
              <w:rPr>
                <w:sz w:val="1"/>
                <w:szCs w:val="1"/>
                <w:color w:val="auto"/>
              </w:rPr>
            </w:pPr>
          </w:p>
        </w:tc>
      </w:tr>
      <w:tr>
        <w:trPr>
          <w:trHeight w:val="20"/>
        </w:trPr>
        <w:tc>
          <w:tcPr>
            <w:tcW w:w="960" w:type="dxa"/>
            <w:vAlign w:val="bottom"/>
            <w:gridSpan w:val="3"/>
            <w:vMerge w:val="restart"/>
          </w:tcPr>
          <w:p>
            <w:pPr>
              <w:jc w:val="right"/>
              <w:ind w:right="61"/>
              <w:spacing w:after="0"/>
              <w:rPr>
                <w:sz w:val="20"/>
                <w:szCs w:val="20"/>
                <w:color w:val="auto"/>
              </w:rPr>
            </w:pPr>
            <w:r>
              <w:rPr>
                <w:rFonts w:ascii="Arial" w:cs="Arial" w:eastAsia="Arial" w:hAnsi="Arial"/>
                <w:sz w:val="20"/>
                <w:szCs w:val="20"/>
                <w:color w:val="auto"/>
              </w:rPr>
              <w:t>104</w:t>
            </w: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40" w:type="dxa"/>
            <w:vAlign w:val="bottom"/>
            <w:gridSpan w:val="3"/>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96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0" w:type="dxa"/>
            <w:vAlign w:val="bottom"/>
            <w:gridSpan w:val="4"/>
          </w:tcPr>
          <w:p>
            <w:pPr>
              <w:spacing w:after="0"/>
              <w:rPr>
                <w:sz w:val="20"/>
                <w:szCs w:val="20"/>
                <w:color w:val="auto"/>
              </w:rPr>
            </w:pPr>
            <w:r>
              <w:rPr>
                <w:rFonts w:ascii="Arial" w:cs="Arial" w:eastAsia="Arial" w:hAnsi="Arial"/>
                <w:sz w:val="20"/>
                <w:szCs w:val="20"/>
                <w:color w:val="auto"/>
                <w:w w:val="91"/>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240"/>
          </w:cols>
          <w:pgMar w:left="320" w:top="886"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20"/>
          <w:szCs w:val="20"/>
          <w:b w:val="1"/>
          <w:bCs w:val="1"/>
          <w:color w:val="auto"/>
        </w:rPr>
        <w:t>SIGNATURES</w:t>
      </w:r>
    </w:p>
    <w:p>
      <w:pPr>
        <w:spacing w:after="0" w:line="276" w:lineRule="exact"/>
        <w:rPr>
          <w:sz w:val="20"/>
          <w:szCs w:val="20"/>
          <w:color w:val="auto"/>
        </w:rPr>
      </w:pPr>
    </w:p>
    <w:p>
      <w:pPr>
        <w:ind w:firstLine="324"/>
        <w:spacing w:after="0" w:line="303"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183" w:lineRule="exact"/>
        <w:rPr>
          <w:sz w:val="20"/>
          <w:szCs w:val="20"/>
          <w:color w:val="auto"/>
        </w:rPr>
      </w:pPr>
    </w:p>
    <w:tbl>
      <w:tblPr>
        <w:tblLayout w:type="fixed"/>
        <w:tblInd w:w="320" w:type="dxa"/>
        <w:tblCellMar>
          <w:top w:w="0" w:type="dxa"/>
          <w:left w:w="0" w:type="dxa"/>
          <w:bottom w:w="0" w:type="dxa"/>
          <w:right w:w="0" w:type="dxa"/>
        </w:tblCellMar>
      </w:tblPr>
      <w:tr>
        <w:trPr>
          <w:trHeight w:val="256"/>
        </w:trPr>
        <w:tc>
          <w:tcPr>
            <w:tcW w:w="60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6940" w:type="dxa"/>
            <w:vAlign w:val="bottom"/>
            <w:gridSpan w:val="2"/>
          </w:tcPr>
          <w:p>
            <w:pPr>
              <w:ind w:left="1380"/>
              <w:spacing w:after="0"/>
              <w:rPr>
                <w:sz w:val="20"/>
                <w:szCs w:val="20"/>
                <w:color w:val="auto"/>
              </w:rPr>
            </w:pPr>
            <w:r>
              <w:rPr>
                <w:rFonts w:ascii="Arial" w:cs="Arial" w:eastAsia="Arial" w:hAnsi="Arial"/>
                <w:sz w:val="20"/>
                <w:szCs w:val="20"/>
                <w:b w:val="1"/>
                <w:bCs w:val="1"/>
                <w:color w:val="auto"/>
              </w:rPr>
              <w:t>Sema4 Holdings Corp.</w:t>
            </w:r>
          </w:p>
        </w:tc>
      </w:tr>
      <w:tr>
        <w:trPr>
          <w:trHeight w:val="388"/>
        </w:trPr>
        <w:tc>
          <w:tcPr>
            <w:tcW w:w="600" w:type="dxa"/>
            <w:vAlign w:val="bottom"/>
          </w:tcPr>
          <w:p>
            <w:pPr>
              <w:spacing w:after="0"/>
              <w:rPr>
                <w:sz w:val="20"/>
                <w:szCs w:val="20"/>
                <w:color w:val="auto"/>
              </w:rPr>
            </w:pPr>
            <w:r>
              <w:rPr>
                <w:rFonts w:ascii="Arial" w:cs="Arial" w:eastAsia="Arial" w:hAnsi="Arial"/>
                <w:sz w:val="20"/>
                <w:szCs w:val="20"/>
                <w:color w:val="auto"/>
              </w:rPr>
              <w:t>Date:</w:t>
            </w:r>
          </w:p>
        </w:tc>
        <w:tc>
          <w:tcPr>
            <w:tcW w:w="2920" w:type="dxa"/>
            <w:vAlign w:val="bottom"/>
          </w:tcPr>
          <w:p>
            <w:pPr>
              <w:ind w:left="180"/>
              <w:spacing w:after="0"/>
              <w:rPr>
                <w:sz w:val="20"/>
                <w:szCs w:val="20"/>
                <w:color w:val="auto"/>
              </w:rPr>
            </w:pPr>
            <w:r>
              <w:rPr>
                <w:rFonts w:ascii="Arial" w:cs="Arial" w:eastAsia="Arial" w:hAnsi="Arial"/>
                <w:sz w:val="20"/>
                <w:szCs w:val="20"/>
                <w:color w:val="auto"/>
              </w:rPr>
              <w:t>January 31, 2022</w:t>
            </w:r>
          </w:p>
        </w:tc>
        <w:tc>
          <w:tcPr>
            <w:tcW w:w="2260" w:type="dxa"/>
            <w:vAlign w:val="bottom"/>
          </w:tcPr>
          <w:p>
            <w:pPr>
              <w:ind w:left="1380"/>
              <w:spacing w:after="0"/>
              <w:rPr>
                <w:sz w:val="20"/>
                <w:szCs w:val="20"/>
                <w:color w:val="auto"/>
              </w:rPr>
            </w:pPr>
            <w:r>
              <w:rPr>
                <w:rFonts w:ascii="Arial" w:cs="Arial" w:eastAsia="Arial" w:hAnsi="Arial"/>
                <w:sz w:val="20"/>
                <w:szCs w:val="20"/>
                <w:color w:val="auto"/>
              </w:rPr>
              <w:t>By:</w:t>
            </w:r>
          </w:p>
        </w:tc>
        <w:tc>
          <w:tcPr>
            <w:tcW w:w="468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/s/ Eric Schadt</w:t>
            </w:r>
          </w:p>
        </w:tc>
      </w:tr>
      <w:tr>
        <w:trPr>
          <w:trHeight w:val="233"/>
        </w:trPr>
        <w:tc>
          <w:tcPr>
            <w:tcW w:w="6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260" w:type="dxa"/>
            <w:vAlign w:val="bottom"/>
          </w:tcPr>
          <w:p>
            <w:pPr>
              <w:ind w:left="1380"/>
              <w:spacing w:after="0"/>
              <w:rPr>
                <w:sz w:val="20"/>
                <w:szCs w:val="20"/>
                <w:color w:val="auto"/>
              </w:rPr>
            </w:pPr>
            <w:r>
              <w:rPr>
                <w:rFonts w:ascii="Arial" w:cs="Arial" w:eastAsia="Arial" w:hAnsi="Arial"/>
                <w:sz w:val="20"/>
                <w:szCs w:val="20"/>
                <w:color w:val="auto"/>
              </w:rPr>
              <w:t>Name:</w:t>
            </w:r>
          </w:p>
        </w:tc>
        <w:tc>
          <w:tcPr>
            <w:tcW w:w="4680" w:type="dxa"/>
            <w:vAlign w:val="bottom"/>
          </w:tcPr>
          <w:p>
            <w:pPr>
              <w:ind w:left="40"/>
              <w:spacing w:after="0"/>
              <w:rPr>
                <w:sz w:val="20"/>
                <w:szCs w:val="20"/>
                <w:color w:val="auto"/>
              </w:rPr>
            </w:pPr>
            <w:r>
              <w:rPr>
                <w:rFonts w:ascii="Arial" w:cs="Arial" w:eastAsia="Arial" w:hAnsi="Arial"/>
                <w:sz w:val="20"/>
                <w:szCs w:val="20"/>
                <w:color w:val="auto"/>
              </w:rPr>
              <w:t>Eric Schadt</w:t>
            </w:r>
          </w:p>
        </w:tc>
      </w:tr>
      <w:tr>
        <w:trPr>
          <w:trHeight w:val="250"/>
        </w:trPr>
        <w:tc>
          <w:tcPr>
            <w:tcW w:w="60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2260" w:type="dxa"/>
            <w:vAlign w:val="bottom"/>
          </w:tcPr>
          <w:p>
            <w:pPr>
              <w:ind w:left="1380"/>
              <w:spacing w:after="0"/>
              <w:rPr>
                <w:sz w:val="20"/>
                <w:szCs w:val="20"/>
                <w:color w:val="auto"/>
              </w:rPr>
            </w:pPr>
            <w:r>
              <w:rPr>
                <w:rFonts w:ascii="Arial" w:cs="Arial" w:eastAsia="Arial" w:hAnsi="Arial"/>
                <w:sz w:val="20"/>
                <w:szCs w:val="20"/>
                <w:color w:val="auto"/>
              </w:rPr>
              <w:t>Title:</w:t>
            </w:r>
          </w:p>
        </w:tc>
        <w:tc>
          <w:tcPr>
            <w:tcW w:w="4680" w:type="dxa"/>
            <w:vAlign w:val="bottom"/>
          </w:tcPr>
          <w:p>
            <w:pPr>
              <w:ind w:left="40"/>
              <w:spacing w:after="0"/>
              <w:rPr>
                <w:sz w:val="20"/>
                <w:szCs w:val="20"/>
                <w:color w:val="auto"/>
              </w:rPr>
            </w:pPr>
            <w:r>
              <w:rPr>
                <w:rFonts w:ascii="Arial" w:cs="Arial" w:eastAsia="Arial" w:hAnsi="Arial"/>
                <w:sz w:val="20"/>
                <w:szCs w:val="20"/>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hyperlink" Target="https://www.sec.gov/Archives/edgar/data/0001818331/000181833122000022/sema4-separation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2022-01-31T15:27:24Z</dcterms:created>
  <dcterms:modified xsi:type="dcterms:W3CDTF">2022-01-31T15:27:24Z</dcterms:modified>
</cp:coreProperties>
</file>