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Sherman Rachel 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SEMA4 HOLDINGS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LUDLOW ST, NORTH TOWER, 8TH FL.</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STAMFORD</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CT</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06902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Sema4 Holdings Corp.</w:t>
              </w:r>
            </w:hyperlink>
            <w:r>
              <w:rPr/>
              <w:t xml:space="preserve"> [ </w:t>
            </w:r>
            <w:r>
              <w:rPr>
                <w:rFonts w:ascii="Times;serif" w:hAnsi="Times;serif"/>
                <w:color w:val="0000FF"/>
                <w:sz w:val="24"/>
                <w:highlight w:val="white"/>
              </w:rPr>
              <w:t>SMFR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04/27/2022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04/27/2022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04/27/2022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12,836</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12,836</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RSUs will vest on the earlier of (i) the date of the next annual meeting of the Company's shareholders following the grant date and (i) the first anniversary of the grant date, in each case so long as the non-employee director continues to provide services to the Company through such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Clark,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84705"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622</Words>
  <CharactersWithSpaces>3862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