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28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2861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04/29/2025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04/29/2025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753</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4"/>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3,725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04/29/2025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68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388</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113.09</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3,337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68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420</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56.8225</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3,757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04/29/2025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753</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3,014</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Employee Stock Purchase Plan in transactions that were exempt under both Rule 16b-3(d) and Rule 16b-3(c).</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total RSUs vest on April 29, 2023 and April 29, 2024, and thereafter 6.25% of the total shares underlying the award shall vest in equal quarterly installments until fully vested on April 29, 2026,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05/01/2025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2025-05-01T18:48:28Z</dcterms:created>
  <dcterms:modified xsi:type="dcterms:W3CDTF">2025-05-01T18:48:28Z</dcterms:modified>
</cp:coreProperties>
</file>