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81663L101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Mount Sinai Health System,Inc.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150 East 42nd Street, Suite 2-B.17</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212.659.8105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81663L101</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ICAHN SCHOOL OF MEDICINE AT MOUNT SINAI</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00" w:type="dxa"/>
            <w:vAlign w:val="bottom"/>
          </w:tcPr>
          <w:p>
            <w:pPr>
              <w:spacing w:after="0"/>
              <w:rPr>
                <w:sz w:val="24"/>
                <w:szCs w:val="24"/>
                <w:color w:val="auto"/>
              </w:rPr>
            </w:pP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7"/>
              </w:rPr>
              <w:t>Number of</w:t>
            </w: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1,680,016.00</w:t>
            </w:r>
          </w:p>
        </w:tc>
        <w:tc>
          <w:tcPr>
            <w:tcW w:w="0" w:type="dxa"/>
            <w:vAlign w:val="bottom"/>
          </w:tcPr>
          <w:p>
            <w:pPr>
              <w:spacing w:after="0"/>
              <w:rPr>
                <w:sz w:val="1"/>
                <w:szCs w:val="1"/>
                <w:color w:val="auto"/>
              </w:rPr>
            </w:pPr>
          </w:p>
        </w:tc>
      </w:tr>
      <w:tr>
        <w:trPr>
          <w:trHeight w:val="42"/>
        </w:trPr>
        <w:tc>
          <w:tcPr>
            <w:tcW w:w="1000" w:type="dxa"/>
            <w:vAlign w:val="bottom"/>
            <w:vMerge w:val="continue"/>
          </w:tcPr>
          <w:p>
            <w:pPr>
              <w:spacing w:after="0"/>
              <w:rPr>
                <w:sz w:val="3"/>
                <w:szCs w:val="3"/>
                <w:color w:val="auto"/>
              </w:rPr>
            </w:pPr>
          </w:p>
        </w:tc>
        <w:tc>
          <w:tcPr>
            <w:tcW w:w="102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1,680,016.00</w:t>
            </w:r>
          </w:p>
        </w:tc>
        <w:tc>
          <w:tcPr>
            <w:tcW w:w="0" w:type="dxa"/>
            <w:vAlign w:val="bottom"/>
          </w:tcPr>
          <w:p>
            <w:pPr>
              <w:spacing w:after="0"/>
              <w:rPr>
                <w:sz w:val="1"/>
                <w:szCs w:val="1"/>
                <w:color w:val="auto"/>
              </w:rPr>
            </w:pPr>
          </w:p>
        </w:tc>
      </w:t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00" w:type="dxa"/>
            <w:vAlign w:val="bottom"/>
          </w:tcPr>
          <w:p>
            <w:pPr>
              <w:spacing w:after="0"/>
              <w:rPr>
                <w:sz w:val="3"/>
                <w:szCs w:val="3"/>
                <w:color w:val="auto"/>
              </w:rPr>
            </w:pPr>
          </w:p>
        </w:tc>
        <w:tc>
          <w:tcPr>
            <w:tcW w:w="10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1,680,016.00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10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6.1 %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(1) Footnote to rows 7, 9, and 11: All share amounts presented in this Amendment No. 6 reflect the 33:1 reverse stock</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4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w w:val="99"/>
              </w:rPr>
              <w:t>split of the Issuer's Class A Common Stock (as defined below) effective May 4, 2023. (2) Footnote to row 13: Based</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4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on 27,471,397 shares of Class A Common Stock outstanding as of October 22, 2024, as reported in the Issuer's</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Quarterly Report on Form 10-Q filed with the SEC on October 29, 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MOUNT SINAI HEALTH SYSTEM,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77"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GeneDx Holdings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333 Ludlow Street, North Tower, 6th Floor, Stamford, CONNECTICUT , 06902.</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6 ("Amendment No. 6") to Schedule 13D relates to the Class A common stock, par value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$0.0001 per share (the "Class A Common Stock"), of GeneDX Holdings Corp. (f/k/a Sema4 Holdings Corp.)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"Issuer"), and amends and supplements the Schedule 13D filed on October 13, 2021 (the "Initial Filing"), as amended by Amendment No. 1, filed on January 21, 2022 ("Amendment No. 1"), Amendment No. 2, filed on May 6, 2022, Amendment No. 3, filed on February 6, 2023, Amendment No. 4, filed on November 4, 2024, and Amendment No. 5, filed on November 15, 2024 (the Initial Filing, as amended, the "Schedule 13D") by Icahn School of Medicine at Mount Sinai ("ISMMS") and Mount Sinai Health System, Inc. ("MSHS"). As of October 22, 2024, the issued and outstanding Class A Common Stock of the Issuer totaled 27,471,397 shares. The principal executive office of the</w:t>
      </w:r>
    </w:p>
    <w:p>
      <w:pPr>
        <w:spacing w:after="0" w:line="4" w:lineRule="exact"/>
        <w:rPr>
          <w:sz w:val="20"/>
          <w:szCs w:val="20"/>
          <w:color w:val="auto"/>
        </w:rPr>
      </w:pPr>
    </w:p>
    <w:p>
      <w:pPr>
        <w:ind w:right="2120" w:firstLine="952"/>
        <w:spacing w:after="0" w:line="263" w:lineRule="auto"/>
        <w:rPr>
          <w:sz w:val="20"/>
          <w:szCs w:val="20"/>
          <w:color w:val="auto"/>
        </w:rPr>
      </w:pPr>
      <w:r>
        <w:rPr>
          <w:rFonts w:ascii="Times New Roman" w:cs="Times New Roman" w:eastAsia="Times New Roman" w:hAnsi="Times New Roman"/>
          <w:sz w:val="22"/>
          <w:szCs w:val="22"/>
          <w:color w:val="auto"/>
        </w:rPr>
        <w:t>Issuer is located at 333 Ludlow Street, North Tower, 6th Floor, Stamford, Connecticut 06902. Item 2. Identity and Background</w:t>
      </w:r>
    </w:p>
    <w:p>
      <w:pPr>
        <w:spacing w:after="0" w:line="43" w:lineRule="exact"/>
        <w:rPr>
          <w:sz w:val="20"/>
          <w:szCs w:val="20"/>
          <w:color w:val="auto"/>
        </w:rPr>
      </w:pPr>
    </w:p>
    <w:p>
      <w:pPr>
        <w:ind w:left="920" w:right="180" w:hanging="912"/>
        <w:spacing w:after="0"/>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2 of this Amendment No. 6 incorporates herein by reference the information set forth in Item 2 of the Schedule 13D.</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60"/>
        <w:spacing w:after="0" w:line="256" w:lineRule="auto"/>
        <w:rPr>
          <w:sz w:val="20"/>
          <w:szCs w:val="20"/>
          <w:color w:val="auto"/>
        </w:rPr>
      </w:pPr>
      <w:r>
        <w:rPr>
          <w:rFonts w:ascii="Times New Roman" w:cs="Times New Roman" w:eastAsia="Times New Roman" w:hAnsi="Times New Roman"/>
          <w:sz w:val="22"/>
          <w:szCs w:val="22"/>
          <w:color w:val="auto"/>
        </w:rPr>
        <w:t>Item 3 of the Schedule 13D is hereby amended and supplemented as follows: The information set forth in Item 4 of this Amendment No. 6 is hereby incorporated by reference into this Item 3.</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0"/>
        <w:spacing w:after="0" w:line="255" w:lineRule="auto"/>
        <w:rPr>
          <w:sz w:val="20"/>
          <w:szCs w:val="20"/>
          <w:color w:val="auto"/>
        </w:rPr>
      </w:pPr>
      <w:r>
        <w:rPr>
          <w:rFonts w:ascii="Times New Roman" w:cs="Times New Roman" w:eastAsia="Times New Roman" w:hAnsi="Times New Roman"/>
          <w:sz w:val="21"/>
          <w:szCs w:val="21"/>
          <w:color w:val="auto"/>
        </w:rPr>
        <w:t>Item 4 is hereby amended and supplemented as follows: On January 30, 2025, ISMMS sold 200,000 shares of Class A Common Stock at a price of $78.50 per share. On February 13, 2025, ISMMS sold 400,000 shares of Class A Common Stock at a price of $77.5776 per share, on February 14, 2025, ISMMS sold 89,676 shares of Class A Common Stock at a price of $76.9296 per share, and on February 18, 2025, ISMMS sold 350,000 shares of Class A</w:t>
      </w:r>
    </w:p>
    <w:p>
      <w:pPr>
        <w:sectPr>
          <w:pgSz w:w="11900" w:h="16877" w:orient="portrait"/>
          <w:cols w:equalWidth="0" w:num="1">
            <w:col w:w="11160"/>
          </w:cols>
          <w:pgMar w:left="360" w:top="111" w:right="379" w:bottom="0" w:gutter="0" w:footer="0" w:header="0"/>
          <w:type w:val="continuous"/>
        </w:sectPr>
      </w:pPr>
    </w:p>
    <w:bookmarkStart w:id="3" w:name="page4"/>
    <w:bookmarkEnd w:id="3"/>
    <w:p>
      <w:pPr>
        <w:ind w:left="920"/>
        <w:spacing w:after="0" w:line="232" w:lineRule="auto"/>
        <w:rPr>
          <w:sz w:val="20"/>
          <w:szCs w:val="20"/>
          <w:color w:val="auto"/>
        </w:rPr>
      </w:pPr>
      <w:r>
        <w:rPr>
          <w:rFonts w:ascii="Times New Roman" w:cs="Times New Roman" w:eastAsia="Times New Roman" w:hAnsi="Times New Roman"/>
          <w:sz w:val="22"/>
          <w:szCs w:val="22"/>
          <w:color w:val="auto"/>
        </w:rPr>
        <w:t>Common Stock at a price of $100.4069 per share. Each sale was made in reliance on Rule 144 promulgated under the Securities Act of 1933. ISMMS previously filed a Form 144 on January 30, 2025, disclosing ISMMS's intention to sell up to 1,346,123 shares of Class A Common Stock within the next 90 days, which amount includes the aggregate 1,039,676 shares sold as described above. The information in Item 3 of the Schedule 13D is incorporated by reference into this Item 4. The Reporting Persons expect to evaluate on an ongoing basis the Issuer's financial condition and prospects and their respective interests in, and intentions with respect to, the Issuer and their respective investments in the securities of the Issuer, which review may be based on various factors, including the Issuer's business and financial condition, results of operations and prospects, general economic and industry conditions, the securities markets in general and those for the Issuer's securities in particular, as well as other developments and other investment opportunities. Accordingly, each Reporting Person reserves the right to change its intentions, as it deems appropriate. In particular, each Reporting Person may, at any time and from time to time, in the open market, in privately negotiated transactions or otherwise, increase its holdings in the Issuer or dispose of all or a portion of the securities of the Issuer that such Reporting Person now owns or may hereafter acquire, including sales pursuant to the exercise of the registration rights provided for in the Subscription Agreements or in the Registration Rights Agreement described in the Schedule 13D. Except as described in the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or the board of the Issuer with respect to the business and affairs of the Issuer and may from time to time consider pursuing or proposing such matters with advisors, the Issuer or other persons.</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47" w:lineRule="auto"/>
        <w:rPr>
          <w:sz w:val="20"/>
          <w:szCs w:val="20"/>
          <w:color w:val="auto"/>
        </w:rPr>
      </w:pPr>
      <w:r>
        <w:rPr>
          <w:rFonts w:ascii="Times New Roman" w:cs="Times New Roman" w:eastAsia="Times New Roman" w:hAnsi="Times New Roman"/>
          <w:sz w:val="21"/>
          <w:szCs w:val="21"/>
          <w:color w:val="auto"/>
        </w:rPr>
        <w:t>Item 5 of the Schedule 13D is hereby amended and restated as follows: (a) and (b) Items 7 through 11 and 13 of each of the cover pages of this Amendment No. 6 are incorporated herein by reference. Calculation of the percentage of shares of Class A Common Stock beneficially owned assumes that there were 27,471,397 shares of Class A Common Stock issued and outstanding. As of February 18, 2025, after the disposition as described above, ISMMS directly</w:t>
      </w:r>
    </w:p>
    <w:p>
      <w:pPr>
        <w:spacing w:after="0" w:line="2" w:lineRule="exact"/>
        <w:rPr>
          <w:sz w:val="20"/>
          <w:szCs w:val="20"/>
          <w:color w:val="auto"/>
        </w:rPr>
      </w:pPr>
    </w:p>
    <w:p>
      <w:pPr>
        <w:ind w:left="920" w:right="120" w:hanging="912"/>
        <w:spacing w:after="0" w:line="233"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owns 1,680,016 shares of Class A Common Stock. The information set forth in Item 4 of this Amendment No. 6 is hereby incorporated by reference into this Item 5. MSHS disclaims beneficial ownership over all shares beneficially owned by ISMMS, other than for the purpose of determining obligations under the Securities Exchange Act of 1934, as amended, and the filing of this Amendment No. 6 shall not be deemed an admission that MSHS is the beneficial owner of such securities for any other purpose.</w:t>
      </w:r>
    </w:p>
    <w:p>
      <w:pPr>
        <w:spacing w:after="0" w:line="17" w:lineRule="exact"/>
        <w:rPr>
          <w:sz w:val="20"/>
          <w:szCs w:val="20"/>
          <w:color w:val="auto"/>
        </w:rPr>
      </w:pPr>
    </w:p>
    <w:p>
      <w:pPr>
        <w:ind w:left="920" w:right="180" w:hanging="912"/>
        <w:spacing w:after="0" w:line="200"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Except as described in Item 4 of this Amendment No. 6, which is incorporated herein by reference, since the most recent filing of Schedule 13D, none of the Reporting Persons conducted transactions in the Class A Common Stock. To the knowledge of the Reporting Persons, no one other than the Reporting Persons has the right to receive or the</w:t>
      </w:r>
    </w:p>
    <w:p>
      <w:pPr>
        <w:spacing w:after="0" w:line="2" w:lineRule="exact"/>
        <w:rPr>
          <w:rFonts w:ascii="Times New Roman" w:cs="Times New Roman" w:eastAsia="Times New Roman" w:hAnsi="Times New Roman"/>
          <w:sz w:val="42"/>
          <w:szCs w:val="42"/>
          <w:color w:val="auto"/>
          <w:vertAlign w:val="subscript"/>
        </w:rPr>
      </w:pPr>
    </w:p>
    <w:p>
      <w:pPr>
        <w:ind w:left="920" w:right="120" w:hanging="912"/>
        <w:spacing w:after="0" w:line="237"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to direct the receipt of dividends from, or the proceeds from the sale of, the securities of the Issuer reported as beneficially owned by the Reporting Persons herein.</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54" w:lineRule="auto"/>
        <w:rPr>
          <w:sz w:val="20"/>
          <w:szCs w:val="20"/>
          <w:color w:val="auto"/>
        </w:rPr>
      </w:pPr>
      <w:r>
        <w:rPr>
          <w:rFonts w:ascii="Times New Roman" w:cs="Times New Roman" w:eastAsia="Times New Roman" w:hAnsi="Times New Roman"/>
          <w:sz w:val="21"/>
          <w:szCs w:val="21"/>
          <w:color w:val="auto"/>
        </w:rPr>
        <w:t>Item 6 of the Schedule 13D is hereby amended and restated as follows: The information set forth in Items 2, 3, 4 and 5 is hereby incorporated by reference into this Item 6. The Subscription Agreements described in Amendment No. 1 provide for certain customary registration rights for the PIPE investors. The Registration Rights Agreement described in the Initial Filing provides for certain customary registration rights for certain shareholders of the Issuer.</w:t>
      </w:r>
    </w:p>
    <w:p>
      <w:pPr>
        <w:spacing w:after="0" w:line="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60"/>
        <w:spacing w:after="0" w:line="258" w:lineRule="auto"/>
        <w:rPr>
          <w:sz w:val="20"/>
          <w:szCs w:val="20"/>
          <w:color w:val="auto"/>
        </w:rPr>
      </w:pPr>
      <w:r>
        <w:rPr>
          <w:rFonts w:ascii="Times New Roman" w:cs="Times New Roman" w:eastAsia="Times New Roman" w:hAnsi="Times New Roman"/>
          <w:sz w:val="22"/>
          <w:szCs w:val="22"/>
          <w:color w:val="auto"/>
        </w:rPr>
        <w:t>Item 7 of this Amendment No. 6 incorporates herein by reference the information set forth in Item 7 of the Schedule 13D.</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ICAHN SCHOOL OF MEDICINE AT MOUNT SINAI</w:t>
      </w:r>
    </w:p>
    <w:p>
      <w:pPr>
        <w:spacing w:after="0" w:line="152"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Vincent Tammaro</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Vincent Tammaro/Chief Financial Officer</w:t>
      </w:r>
    </w:p>
    <w:p>
      <w:pPr>
        <w:spacing w:after="0" w:line="44"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02/18/2025</w:t>
      </w:r>
    </w:p>
    <w:p>
      <w:pPr>
        <w:spacing w:after="0" w:line="15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MOUNT SINAI HEALTH SYSTEM, INC.</w:t>
      </w:r>
    </w:p>
    <w:p>
      <w:pPr>
        <w:spacing w:after="0" w:line="152"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Vincent Tammaro</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Vincent Tammaro/Chief Financial Officer</w:t>
      </w:r>
    </w:p>
    <w:p>
      <w:pPr>
        <w:spacing w:after="0" w:line="44"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02/18/2025</w:t>
      </w:r>
    </w:p>
    <w:sectPr>
      <w:pgSz w:w="11900" w:h="16838" w:orient="portrait"/>
      <w:cols w:equalWidth="0" w:num="1">
        <w:col w:w="11140"/>
      </w:cols>
      <w:pgMar w:left="360" w:top="112" w:right="399" w:bottom="61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2025-02-18T19:05:58Z</dcterms:created>
  <dcterms:modified xsi:type="dcterms:W3CDTF">2025-02-18T19:05:58Z</dcterms:modified>
</cp:coreProperties>
</file>