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25, 2021</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55880</wp:posOffset>
            </wp:positionV>
            <wp:extent cx="1045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53975</wp:posOffset>
            </wp:positionV>
            <wp:extent cx="1045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SEMA4 HOLDINGS CORP.</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1"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4120" w:type="dxa"/>
            <w:vAlign w:val="bottom"/>
          </w:tcPr>
          <w:p>
            <w:pPr>
              <w:jc w:val="center"/>
              <w:ind w:right="1899"/>
              <w:spacing w:after="0"/>
              <w:rPr>
                <w:sz w:val="20"/>
                <w:szCs w:val="20"/>
                <w:color w:val="auto"/>
              </w:rPr>
            </w:pPr>
            <w:r>
              <w:rPr>
                <w:rFonts w:ascii="Arial" w:cs="Arial" w:eastAsia="Arial" w:hAnsi="Arial"/>
                <w:sz w:val="16"/>
                <w:szCs w:val="16"/>
                <w:b w:val="1"/>
                <w:bCs w:val="1"/>
                <w:color w:val="auto"/>
                <w:w w:val="93"/>
              </w:rPr>
              <w:t>Delaware</w:t>
            </w:r>
          </w:p>
        </w:tc>
        <w:tc>
          <w:tcPr>
            <w:tcW w:w="3180" w:type="dxa"/>
            <w:vAlign w:val="bottom"/>
          </w:tcPr>
          <w:p>
            <w:pPr>
              <w:jc w:val="center"/>
              <w:ind w:left="1879"/>
              <w:spacing w:after="0"/>
              <w:rPr>
                <w:sz w:val="20"/>
                <w:szCs w:val="20"/>
                <w:color w:val="auto"/>
              </w:rPr>
            </w:pPr>
            <w:r>
              <w:rPr>
                <w:rFonts w:ascii="Arial" w:cs="Arial" w:eastAsia="Arial" w:hAnsi="Arial"/>
                <w:sz w:val="16"/>
                <w:szCs w:val="16"/>
                <w:b w:val="1"/>
                <w:bCs w:val="1"/>
                <w:color w:val="auto"/>
                <w:w w:val="91"/>
              </w:rPr>
              <w:t>85-1966622</w:t>
            </w:r>
          </w:p>
        </w:tc>
      </w:tr>
      <w:tr>
        <w:trPr>
          <w:trHeight w:val="311"/>
        </w:trPr>
        <w:tc>
          <w:tcPr>
            <w:tcW w:w="4120" w:type="dxa"/>
            <w:vAlign w:val="bottom"/>
          </w:tcPr>
          <w:p>
            <w:pPr>
              <w:jc w:val="center"/>
              <w:ind w:right="1879"/>
              <w:spacing w:after="0"/>
              <w:rPr>
                <w:sz w:val="20"/>
                <w:szCs w:val="20"/>
                <w:color w:val="auto"/>
              </w:rPr>
            </w:pPr>
            <w:r>
              <w:rPr>
                <w:rFonts w:ascii="Arial" w:cs="Arial" w:eastAsia="Arial" w:hAnsi="Arial"/>
                <w:sz w:val="16"/>
                <w:szCs w:val="16"/>
                <w:color w:val="auto"/>
                <w:w w:val="92"/>
              </w:rPr>
              <w:t>(State or Other Jurisdiction</w:t>
            </w:r>
          </w:p>
        </w:tc>
        <w:tc>
          <w:tcPr>
            <w:tcW w:w="3180" w:type="dxa"/>
            <w:vAlign w:val="bottom"/>
          </w:tcPr>
          <w:p>
            <w:pPr>
              <w:jc w:val="center"/>
              <w:ind w:left="1879"/>
              <w:spacing w:after="0"/>
              <w:rPr>
                <w:sz w:val="20"/>
                <w:szCs w:val="20"/>
                <w:color w:val="auto"/>
              </w:rPr>
            </w:pPr>
            <w:r>
              <w:rPr>
                <w:rFonts w:ascii="Arial" w:cs="Arial" w:eastAsia="Arial" w:hAnsi="Arial"/>
                <w:sz w:val="16"/>
                <w:szCs w:val="16"/>
                <w:color w:val="auto"/>
                <w:w w:val="93"/>
              </w:rPr>
              <w:t>(I.R.S. Employer</w:t>
            </w:r>
          </w:p>
        </w:tc>
      </w:tr>
      <w:tr>
        <w:trPr>
          <w:trHeight w:val="216"/>
        </w:trPr>
        <w:tc>
          <w:tcPr>
            <w:tcW w:w="4120" w:type="dxa"/>
            <w:vAlign w:val="bottom"/>
          </w:tcPr>
          <w:p>
            <w:pPr>
              <w:jc w:val="center"/>
              <w:ind w:right="1879"/>
              <w:spacing w:after="0"/>
              <w:rPr>
                <w:sz w:val="20"/>
                <w:szCs w:val="20"/>
                <w:color w:val="auto"/>
              </w:rPr>
            </w:pPr>
            <w:r>
              <w:rPr>
                <w:rFonts w:ascii="Arial" w:cs="Arial" w:eastAsia="Arial" w:hAnsi="Arial"/>
                <w:sz w:val="16"/>
                <w:szCs w:val="16"/>
                <w:color w:val="auto"/>
                <w:w w:val="93"/>
              </w:rPr>
              <w:t>of Incorporation or Organization)</w:t>
            </w:r>
          </w:p>
        </w:tc>
        <w:tc>
          <w:tcPr>
            <w:tcW w:w="3180" w:type="dxa"/>
            <w:vAlign w:val="bottom"/>
          </w:tcPr>
          <w:p>
            <w:pPr>
              <w:jc w:val="center"/>
              <w:ind w:left="1879"/>
              <w:spacing w:after="0"/>
              <w:rPr>
                <w:sz w:val="20"/>
                <w:szCs w:val="20"/>
                <w:color w:val="auto"/>
              </w:rPr>
            </w:pPr>
            <w:r>
              <w:rPr>
                <w:rFonts w:ascii="Arial" w:cs="Arial" w:eastAsia="Arial" w:hAnsi="Arial"/>
                <w:sz w:val="16"/>
                <w:szCs w:val="16"/>
                <w:color w:val="auto"/>
                <w:w w:val="97"/>
              </w:rPr>
              <w:t>Identification No.)</w:t>
            </w:r>
          </w:p>
        </w:tc>
      </w:tr>
    </w:tbl>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Ludlow Street, North Tower, 8th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Stamford, Connecticut 06902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SEMA4 HOLDINGS CORP. EARN-OUT RSU AWARDS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52070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Eric Schadt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Ludlow Street, North Tower, 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Stamford, Connecticut 06902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and Address of Agent For Service)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298-6470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54610</wp:posOffset>
            </wp:positionV>
            <wp:extent cx="1045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186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5400" w:type="dxa"/>
            <w:vAlign w:val="bottom"/>
          </w:tcPr>
          <w:p>
            <w:pPr>
              <w:ind w:left="740"/>
              <w:spacing w:after="0"/>
              <w:rPr>
                <w:sz w:val="20"/>
                <w:szCs w:val="20"/>
                <w:color w:val="auto"/>
              </w:rPr>
            </w:pPr>
            <w:r>
              <w:rPr>
                <w:rFonts w:ascii="Arial" w:cs="Arial" w:eastAsia="Arial" w:hAnsi="Arial"/>
                <w:sz w:val="18"/>
                <w:szCs w:val="18"/>
                <w:b w:val="1"/>
                <w:bCs w:val="1"/>
                <w:color w:val="auto"/>
              </w:rPr>
              <w:t>Copies to:</w:t>
            </w:r>
          </w:p>
        </w:tc>
      </w:tr>
      <w:tr>
        <w:trPr>
          <w:trHeight w:val="318"/>
        </w:trPr>
        <w:tc>
          <w:tcPr>
            <w:tcW w:w="2640" w:type="dxa"/>
            <w:vAlign w:val="bottom"/>
          </w:tcPr>
          <w:p>
            <w:pPr>
              <w:jc w:val="center"/>
              <w:ind w:right="619"/>
              <w:spacing w:after="0"/>
              <w:rPr>
                <w:sz w:val="20"/>
                <w:szCs w:val="20"/>
                <w:color w:val="auto"/>
              </w:rPr>
            </w:pPr>
            <w:r>
              <w:rPr>
                <w:rFonts w:ascii="Arial" w:cs="Arial" w:eastAsia="Arial" w:hAnsi="Arial"/>
                <w:sz w:val="16"/>
                <w:szCs w:val="16"/>
                <w:b w:val="1"/>
                <w:bCs w:val="1"/>
                <w:color w:val="auto"/>
                <w:w w:val="95"/>
              </w:rPr>
              <w:t>Ethan Skerry</w:t>
            </w:r>
          </w:p>
        </w:tc>
        <w:tc>
          <w:tcPr>
            <w:tcW w:w="5400" w:type="dxa"/>
            <w:vAlign w:val="bottom"/>
          </w:tcPr>
          <w:p>
            <w:pPr>
              <w:jc w:val="center"/>
              <w:ind w:left="2378"/>
              <w:spacing w:after="0"/>
              <w:rPr>
                <w:sz w:val="20"/>
                <w:szCs w:val="20"/>
                <w:color w:val="auto"/>
              </w:rPr>
            </w:pPr>
            <w:r>
              <w:rPr>
                <w:rFonts w:ascii="Arial" w:cs="Arial" w:eastAsia="Arial" w:hAnsi="Arial"/>
                <w:sz w:val="16"/>
                <w:szCs w:val="16"/>
                <w:b w:val="1"/>
                <w:bCs w:val="1"/>
                <w:color w:val="auto"/>
                <w:w w:val="97"/>
              </w:rPr>
              <w:t>Daniel Clark</w:t>
            </w:r>
          </w:p>
        </w:tc>
      </w:tr>
      <w:tr>
        <w:trPr>
          <w:trHeight w:val="216"/>
        </w:trPr>
        <w:tc>
          <w:tcPr>
            <w:tcW w:w="2640" w:type="dxa"/>
            <w:vAlign w:val="bottom"/>
          </w:tcPr>
          <w:p>
            <w:pPr>
              <w:jc w:val="center"/>
              <w:ind w:right="639"/>
              <w:spacing w:after="0"/>
              <w:rPr>
                <w:sz w:val="20"/>
                <w:szCs w:val="20"/>
                <w:color w:val="auto"/>
              </w:rPr>
            </w:pPr>
            <w:r>
              <w:rPr>
                <w:rFonts w:ascii="Arial" w:cs="Arial" w:eastAsia="Arial" w:hAnsi="Arial"/>
                <w:sz w:val="16"/>
                <w:szCs w:val="16"/>
                <w:b w:val="1"/>
                <w:bCs w:val="1"/>
                <w:color w:val="auto"/>
                <w:w w:val="92"/>
              </w:rPr>
              <w:t>Per B. Chilstrom</w:t>
            </w:r>
          </w:p>
        </w:tc>
        <w:tc>
          <w:tcPr>
            <w:tcW w:w="5400" w:type="dxa"/>
            <w:vAlign w:val="bottom"/>
          </w:tcPr>
          <w:p>
            <w:pPr>
              <w:jc w:val="center"/>
              <w:ind w:left="2358"/>
              <w:spacing w:after="0"/>
              <w:rPr>
                <w:sz w:val="20"/>
                <w:szCs w:val="20"/>
                <w:color w:val="auto"/>
              </w:rPr>
            </w:pPr>
            <w:r>
              <w:rPr>
                <w:rFonts w:ascii="Arial" w:cs="Arial" w:eastAsia="Arial" w:hAnsi="Arial"/>
                <w:sz w:val="16"/>
                <w:szCs w:val="16"/>
                <w:b w:val="1"/>
                <w:bCs w:val="1"/>
                <w:color w:val="auto"/>
                <w:w w:val="91"/>
              </w:rPr>
              <w:t>General Counsel</w:t>
            </w:r>
          </w:p>
        </w:tc>
      </w:tr>
      <w:tr>
        <w:trPr>
          <w:trHeight w:val="216"/>
        </w:trPr>
        <w:tc>
          <w:tcPr>
            <w:tcW w:w="2640" w:type="dxa"/>
            <w:vAlign w:val="bottom"/>
          </w:tcPr>
          <w:p>
            <w:pPr>
              <w:jc w:val="center"/>
              <w:ind w:right="639"/>
              <w:spacing w:after="0"/>
              <w:rPr>
                <w:sz w:val="20"/>
                <w:szCs w:val="20"/>
                <w:color w:val="auto"/>
              </w:rPr>
            </w:pPr>
            <w:r>
              <w:rPr>
                <w:rFonts w:ascii="Arial" w:cs="Arial" w:eastAsia="Arial" w:hAnsi="Arial"/>
                <w:sz w:val="16"/>
                <w:szCs w:val="16"/>
                <w:b w:val="1"/>
                <w:bCs w:val="1"/>
                <w:color w:val="auto"/>
                <w:w w:val="94"/>
              </w:rPr>
              <w:t>Fenwick &amp; West LLP</w:t>
            </w:r>
          </w:p>
        </w:tc>
        <w:tc>
          <w:tcPr>
            <w:tcW w:w="5400" w:type="dxa"/>
            <w:vAlign w:val="bottom"/>
          </w:tcPr>
          <w:p>
            <w:pPr>
              <w:jc w:val="center"/>
              <w:ind w:left="2358"/>
              <w:spacing w:after="0"/>
              <w:rPr>
                <w:sz w:val="20"/>
                <w:szCs w:val="20"/>
                <w:color w:val="auto"/>
              </w:rPr>
            </w:pPr>
            <w:r>
              <w:rPr>
                <w:rFonts w:ascii="Arial" w:cs="Arial" w:eastAsia="Arial" w:hAnsi="Arial"/>
                <w:sz w:val="16"/>
                <w:szCs w:val="16"/>
                <w:b w:val="1"/>
                <w:bCs w:val="1"/>
                <w:color w:val="auto"/>
                <w:w w:val="91"/>
              </w:rPr>
              <w:t>Sema4 Holdings Corp.</w:t>
            </w:r>
          </w:p>
        </w:tc>
      </w:tr>
      <w:tr>
        <w:trPr>
          <w:trHeight w:val="216"/>
        </w:trPr>
        <w:tc>
          <w:tcPr>
            <w:tcW w:w="2640" w:type="dxa"/>
            <w:vAlign w:val="bottom"/>
          </w:tcPr>
          <w:p>
            <w:pPr>
              <w:jc w:val="center"/>
              <w:ind w:right="639"/>
              <w:spacing w:after="0"/>
              <w:rPr>
                <w:sz w:val="20"/>
                <w:szCs w:val="20"/>
                <w:color w:val="auto"/>
              </w:rPr>
            </w:pPr>
            <w:r>
              <w:rPr>
                <w:rFonts w:ascii="Arial" w:cs="Arial" w:eastAsia="Arial" w:hAnsi="Arial"/>
                <w:sz w:val="16"/>
                <w:szCs w:val="16"/>
                <w:b w:val="1"/>
                <w:bCs w:val="1"/>
                <w:color w:val="auto"/>
                <w:w w:val="92"/>
              </w:rPr>
              <w:t>902 Broadway</w:t>
            </w:r>
          </w:p>
        </w:tc>
        <w:tc>
          <w:tcPr>
            <w:tcW w:w="5400" w:type="dxa"/>
            <w:vAlign w:val="bottom"/>
          </w:tcPr>
          <w:p>
            <w:pPr>
              <w:jc w:val="center"/>
              <w:ind w:left="2378"/>
              <w:spacing w:after="0"/>
              <w:rPr>
                <w:sz w:val="20"/>
                <w:szCs w:val="20"/>
                <w:color w:val="auto"/>
              </w:rPr>
            </w:pPr>
            <w:r>
              <w:rPr>
                <w:rFonts w:ascii="Arial" w:cs="Arial" w:eastAsia="Arial" w:hAnsi="Arial"/>
                <w:sz w:val="16"/>
                <w:szCs w:val="16"/>
                <w:b w:val="1"/>
                <w:bCs w:val="1"/>
                <w:color w:val="auto"/>
                <w:w w:val="92"/>
              </w:rPr>
              <w:t>333 Ludlow Street, North Tower, 8th Floor</w:t>
            </w:r>
          </w:p>
        </w:tc>
      </w:tr>
      <w:tr>
        <w:trPr>
          <w:trHeight w:val="216"/>
        </w:trPr>
        <w:tc>
          <w:tcPr>
            <w:tcW w:w="2640" w:type="dxa"/>
            <w:vAlign w:val="bottom"/>
          </w:tcPr>
          <w:p>
            <w:pPr>
              <w:jc w:val="center"/>
              <w:ind w:right="639"/>
              <w:spacing w:after="0"/>
              <w:rPr>
                <w:sz w:val="20"/>
                <w:szCs w:val="20"/>
                <w:color w:val="auto"/>
              </w:rPr>
            </w:pPr>
            <w:r>
              <w:rPr>
                <w:rFonts w:ascii="Arial" w:cs="Arial" w:eastAsia="Arial" w:hAnsi="Arial"/>
                <w:sz w:val="16"/>
                <w:szCs w:val="16"/>
                <w:b w:val="1"/>
                <w:bCs w:val="1"/>
                <w:color w:val="auto"/>
                <w:w w:val="94"/>
              </w:rPr>
              <w:t>New York, New York 10010</w:t>
            </w:r>
          </w:p>
        </w:tc>
        <w:tc>
          <w:tcPr>
            <w:tcW w:w="5400" w:type="dxa"/>
            <w:vAlign w:val="bottom"/>
          </w:tcPr>
          <w:p>
            <w:pPr>
              <w:jc w:val="center"/>
              <w:ind w:left="2378"/>
              <w:spacing w:after="0"/>
              <w:rPr>
                <w:sz w:val="20"/>
                <w:szCs w:val="20"/>
                <w:color w:val="auto"/>
              </w:rPr>
            </w:pPr>
            <w:r>
              <w:rPr>
                <w:rFonts w:ascii="Arial" w:cs="Arial" w:eastAsia="Arial" w:hAnsi="Arial"/>
                <w:sz w:val="16"/>
                <w:szCs w:val="16"/>
                <w:b w:val="1"/>
                <w:bCs w:val="1"/>
                <w:color w:val="auto"/>
                <w:w w:val="91"/>
              </w:rPr>
              <w:t>Stamford, Connecticut 06902</w:t>
            </w:r>
          </w:p>
        </w:tc>
      </w:tr>
      <w:tr>
        <w:trPr>
          <w:trHeight w:val="216"/>
        </w:trPr>
        <w:tc>
          <w:tcPr>
            <w:tcW w:w="2640" w:type="dxa"/>
            <w:vAlign w:val="bottom"/>
          </w:tcPr>
          <w:p>
            <w:pPr>
              <w:jc w:val="center"/>
              <w:ind w:right="639"/>
              <w:spacing w:after="0"/>
              <w:rPr>
                <w:sz w:val="20"/>
                <w:szCs w:val="20"/>
                <w:color w:val="auto"/>
              </w:rPr>
            </w:pPr>
            <w:r>
              <w:rPr>
                <w:rFonts w:ascii="Arial" w:cs="Arial" w:eastAsia="Arial" w:hAnsi="Arial"/>
                <w:sz w:val="16"/>
                <w:szCs w:val="16"/>
                <w:b w:val="1"/>
                <w:bCs w:val="1"/>
                <w:color w:val="auto"/>
                <w:w w:val="91"/>
              </w:rPr>
              <w:t>(212) 430-2600</w:t>
            </w:r>
          </w:p>
        </w:tc>
        <w:tc>
          <w:tcPr>
            <w:tcW w:w="5400" w:type="dxa"/>
            <w:vAlign w:val="bottom"/>
          </w:tcPr>
          <w:p>
            <w:pPr>
              <w:jc w:val="center"/>
              <w:ind w:left="2358"/>
              <w:spacing w:after="0"/>
              <w:rPr>
                <w:sz w:val="20"/>
                <w:szCs w:val="20"/>
                <w:color w:val="auto"/>
              </w:rPr>
            </w:pPr>
            <w:r>
              <w:rPr>
                <w:rFonts w:ascii="Arial" w:cs="Arial" w:eastAsia="Arial" w:hAnsi="Arial"/>
                <w:sz w:val="16"/>
                <w:szCs w:val="16"/>
                <w:b w:val="1"/>
                <w:bCs w:val="1"/>
                <w:color w:val="auto"/>
                <w:w w:val="91"/>
              </w:rPr>
              <w:t>(800) 298-6470</w:t>
            </w:r>
          </w:p>
        </w:tc>
      </w:tr>
    </w:tbl>
    <w:p>
      <w:pPr>
        <w:spacing w:after="0" w:line="2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53"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50" w:lineRule="exact"/>
        <w:rPr>
          <w:sz w:val="24"/>
          <w:szCs w:val="24"/>
          <w:color w:val="auto"/>
        </w:rPr>
      </w:pPr>
    </w:p>
    <w:p>
      <w:pPr>
        <w:sectPr>
          <w:pgSz w:w="11900" w:h="16838" w:orient="portrait"/>
          <w:cols w:equalWidth="0" w:num="2">
            <w:col w:w="4460" w:space="720"/>
            <w:col w:w="6060"/>
          </w:cols>
          <w:pgMar w:left="320" w:top="1440" w:right="339" w:bottom="1440" w:gutter="0" w:footer="0" w:header="0"/>
          <w:type w:val="continuous"/>
        </w:sect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2">
            <w:col w:w="4460" w:space="720"/>
            <w:col w:w="6060"/>
          </w:cols>
          <w:pgMar w:left="320" w:top="1440" w:right="339" w:bottom="1440" w:gutter="0" w:footer="0" w:header="0"/>
          <w:type w:val="continuous"/>
        </w:sectPr>
      </w:pPr>
    </w:p>
    <w:p>
      <w:pPr>
        <w:ind w:left="51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1440" w:right="339" w:bottom="1440" w:gutter="0" w:footer="0" w:header="0"/>
          <w:type w:val="continuous"/>
        </w:sectPr>
      </w:pPr>
    </w:p>
    <w:p>
      <w:pPr>
        <w:spacing w:after="0" w:line="301" w:lineRule="exact"/>
        <w:rPr>
          <w:sz w:val="24"/>
          <w:szCs w:val="24"/>
          <w:color w:val="auto"/>
        </w:rPr>
      </w:pPr>
    </w:p>
    <w:p>
      <w:pPr>
        <w:ind w:left="60" w:right="5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CALCULATION OF REGISTRATION FEE</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3080" w:type="dxa"/>
            <w:vAlign w:val="bottom"/>
            <w:tcBorders>
              <w:top w:val="single" w:sz="8" w:color="auto"/>
              <w:right w:val="single" w:sz="8" w:color="auto"/>
            </w:tcBorders>
          </w:tcPr>
          <w:p>
            <w:pPr>
              <w:spacing w:after="0"/>
              <w:rPr>
                <w:sz w:val="24"/>
                <w:szCs w:val="24"/>
                <w:color w:val="auto"/>
              </w:rPr>
            </w:pPr>
          </w:p>
        </w:tc>
        <w:tc>
          <w:tcPr>
            <w:tcW w:w="204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Proposed Maximum</w:t>
            </w:r>
          </w:p>
        </w:tc>
        <w:tc>
          <w:tcPr>
            <w:tcW w:w="204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tcBorders>
              <w:right w:val="single" w:sz="8" w:color="auto"/>
            </w:tcBorders>
          </w:tcPr>
          <w:p>
            <w:pPr>
              <w:ind w:left="920"/>
              <w:spacing w:after="0"/>
              <w:rPr>
                <w:sz w:val="20"/>
                <w:szCs w:val="20"/>
                <w:color w:val="auto"/>
              </w:rPr>
            </w:pPr>
            <w:r>
              <w:rPr>
                <w:rFonts w:ascii="Arial" w:cs="Arial" w:eastAsia="Arial" w:hAnsi="Arial"/>
                <w:sz w:val="16"/>
                <w:szCs w:val="16"/>
                <w:b w:val="1"/>
                <w:bCs w:val="1"/>
                <w:color w:val="auto"/>
              </w:rPr>
              <w:t>Title of Securities</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Amount To Be</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Offering Price</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Proposed Maximum</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46"/>
        </w:trPr>
        <w:tc>
          <w:tcPr>
            <w:tcW w:w="3080" w:type="dxa"/>
            <w:vAlign w:val="bottom"/>
            <w:tcBorders>
              <w:right w:val="single" w:sz="8" w:color="auto"/>
            </w:tcBorders>
            <w:vMerge w:val="restart"/>
          </w:tcPr>
          <w:p>
            <w:pPr>
              <w:ind w:left="940"/>
              <w:spacing w:after="0"/>
              <w:rPr>
                <w:sz w:val="20"/>
                <w:szCs w:val="20"/>
                <w:color w:val="auto"/>
              </w:rPr>
            </w:pPr>
            <w:r>
              <w:rPr>
                <w:rFonts w:ascii="Arial" w:cs="Arial" w:eastAsia="Arial" w:hAnsi="Arial"/>
                <w:sz w:val="16"/>
                <w:szCs w:val="16"/>
                <w:b w:val="1"/>
                <w:bCs w:val="1"/>
                <w:color w:val="auto"/>
              </w:rPr>
              <w:t>To Be Registered</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Registered</w:t>
            </w:r>
            <w:r>
              <w:rPr>
                <w:rFonts w:ascii="Arial" w:cs="Arial" w:eastAsia="Arial" w:hAnsi="Arial"/>
                <w:sz w:val="21"/>
                <w:szCs w:val="21"/>
                <w:b w:val="1"/>
                <w:bCs w:val="1"/>
                <w:color w:val="auto"/>
                <w:w w:val="86"/>
                <w:vertAlign w:val="superscript"/>
              </w:rPr>
              <w:t>(1)</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Per Share</w:t>
            </w:r>
          </w:p>
        </w:tc>
        <w:tc>
          <w:tcPr>
            <w:tcW w:w="2040" w:type="dxa"/>
            <w:vAlign w:val="bottom"/>
            <w:tcBorders>
              <w:right w:val="single" w:sz="8" w:color="auto"/>
            </w:tcBorders>
            <w:vMerge w:val="continue"/>
          </w:tcPr>
          <w:p>
            <w:pPr>
              <w:spacing w:after="0"/>
              <w:rPr>
                <w:sz w:val="4"/>
                <w:szCs w:val="4"/>
                <w:color w:val="auto"/>
              </w:rPr>
            </w:pPr>
          </w:p>
        </w:tc>
        <w:tc>
          <w:tcPr>
            <w:tcW w:w="2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Registration Fee</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right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Aggregate Offering Price</w:t>
            </w:r>
          </w:p>
        </w:tc>
        <w:tc>
          <w:tcPr>
            <w:tcW w:w="2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Class A Common Stock, par value $0.0001</w:t>
            </w:r>
          </w:p>
        </w:tc>
        <w:tc>
          <w:tcPr>
            <w:tcW w:w="20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3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per share, issuable upon vesting of Earn-Out</w:t>
            </w:r>
          </w:p>
        </w:tc>
        <w:tc>
          <w:tcPr>
            <w:tcW w:w="204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16"/>
                <w:szCs w:val="16"/>
                <w:color w:val="auto"/>
                <w:w w:val="85"/>
              </w:rPr>
              <w:t>841,844</w:t>
            </w:r>
            <w:r>
              <w:rPr>
                <w:rFonts w:ascii="Arial" w:cs="Arial" w:eastAsia="Arial" w:hAnsi="Arial"/>
                <w:sz w:val="21"/>
                <w:szCs w:val="21"/>
                <w:color w:val="auto"/>
                <w:w w:val="85"/>
                <w:vertAlign w:val="superscript"/>
              </w:rPr>
              <w:t>(2)</w:t>
            </w:r>
          </w:p>
        </w:tc>
        <w:tc>
          <w:tcPr>
            <w:tcW w:w="202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16"/>
                <w:szCs w:val="16"/>
                <w:color w:val="auto"/>
                <w:w w:val="83"/>
              </w:rPr>
              <w:t>$7.57</w:t>
            </w:r>
            <w:r>
              <w:rPr>
                <w:rFonts w:ascii="Arial" w:cs="Arial" w:eastAsia="Arial" w:hAnsi="Arial"/>
                <w:sz w:val="21"/>
                <w:szCs w:val="21"/>
                <w:color w:val="auto"/>
                <w:w w:val="83"/>
                <w:vertAlign w:val="superscript"/>
              </w:rPr>
              <w:t>(3)</w:t>
            </w:r>
          </w:p>
        </w:tc>
        <w:tc>
          <w:tcPr>
            <w:tcW w:w="2040" w:type="dxa"/>
            <w:vAlign w:val="bottom"/>
            <w:tcBorders>
              <w:right w:val="single" w:sz="8" w:color="auto"/>
            </w:tcBorders>
          </w:tcPr>
          <w:p>
            <w:pPr>
              <w:jc w:val="right"/>
              <w:ind w:right="359"/>
              <w:spacing w:after="0" w:line="226" w:lineRule="exact"/>
              <w:rPr>
                <w:sz w:val="20"/>
                <w:szCs w:val="20"/>
                <w:color w:val="auto"/>
              </w:rPr>
            </w:pPr>
            <w:r>
              <w:rPr>
                <w:rFonts w:ascii="Arial" w:cs="Arial" w:eastAsia="Arial" w:hAnsi="Arial"/>
                <w:sz w:val="16"/>
                <w:szCs w:val="16"/>
                <w:color w:val="auto"/>
              </w:rPr>
              <w:t>$6,372,760</w:t>
            </w:r>
            <w:r>
              <w:rPr>
                <w:rFonts w:ascii="Arial" w:cs="Arial" w:eastAsia="Arial" w:hAnsi="Arial"/>
                <w:sz w:val="21"/>
                <w:szCs w:val="21"/>
                <w:color w:val="auto"/>
                <w:vertAlign w:val="superscript"/>
              </w:rPr>
              <w:t>(3)</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$591</w:t>
            </w:r>
          </w:p>
        </w:tc>
        <w:tc>
          <w:tcPr>
            <w:tcW w:w="0" w:type="dxa"/>
            <w:vAlign w:val="bottom"/>
          </w:tcPr>
          <w:p>
            <w:pPr>
              <w:spacing w:after="0"/>
              <w:rPr>
                <w:sz w:val="1"/>
                <w:szCs w:val="1"/>
                <w:color w:val="auto"/>
              </w:rPr>
            </w:pPr>
          </w:p>
        </w:tc>
      </w:tr>
      <w:tr>
        <w:trPr>
          <w:trHeight w:val="206"/>
        </w:trPr>
        <w:tc>
          <w:tcPr>
            <w:tcW w:w="30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RSUs</w:t>
            </w:r>
          </w:p>
        </w:tc>
        <w:tc>
          <w:tcPr>
            <w:tcW w:w="20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08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40" w:hanging="332"/>
        <w:spacing w:after="0" w:line="253" w:lineRule="auto"/>
        <w:tabs>
          <w:tab w:leader="none" w:pos="413"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(the “Securities Act”), this Registration Statement also covers such additional and indeterminate number of securities as may become issuable pursuant to the provisions of the Earn-Out RSUs (as defined below) by reason of any stock dividend, stock split, recapitalization or any other similar transaction effected without the Registrant’s receipt of consideration which results in an increase in the number of outstanding shares of Class A common stock, par value $0.0001 per share (the “Class A Common Stock”), of Sema4 Holdings Corp. (formerly, CM Life Sciences, Inc.), a Delaware corporation (the “Registrant”).</w:t>
      </w:r>
    </w:p>
    <w:p>
      <w:pPr>
        <w:spacing w:after="0" w:line="2" w:lineRule="exact"/>
        <w:rPr>
          <w:rFonts w:ascii="Arial" w:cs="Arial" w:eastAsia="Arial" w:hAnsi="Arial"/>
          <w:sz w:val="16"/>
          <w:szCs w:val="16"/>
          <w:color w:val="auto"/>
        </w:rPr>
      </w:pPr>
    </w:p>
    <w:p>
      <w:pPr>
        <w:jc w:val="both"/>
        <w:ind w:left="340" w:hanging="332"/>
        <w:spacing w:after="0" w:line="256" w:lineRule="auto"/>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Class A Common Stock (the “Earn-Out RSU Shares”) issuable upon the vesting of certain RSU awards (the “Earn-Out RSUs”) that are expected to be granted to certain former equity award holders of Sema4 (as defined below) and certain employees of the Registrant pursuant to the terms of that certain Agreement and Plan of Merger, dated as of February 9, 2021 (as amended, the “Merger Agreement”), by and among CM Life Sciences, Inc., S-IV Sub, Inc. and Mount Sinai Genomics, Inc. d/b/a Sema4 (“Sema4”).</w:t>
      </w:r>
    </w:p>
    <w:p>
      <w:pPr>
        <w:spacing w:after="0" w:line="11" w:lineRule="exact"/>
        <w:rPr>
          <w:rFonts w:ascii="Arial" w:cs="Arial" w:eastAsia="Arial" w:hAnsi="Arial"/>
          <w:sz w:val="16"/>
          <w:szCs w:val="16"/>
          <w:color w:val="auto"/>
        </w:rPr>
      </w:pPr>
    </w:p>
    <w:p>
      <w:pPr>
        <w:ind w:left="340" w:hanging="332"/>
        <w:spacing w:after="0" w:line="275" w:lineRule="auto"/>
        <w:tabs>
          <w:tab w:leader="none" w:pos="367"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Rule 457(h) under the Securities Act solely for the purpose of calculating the registration fee. The price of $7.57 per share represents the average high and low sales prices of the Class A Common Stock as quoted on the Nasdaq Global Select Market on October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227330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Statement shall become effective upon filing in accordance with Rule 462 under the Securities Act.</w:t>
      </w:r>
    </w:p>
    <w:p>
      <w:pPr>
        <w:sectPr>
          <w:pgSz w:w="11900" w:h="16838" w:orient="portrait"/>
          <w:cols w:equalWidth="0" w:num="1">
            <w:col w:w="11240"/>
          </w:cols>
          <w:pgMar w:left="320" w:top="1440" w:right="339" w:bottom="1440" w:gutter="0" w:footer="0" w:header="0"/>
        </w:sectPr>
      </w:pPr>
    </w:p>
    <w:bookmarkStart w:id="2" w:name="page3"/>
    <w:bookmarkEnd w:id="2"/>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OF ADDITIONAL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GENERAL INSTRUCTION E OF FORM S-8</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Sema4 Holdings Corp. (formerly, CM Life Sciences, Inc.), a Delaware corporation (the “Registrant”), initially registered pursuant to a Registration Statement on Form S-8 filed with the Securities and Exchange Commission (the “SEC”) on September 27, 2021 (Registration No. 333-259815) (including the Reoffer Prospectus contained therein, the “Prior Registration Statement”) 1,847,920 shares of Class A common stock, par value $0.0001 per share (the “Class A Common Stock”), issuable upon the vesting of certain RSU awards (the “Earn-Out RSUs”) expected to be granted to certain former equity award holders of Sema4 (as defined below) and certain employees of the Registrant pursuant to the terms of that certain Agreement and Plan of Merger, dated as of February 9, 2021 (as amended, the “Merger Agreement”), by and among CM Life Sciences, Inc., S-IV Sub, Inc. and Mount Sinai Genomics, Inc. d/b/a Sema4 (“Sema4”).</w:t>
      </w:r>
    </w:p>
    <w:p>
      <w:pPr>
        <w:spacing w:after="0" w:line="136"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7"/>
          <w:szCs w:val="17"/>
          <w:color w:val="auto"/>
        </w:rPr>
        <w:t>Pursuant to General Instruction E of Form S-8, the Registrant is filing this Registration Statement on Form S-8 (this “Registration Statement”) with the SEC to register an additional 841,844 shares of Class A Common Stock (the “Earn-Out RSU Shares”) issuable upon the vesting of certain additional RSU awards (the “Earn-Out RSUs”) that are expected to be granted to certain former equity award holders of Sema4 and certain employees of the Registrant pursuant to the terms of the Merger Agreement. This Registration Statement hereby incorporates by reference the contents of the Prior Registration Statement, except to the extent supplemented, amended or superseded by the information set forth herein.</w:t>
      </w:r>
    </w:p>
    <w:p>
      <w:pPr>
        <w:sectPr>
          <w:pgSz w:w="11900" w:h="16838" w:orient="portrait"/>
          <w:cols w:equalWidth="0" w:num="1">
            <w:col w:w="11240"/>
          </w:cols>
          <w:pgMar w:left="320" w:top="1440" w:right="339" w:bottom="1440" w:gutter="0" w:footer="0" w:header="0"/>
        </w:sectPr>
      </w:pPr>
    </w:p>
    <w:bookmarkStart w:id="3" w:name="page4"/>
    <w:bookmarkEnd w:id="3"/>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w w:val="92"/>
              </w:rPr>
              <w:t>Incorporated by Reference</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000" w:type="dxa"/>
            <w:vAlign w:val="bottom"/>
            <w:gridSpan w:val="2"/>
            <w:vMerge w:val="continue"/>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44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Form</w:t>
            </w: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File No.</w:t>
            </w: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600" w:type="dxa"/>
            <w:vAlign w:val="bottom"/>
            <w:gridSpan w:val="3"/>
          </w:tcPr>
          <w:p>
            <w:pPr>
              <w:ind w:left="4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5.1</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23.1</w:t>
      </w:r>
    </w:p>
    <w:p>
      <w:pPr>
        <w:spacing w:after="0" w:line="37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23.2</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23.3</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24.1</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Opinion of Fenwick &amp; West LLP.</w:t>
        </w:r>
      </w:hyperlink>
    </w:p>
    <w:p>
      <w:pPr>
        <w:spacing w:after="0" w:line="127" w:lineRule="exact"/>
        <w:rPr>
          <w:sz w:val="20"/>
          <w:szCs w:val="20"/>
          <w:color w:val="auto"/>
        </w:rPr>
      </w:pPr>
    </w:p>
    <w:p>
      <w:pPr>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Consent of WithumSmith+Brown, PC, Independent Registered</w:t>
        </w:r>
      </w:hyperlink>
    </w:p>
    <w:p>
      <w:pPr>
        <w:spacing w:after="0" w:line="55" w:lineRule="exact"/>
        <w:rPr>
          <w:sz w:val="20"/>
          <w:szCs w:val="20"/>
          <w:color w:val="auto"/>
        </w:rPr>
      </w:pPr>
    </w:p>
    <w:p>
      <w:pPr>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Public Accounting Firm for CM Life Sciences, Inc.</w:t>
        </w:r>
      </w:hyperlink>
    </w:p>
    <w:p>
      <w:pPr>
        <w:spacing w:after="0" w:line="140" w:lineRule="exact"/>
        <w:rPr>
          <w:sz w:val="20"/>
          <w:szCs w:val="20"/>
          <w:color w:val="auto"/>
        </w:rPr>
      </w:pPr>
    </w:p>
    <w:p>
      <w:pPr>
        <w:spacing w:after="0"/>
        <w:rPr>
          <w:rFonts w:ascii="Arial" w:cs="Arial" w:eastAsia="Arial" w:hAnsi="Arial"/>
          <w:sz w:val="14"/>
          <w:szCs w:val="14"/>
          <w:u w:val="single" w:color="auto"/>
          <w:color w:val="0000FF"/>
        </w:rPr>
      </w:pPr>
      <w:hyperlink w:anchor="page10">
        <w:r>
          <w:rPr>
            <w:rFonts w:ascii="Arial" w:cs="Arial" w:eastAsia="Arial" w:hAnsi="Arial"/>
            <w:sz w:val="14"/>
            <w:szCs w:val="14"/>
            <w:u w:val="single" w:color="auto"/>
            <w:color w:val="0000FF"/>
          </w:rPr>
          <w:t>Consent of Ernst &amp; Young LLP, Independent Registered Public</w:t>
        </w:r>
      </w:hyperlink>
    </w:p>
    <w:p>
      <w:pPr>
        <w:spacing w:after="0" w:line="55" w:lineRule="exact"/>
        <w:rPr>
          <w:sz w:val="20"/>
          <w:szCs w:val="20"/>
          <w:color w:val="auto"/>
        </w:rPr>
      </w:pPr>
    </w:p>
    <w:p>
      <w:pPr>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Accounting Firm for Sema4 Holdings Corp.</w:t>
        </w:r>
      </w:hyperlink>
    </w:p>
    <w:p>
      <w:pPr>
        <w:spacing w:after="0" w:line="127" w:lineRule="exact"/>
        <w:rPr>
          <w:sz w:val="20"/>
          <w:szCs w:val="20"/>
          <w:color w:val="auto"/>
        </w:rPr>
      </w:pPr>
    </w:p>
    <w:p>
      <w:pPr>
        <w:spacing w:after="0"/>
        <w:rPr>
          <w:rFonts w:ascii="Arial" w:cs="Arial" w:eastAsia="Arial" w:hAnsi="Arial"/>
          <w:sz w:val="15"/>
          <w:szCs w:val="15"/>
          <w:u w:val="single" w:color="auto"/>
          <w:color w:val="0000FF"/>
        </w:rPr>
      </w:pPr>
      <w:hyperlink w:anchor="page7">
        <w:r>
          <w:rPr>
            <w:rFonts w:ascii="Arial" w:cs="Arial" w:eastAsia="Arial" w:hAnsi="Arial"/>
            <w:sz w:val="15"/>
            <w:szCs w:val="15"/>
            <w:u w:val="single" w:color="auto"/>
            <w:color w:val="0000FF"/>
          </w:rPr>
          <w:t>Consent of Fenwick &amp; West LLP (contained in Exhibit 5.1).</w:t>
        </w:r>
      </w:hyperlink>
    </w:p>
    <w:p>
      <w:pPr>
        <w:spacing w:after="0" w:line="125" w:lineRule="exact"/>
        <w:rPr>
          <w:sz w:val="20"/>
          <w:szCs w:val="20"/>
          <w:color w:val="auto"/>
        </w:rPr>
      </w:pPr>
    </w:p>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Power of Attorney (included on the signature page of this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Registration Statement).</w:t>
        </w:r>
      </w:hyperlink>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w:t>
      </w:r>
    </w:p>
    <w:p>
      <w:pPr>
        <w:sectPr>
          <w:pgSz w:w="11900" w:h="16838" w:orient="portrait"/>
          <w:cols w:equalWidth="0" w:num="3">
            <w:col w:w="580" w:space="440"/>
            <w:col w:w="8940" w:space="720"/>
            <w:col w:w="560"/>
          </w:cols>
          <w:pgMar w:left="320" w:top="1440" w:right="339" w:bottom="1440" w:gutter="0" w:footer="0" w:header="0"/>
          <w:type w:val="continuous"/>
        </w:sectPr>
      </w:pPr>
    </w:p>
    <w:bookmarkStart w:id="4" w:name="page5"/>
    <w:bookmarkEnd w:id="4"/>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Stamford, State of Connecticut, on the 25th day of October, 2021.</w:t>
      </w:r>
    </w:p>
    <w:p>
      <w:pPr>
        <w:spacing w:after="0" w:line="164"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SEMA4 HOLDINGS CORP.</w:t>
      </w:r>
    </w:p>
    <w:p>
      <w:pPr>
        <w:ind w:left="8420"/>
        <w:spacing w:after="0" w:line="228" w:lineRule="auto"/>
        <w:tabs>
          <w:tab w:leader="none" w:pos="8900" w:val="left"/>
        </w:tabs>
        <w:rPr>
          <w:sz w:val="20"/>
          <w:szCs w:val="20"/>
          <w:color w:val="auto"/>
        </w:rPr>
      </w:pP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170815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7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Eric Schadt</w:t>
      </w:r>
    </w:p>
    <w:p>
      <w:pPr>
        <w:spacing w:after="0" w:line="6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Chief Executive Officer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Eric Schadt, Daniel Clark and Joshua Ruch,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ectPr>
          <w:pgSz w:w="11900" w:h="16838" w:orient="portrait"/>
          <w:cols w:equalWidth="0" w:num="1">
            <w:col w:w="11240"/>
          </w:cols>
          <w:pgMar w:left="320" w:top="1440" w:right="339" w:bottom="1440" w:gutter="0" w:footer="0" w:header="0"/>
        </w:sectPr>
      </w:pPr>
    </w:p>
    <w:bookmarkStart w:id="5" w:name="page6"/>
    <w:bookmarkEnd w:id="5"/>
    <w:p>
      <w:pPr>
        <w:spacing w:after="0" w:line="157"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on behalf of the Registrant in the capacities and on the dates indicated.</w:t>
      </w:r>
    </w:p>
    <w:p>
      <w:pPr>
        <w:sectPr>
          <w:pgSz w:w="11900" w:h="16838" w:orient="portrait"/>
          <w:cols w:equalWidth="0" w:num="1">
            <w:col w:w="11240"/>
          </w:cols>
          <w:pgMar w:left="320" w:top="1440" w:right="339" w:bottom="1440" w:gutter="0" w:footer="0" w:header="0"/>
        </w:sectPr>
      </w:pPr>
    </w:p>
    <w:p>
      <w:pPr>
        <w:spacing w:after="0" w:line="153" w:lineRule="exact"/>
        <w:rPr>
          <w:sz w:val="20"/>
          <w:szCs w:val="20"/>
          <w:color w:val="auto"/>
        </w:rPr>
      </w:pPr>
    </w:p>
    <w:p>
      <w:pPr>
        <w:ind w:left="1420"/>
        <w:spacing w:after="0"/>
        <w:rPr>
          <w:sz w:val="20"/>
          <w:szCs w:val="20"/>
          <w:color w:val="auto"/>
        </w:rPr>
      </w:pPr>
      <w:r>
        <w:rPr>
          <w:rFonts w:ascii="Arial" w:cs="Arial" w:eastAsia="Arial" w:hAnsi="Arial"/>
          <w:sz w:val="18"/>
          <w:szCs w:val="18"/>
          <w:b w:val="1"/>
          <w:bCs w:val="1"/>
          <w:u w:val="single" w:color="auto"/>
          <w:color w:val="auto"/>
        </w:rPr>
        <w:t>Signature</w:t>
      </w:r>
    </w:p>
    <w:p>
      <w:pPr>
        <w:spacing w:after="0" w:line="29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245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5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Eric Schadt</w:t>
      </w:r>
    </w:p>
    <w:p>
      <w:pPr>
        <w:spacing w:after="0" w:line="33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Isaac 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245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5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Isaac Ro</w:t>
      </w:r>
    </w:p>
    <w:p>
      <w:pPr>
        <w:spacing w:after="0" w:line="33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Shawn Assad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245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5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Shawn Assad</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245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Joshua Ruch</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/s/ Dennis Charney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2245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Dennis Charney</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245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5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Eli D. Casdin</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39370</wp:posOffset>
            </wp:positionV>
            <wp:extent cx="22459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6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Emily Leproust</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245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Jason Ryan</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Michael Pellini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245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Michael Pellini</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245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Nat Turner</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/s/ Rachel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53975</wp:posOffset>
            </wp:positionV>
            <wp:extent cx="2245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9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Rachel Sherman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440" w:type="dxa"/>
            <w:vAlign w:val="bottom"/>
          </w:tcPr>
          <w:p>
            <w:pPr>
              <w:spacing w:after="0"/>
              <w:rPr>
                <w:sz w:val="17"/>
                <w:szCs w:val="17"/>
                <w:color w:val="auto"/>
              </w:rPr>
            </w:pPr>
          </w:p>
        </w:tc>
      </w:tr>
      <w:tr>
        <w:trPr>
          <w:trHeight w:val="520"/>
        </w:trPr>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3"/>
              </w:rPr>
              <w:t>Chief Executive Officer and Director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r>
        <w:trPr>
          <w:trHeight w:val="338"/>
        </w:trPr>
        <w:tc>
          <w:tcPr>
            <w:tcW w:w="3620" w:type="dxa"/>
            <w:vAlign w:val="bottom"/>
            <w:gridSpan w:val="3"/>
          </w:tcPr>
          <w:p>
            <w:pPr>
              <w:jc w:val="center"/>
              <w:ind w:right="9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81"/>
        </w:trPr>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4"/>
              </w:rPr>
              <w:t>Chief Financial Officer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r>
        <w:trPr>
          <w:trHeight w:val="337"/>
        </w:trPr>
        <w:tc>
          <w:tcPr>
            <w:tcW w:w="3620" w:type="dxa"/>
            <w:vAlign w:val="bottom"/>
            <w:gridSpan w:val="3"/>
          </w:tcPr>
          <w:p>
            <w:pPr>
              <w:jc w:val="center"/>
              <w:ind w:right="96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81"/>
        </w:trPr>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4"/>
              </w:rPr>
              <w:t>Chief Accounting Officer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r>
        <w:trPr>
          <w:trHeight w:val="338"/>
        </w:trPr>
        <w:tc>
          <w:tcPr>
            <w:tcW w:w="3620" w:type="dxa"/>
            <w:vAlign w:val="bottom"/>
            <w:gridSpan w:val="3"/>
          </w:tcPr>
          <w:p>
            <w:pPr>
              <w:jc w:val="center"/>
              <w:ind w:right="9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73"/>
        </w:trPr>
        <w:tc>
          <w:tcPr>
            <w:tcW w:w="3620" w:type="dxa"/>
            <w:vAlign w:val="bottom"/>
            <w:gridSpan w:val="3"/>
          </w:tcPr>
          <w:p>
            <w:pPr>
              <w:jc w:val="center"/>
              <w:ind w:right="960"/>
              <w:spacing w:after="0"/>
              <w:rPr>
                <w:sz w:val="20"/>
                <w:szCs w:val="20"/>
                <w:color w:val="auto"/>
              </w:rPr>
            </w:pPr>
            <w:r>
              <w:rPr>
                <w:rFonts w:ascii="Arial" w:cs="Arial" w:eastAsia="Arial" w:hAnsi="Arial"/>
                <w:sz w:val="18"/>
                <w:szCs w:val="18"/>
                <w:color w:val="auto"/>
                <w:w w:val="91"/>
              </w:rPr>
              <w:t>Chairman and Director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r>
        <w:trPr>
          <w:trHeight w:val="715"/>
        </w:trPr>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5"/>
              </w:rPr>
              <w:t>Director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r>
        <w:trPr>
          <w:trHeight w:val="716"/>
        </w:trPr>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5"/>
              </w:rPr>
              <w:t>Director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r>
        <w:trPr>
          <w:trHeight w:val="715"/>
        </w:trPr>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5"/>
              </w:rPr>
              <w:t>Director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r>
        <w:trPr>
          <w:trHeight w:val="715"/>
        </w:trPr>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5"/>
              </w:rPr>
              <w:t>Director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r>
        <w:trPr>
          <w:trHeight w:val="715"/>
        </w:trPr>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5"/>
              </w:rPr>
              <w:t>Director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r>
        <w:trPr>
          <w:trHeight w:val="715"/>
        </w:trPr>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5"/>
              </w:rPr>
              <w:t>Director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r>
        <w:trPr>
          <w:trHeight w:val="715"/>
        </w:trPr>
        <w:tc>
          <w:tcPr>
            <w:tcW w:w="3620" w:type="dxa"/>
            <w:vAlign w:val="bottom"/>
            <w:gridSpan w:val="3"/>
          </w:tcPr>
          <w:p>
            <w:pPr>
              <w:jc w:val="center"/>
              <w:ind w:right="940"/>
              <w:spacing w:after="0"/>
              <w:rPr>
                <w:sz w:val="20"/>
                <w:szCs w:val="20"/>
                <w:color w:val="auto"/>
              </w:rPr>
            </w:pPr>
            <w:r>
              <w:rPr>
                <w:rFonts w:ascii="Arial" w:cs="Arial" w:eastAsia="Arial" w:hAnsi="Arial"/>
                <w:sz w:val="18"/>
                <w:szCs w:val="18"/>
                <w:color w:val="auto"/>
                <w:w w:val="95"/>
              </w:rPr>
              <w:t>Director</w:t>
            </w:r>
          </w:p>
        </w:tc>
        <w:tc>
          <w:tcPr>
            <w:tcW w:w="2180" w:type="dxa"/>
            <w:vAlign w:val="bottom"/>
            <w:gridSpan w:val="3"/>
          </w:tcPr>
          <w:p>
            <w:pPr>
              <w:jc w:val="center"/>
              <w:ind w:left="830"/>
              <w:spacing w:after="0"/>
              <w:rPr>
                <w:sz w:val="20"/>
                <w:szCs w:val="20"/>
                <w:color w:val="auto"/>
              </w:rPr>
            </w:pPr>
            <w:r>
              <w:rPr>
                <w:rFonts w:ascii="Arial" w:cs="Arial" w:eastAsia="Arial" w:hAnsi="Arial"/>
                <w:sz w:val="18"/>
                <w:szCs w:val="18"/>
                <w:color w:val="auto"/>
                <w:w w:val="90"/>
              </w:rPr>
              <w:t>October 25, 2021</w:t>
            </w:r>
          </w:p>
        </w:tc>
      </w:tr>
    </w:tbl>
    <w:p>
      <w:pPr>
        <w:sectPr>
          <w:pgSz w:w="11900" w:h="16838" w:orient="portrait"/>
          <w:cols w:equalWidth="0" w:num="2">
            <w:col w:w="3880" w:space="720"/>
            <w:col w:w="6640"/>
          </w:cols>
          <w:pgMar w:left="320" w:top="1440" w:right="339" w:bottom="1440" w:gutter="0" w:footer="0" w:header="0"/>
          <w:type w:val="continuous"/>
        </w:sectPr>
      </w:pPr>
    </w:p>
    <w:bookmarkStart w:id="6" w:name="page7"/>
    <w:bookmarkEnd w:id="6"/>
    <w:p>
      <w:pPr>
        <w:ind w:left="1040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34924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October 25,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Sema4 Holdings Corp.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333 Ludlow Street, North Tower, 8th Floor</w:t>
      </w:r>
    </w:p>
    <w:p>
      <w:pPr>
        <w:spacing w:after="0"/>
        <w:rPr>
          <w:sz w:val="20"/>
          <w:szCs w:val="20"/>
          <w:color w:val="auto"/>
        </w:rPr>
      </w:pPr>
      <w:r>
        <w:rPr>
          <w:rFonts w:ascii="Arial" w:cs="Arial" w:eastAsia="Arial" w:hAnsi="Arial"/>
          <w:sz w:val="20"/>
          <w:szCs w:val="20"/>
          <w:color w:val="auto"/>
        </w:rPr>
        <w:t>Stamford, Connecticut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At your request, as your counsel, we have examined the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be filed by Sema4 Holdings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or about October 25, 2021 in connection with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an aggregate of 841,844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Class A Common Stock, $0.0001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subject to issuance by the Company upon the vesting of certain RSU awards (the “</w:t>
      </w:r>
      <w:r>
        <w:rPr>
          <w:rFonts w:ascii="Arial" w:cs="Arial" w:eastAsia="Arial" w:hAnsi="Arial"/>
          <w:sz w:val="18"/>
          <w:szCs w:val="18"/>
          <w:b w:val="1"/>
          <w:bCs w:val="1"/>
          <w:i w:val="1"/>
          <w:iCs w:val="1"/>
          <w:color w:val="auto"/>
        </w:rPr>
        <w:t>Earn-Out RSUs</w:t>
      </w:r>
      <w:r>
        <w:rPr>
          <w:rFonts w:ascii="Arial" w:cs="Arial" w:eastAsia="Arial" w:hAnsi="Arial"/>
          <w:sz w:val="18"/>
          <w:szCs w:val="18"/>
          <w:color w:val="auto"/>
        </w:rPr>
        <w:t>”) that are expected to be granted to certain former equity award holders of Sema4 (as defined below) and certain employees of the Company pursuant to the terms of that certain Agreement and Plan of Merger, dated as of February 9, 2021 (as amended,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among CM Life Sciences, Inc., S-IV Sub, Inc. and Mount Sinai Genomics, Inc. d/b/a Sema4 (“</w:t>
      </w:r>
      <w:r>
        <w:rPr>
          <w:rFonts w:ascii="Arial" w:cs="Arial" w:eastAsia="Arial" w:hAnsi="Arial"/>
          <w:sz w:val="18"/>
          <w:szCs w:val="18"/>
          <w:b w:val="1"/>
          <w:bCs w:val="1"/>
          <w:i w:val="1"/>
          <w:iCs w:val="1"/>
          <w:color w:val="auto"/>
        </w:rPr>
        <w:t>Sema4</w:t>
      </w:r>
      <w:r>
        <w:rPr>
          <w:rFonts w:ascii="Arial" w:cs="Arial" w:eastAsia="Arial" w:hAnsi="Arial"/>
          <w:sz w:val="18"/>
          <w:szCs w:val="18"/>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your request we are providing this letter to express our opinion on the matters set forth below in this letter (“</w:t>
      </w:r>
      <w:r>
        <w:rPr>
          <w:rFonts w:ascii="Arial" w:cs="Arial" w:eastAsia="Arial" w:hAnsi="Arial"/>
          <w:sz w:val="19"/>
          <w:szCs w:val="19"/>
          <w:b w:val="1"/>
          <w:bCs w:val="1"/>
          <w:i w:val="1"/>
          <w:iCs w:val="1"/>
          <w:color w:val="auto"/>
        </w:rPr>
        <w:t>our opinion</w:t>
      </w:r>
      <w:r>
        <w:rPr>
          <w:rFonts w:ascii="Arial" w:cs="Arial" w:eastAsia="Arial" w:hAnsi="Arial"/>
          <w:sz w:val="19"/>
          <w:szCs w:val="19"/>
          <w:color w:val="auto"/>
        </w:rPr>
        <w:t>”).</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connection with our opinion, we have examined such matters of fact as we have deemed necessary, which included examination of originals or copies of: (a) the Company’s Amended and Restated Certificate of Incorporation and Restated Bylaws (collectively, the “</w:t>
      </w:r>
      <w:r>
        <w:rPr>
          <w:rFonts w:ascii="Arial" w:cs="Arial" w:eastAsia="Arial" w:hAnsi="Arial"/>
          <w:sz w:val="20"/>
          <w:szCs w:val="20"/>
          <w:b w:val="1"/>
          <w:bCs w:val="1"/>
          <w:i w:val="1"/>
          <w:iCs w:val="1"/>
          <w:color w:val="auto"/>
        </w:rPr>
        <w:t>Charter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Documents</w:t>
      </w:r>
      <w:r>
        <w:rPr>
          <w:rFonts w:ascii="Arial" w:cs="Arial" w:eastAsia="Arial" w:hAnsi="Arial"/>
          <w:sz w:val="20"/>
          <w:szCs w:val="20"/>
          <w:color w:val="auto"/>
        </w:rPr>
        <w:t>”), the form of Earn-Out RSU, the Registration Statement and the exhibits thereto, (b) certain corporate proceedings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the Company’s stockholders relating to adoption or approval of the Company Charter Documents, the Earn-Out RSUs, the reservation of the Shares for sale and issuance, the filing of the Registration Statement, and the registration of the Shares under the Securities Act and documents regarding the Company’s outstanding and reserved capital stock and other securities, and (c) such other documents as we have deemed advisable, and we have examined such questions of law as we have considered necessary.</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when issued, will be executed by the Company and by officers of the Company duly authorized to do so. In rendering our opinion, we have also relied upon a certificate of good standing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 authorized shares of Common Stock that are not currently outstanding or reserved for issuance under</w:t>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other outstanding securities or plans of the Company, to enable the Company to issue and deliver all of the Shares as of the date of this letter.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render this opinion only with respect to, and we express no opinion herein concerning the application or effect of the laws of any</w:t>
      </w:r>
    </w:p>
    <w:p>
      <w:pPr>
        <w:spacing w:after="0" w:line="25"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jurisdiction other than, the existing Delaware General Corporation Law now in effect. We express no opinion with respect to the securities or “blue sky” laws of any state.</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Based upon, and subject to, the foregoing, it is our opinion that the Shares have been duly authorized and, when the Shares that may be issued and sold upon the vesting of Earn-Out RSUs to be granted pursuant to the Merger Agreement, have been issued and sold by the Company against the Company’s receipt of payment therefor (in an amount and type of consideration not less than the par value per Share) in accordance with the terms (including, without limitation, payment and authorization provisions) of the applicable Earn-Out RSU, and have been duly registered on the books of the transfer agent and registrar for the Shares in the name or on behalf of the holders thereof, such Shares will be validly issued, fully paid and non-assessable.</w:t>
      </w:r>
    </w:p>
    <w:p>
      <w:pPr>
        <w:spacing w:after="0" w:line="178" w:lineRule="exact"/>
        <w:rPr>
          <w:sz w:val="20"/>
          <w:szCs w:val="20"/>
          <w:color w:val="auto"/>
        </w:rPr>
      </w:pPr>
    </w:p>
    <w:p>
      <w:pPr>
        <w:jc w:val="both"/>
        <w:ind w:firstLine="673"/>
        <w:spacing w:after="0" w:line="306"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all references to us, if any, in the Registration Statement and any amendments or supplements thereto. We do not thereby admit that we are within the category of persons whose consent is required under Section 7 of the Securities Act or the rules and regulations of the Commission thereunder</w:t>
      </w:r>
      <w:r>
        <w:rPr>
          <w:rFonts w:ascii="Arial" w:cs="Arial" w:eastAsia="Arial" w:hAnsi="Arial"/>
          <w:sz w:val="14"/>
          <w:szCs w:val="14"/>
          <w:color w:val="auto"/>
        </w:rPr>
        <w:t>.</w:t>
      </w:r>
      <w:r>
        <w:rPr>
          <w:rFonts w:ascii="Arial" w:cs="Arial" w:eastAsia="Arial" w:hAnsi="Arial"/>
          <w:sz w:val="16"/>
          <w:szCs w:val="16"/>
          <w:color w:val="auto"/>
        </w:rPr>
        <w:t xml:space="preserve"> This opinion is intended solely for use in connection with the issuance, sale and resale of the Shares subject to the Registration Statement, and is not to be relied upon for any other purpose. In providing this letter, we are opining only as to the specific legal issues expressly set forth above, and no</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3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Very truly yours,</w:t>
      </w:r>
    </w:p>
    <w:p>
      <w:pPr>
        <w:spacing w:after="0" w:line="31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/s/ Fenwick &amp; West LLP</w:t>
      </w:r>
    </w:p>
    <w:p>
      <w:pPr>
        <w:spacing w:after="0" w:line="304"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FENWICK &amp; WEST LLP</w:t>
      </w:r>
    </w:p>
    <w:p>
      <w:pPr>
        <w:sectPr>
          <w:pgSz w:w="11900" w:h="16838" w:orient="portrait"/>
          <w:cols w:equalWidth="0" w:num="1">
            <w:col w:w="11240"/>
          </w:cols>
          <w:pgMar w:left="320" w:top="144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hereby consent to the incorporation by reference in this Registration Statement on Form S-8 of our report dated May 4, 2021, relating to the financial statements of CM Life Sciences, Inc. We also consent to the reference to our Firm under the caption “Experts” in the Prospectus.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WithumSmith+Brown, PC</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25, 2021</w:t>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S-8) pertaining to the Sema4 Holdings Corp. 2021 Equity Incentive Plan, Sema4 Holdings Corp. 2021 Employee Stock Purchase Plan, Mount Sinai Genomics, Inc. dba Sema4 2017 Equity Incentive Plan, and Sema4 Holdings Corp. Earn-out RSU awards and to the use and incorporation by reference therein of our report dated May 6, 2021, with respect to the financial statements of Mount Sinai Genomics, Inc. included in the Current Report on Form 8-K/A of Sema4 Holding Corp.,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25,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2021-10-25T16:04:12Z</dcterms:created>
  <dcterms:modified xsi:type="dcterms:W3CDTF">2021-10-25T16:04:12Z</dcterms:modified>
</cp:coreProperties>
</file>