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0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PFENNIGER RICHARD C JR</w:t>
        </w:r>
      </w:hyperlink>
    </w:p>
    <w:p>
      <w:pPr>
        <w:spacing w:after="0" w:line="3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SEMA4 HOLDINGS CORP.</w:t>
      </w:r>
    </w:p>
    <w:p>
      <w:pPr>
        <w:spacing w:after="0" w:line="70" w:lineRule="exact"/>
        <w:rPr>
          <w:sz w:val="24"/>
          <w:szCs w:val="24"/>
          <w:color w:val="auto"/>
        </w:rPr>
      </w:pPr>
    </w:p>
    <w:p>
      <w:pPr>
        <w:ind w:left="140" w:right="20"/>
        <w:spacing w:after="0" w:line="275" w:lineRule="auto"/>
        <w:rPr>
          <w:sz w:val="20"/>
          <w:szCs w:val="20"/>
          <w:color w:val="auto"/>
        </w:rPr>
      </w:pPr>
      <w:r>
        <w:rPr>
          <w:rFonts w:ascii="Times New Roman" w:cs="Times New Roman" w:eastAsia="Times New Roman" w:hAnsi="Times New Roman"/>
          <w:sz w:val="20"/>
          <w:szCs w:val="20"/>
          <w:color w:val="0000FF"/>
        </w:rPr>
        <w:t>333 LUDLOW ST, NORTH TOWER, 8TH FLOOR</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STAMFORD CT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06902</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04/29/2022</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Sema4 Holdings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SMFR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3">
            <w:col w:w="3140" w:space="220"/>
            <w:col w:w="136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05/02/2022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40" w:firstLine="937"/>
        <w:spacing w:after="0" w:line="293"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Daniel Clark, Eric Schadt and Jason Ryan as his or her true and lawful attorney-in-fact to:</w:t>
      </w:r>
    </w:p>
    <w:p>
      <w:pPr>
        <w:spacing w:after="0" w:line="71" w:lineRule="exact"/>
        <w:rPr>
          <w:sz w:val="20"/>
          <w:szCs w:val="20"/>
          <w:color w:val="auto"/>
        </w:rPr>
      </w:pPr>
    </w:p>
    <w:p>
      <w:pPr>
        <w:ind w:firstLine="937"/>
        <w:spacing w:after="0" w:line="257"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representative of Sema4 Holdings Corp. (the "Company"), any and all Form</w:t>
      </w:r>
    </w:p>
    <w:p>
      <w:pPr>
        <w:ind w:right="1300"/>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ID, or Form 3, 4 or 5 reports and any amendments thereto required to be filed by the undersigned in accordance with Section 16(a) of the Securities Exchange Act of 1934 (the "Exchange Act") and the rules thereunder with respect to transactions in the Company's securities;</w:t>
      </w:r>
    </w:p>
    <w:p>
      <w:pPr>
        <w:spacing w:after="0" w:line="100" w:lineRule="exact"/>
        <w:rPr>
          <w:rFonts w:ascii="Courier New" w:cs="Courier New" w:eastAsia="Courier New" w:hAnsi="Courier New"/>
          <w:sz w:val="20"/>
          <w:szCs w:val="20"/>
          <w:color w:val="auto"/>
        </w:rPr>
      </w:pPr>
    </w:p>
    <w:p>
      <w:pPr>
        <w:ind w:right="120" w:firstLine="937"/>
        <w:spacing w:after="0" w:line="257"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jc w:val="both"/>
        <w:ind w:right="1640"/>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88" w:lineRule="exact"/>
        <w:rPr>
          <w:rFonts w:ascii="Courier New" w:cs="Courier New" w:eastAsia="Courier New" w:hAnsi="Courier New"/>
          <w:sz w:val="20"/>
          <w:szCs w:val="20"/>
          <w:color w:val="auto"/>
        </w:rPr>
      </w:pPr>
    </w:p>
    <w:p>
      <w:pPr>
        <w:ind w:right="940" w:firstLine="937"/>
        <w:spacing w:after="0" w:line="286"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ind w:right="1300"/>
        <w:spacing w:after="0" w:line="25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106" w:lineRule="exact"/>
        <w:rPr>
          <w:sz w:val="20"/>
          <w:szCs w:val="20"/>
          <w:color w:val="auto"/>
        </w:rPr>
      </w:pPr>
    </w:p>
    <w:p>
      <w:pPr>
        <w:ind w:right="1300"/>
        <w:spacing w:after="0" w:line="24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17" w:lineRule="exact"/>
        <w:rPr>
          <w:sz w:val="20"/>
          <w:szCs w:val="20"/>
          <w:color w:val="auto"/>
        </w:rPr>
      </w:pPr>
    </w:p>
    <w:p>
      <w:pPr>
        <w:ind w:right="1300"/>
        <w:spacing w:after="0" w:line="279"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94" w:lineRule="exact"/>
        <w:rPr>
          <w:sz w:val="20"/>
          <w:szCs w:val="20"/>
          <w:color w:val="auto"/>
        </w:rPr>
      </w:pPr>
    </w:p>
    <w:p>
      <w:pPr>
        <w:ind w:right="1300"/>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100" w:lineRule="exact"/>
        <w:rPr>
          <w:sz w:val="20"/>
          <w:szCs w:val="20"/>
          <w:color w:val="auto"/>
        </w:rPr>
      </w:pPr>
    </w:p>
    <w:p>
      <w:pPr>
        <w:ind w:right="1880"/>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April,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Richard Pfenniger</w:t>
      </w:r>
    </w:p>
    <w:sectPr>
      <w:pgSz w:w="11900" w:h="16838" w:orient="portrait"/>
      <w:cols w:equalWidth="0" w:num="1">
        <w:col w:w="10660"/>
      </w:cols>
      <w:pgMar w:left="480" w:top="10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00796"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2022-05-02T17:55:18Z</dcterms:created>
  <dcterms:modified xsi:type="dcterms:W3CDTF">2022-05-02T17:55:18Z</dcterms:modified>
</cp:coreProperties>
</file>