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51"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60" w:type="dxa"/>
            <w:vAlign w:val="bottom"/>
            <w:gridSpan w:val="5"/>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gridSpan w:val="4"/>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3"/>
            <w:vMerge w:val="continue"/>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80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gridSpan w:val="3"/>
            <w:vMerge w:val="continue"/>
          </w:tcPr>
          <w:p>
            <w:pPr>
              <w:spacing w:after="0"/>
              <w:rPr>
                <w:sz w:val="5"/>
                <w:szCs w:val="5"/>
                <w:color w:val="auto"/>
              </w:rPr>
            </w:pPr>
          </w:p>
        </w:tc>
        <w:tc>
          <w:tcPr>
            <w:tcW w:w="1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vMerge w:val="restart"/>
          </w:tcPr>
          <w:p>
            <w:pPr>
              <w:ind w:left="36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5"/>
                <w:szCs w:val="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gridSpan w:val="2"/>
            <w:vMerge w:val="restart"/>
          </w:tcPr>
          <w:p>
            <w:pPr>
              <w:ind w:left="36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4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16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ind w:left="360"/>
              <w:spacing w:after="0"/>
              <w:rPr>
                <w:sz w:val="20"/>
                <w:szCs w:val="20"/>
                <w:color w:val="auto"/>
              </w:rPr>
            </w:pPr>
            <w:r>
              <w:rPr>
                <w:rFonts w:ascii="Arial" w:cs="Arial" w:eastAsia="Arial" w:hAnsi="Arial"/>
                <w:sz w:val="13"/>
                <w:szCs w:val="13"/>
                <w:color w:val="auto"/>
              </w:rPr>
              <w:t>below)</w:t>
            </w:r>
          </w:p>
        </w:tc>
        <w:tc>
          <w:tcPr>
            <w:tcW w:w="78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05/07/2026</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gridSpan w:val="3"/>
            <w:vMerge w:val="continue"/>
          </w:tcPr>
          <w:p>
            <w:pPr>
              <w:spacing w:after="0"/>
              <w:rPr>
                <w:sz w:val="6"/>
                <w:szCs w:val="6"/>
                <w:color w:val="auto"/>
              </w:rPr>
            </w:pPr>
          </w:p>
        </w:tc>
        <w:tc>
          <w:tcPr>
            <w:tcW w:w="16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60" w:type="dxa"/>
            <w:vAlign w:val="bottom"/>
            <w:gridSpan w:val="5"/>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32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3"/>
                <w:szCs w:val="13"/>
                <w:color w:val="auto"/>
              </w:rPr>
              <w:t>Line)</w:t>
            </w: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4"/>
          </w:tcPr>
          <w:p>
            <w:pPr>
              <w:ind w:left="360"/>
              <w:spacing w:after="0"/>
              <w:rPr>
                <w:sz w:val="20"/>
                <w:szCs w:val="20"/>
                <w:color w:val="auto"/>
              </w:rPr>
            </w:pPr>
            <w:r>
              <w:rPr>
                <w:rFonts w:ascii="Arial" w:cs="Arial" w:eastAsia="Arial" w:hAnsi="Arial"/>
                <w:sz w:val="13"/>
                <w:szCs w:val="13"/>
                <w:color w:val="auto"/>
              </w:rPr>
              <w:t>Form filed by One Reporting Person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88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680" w:type="dxa"/>
            <w:vAlign w:val="bottom"/>
          </w:tcPr>
          <w:p>
            <w:pPr>
              <w:ind w:left="480"/>
              <w:spacing w:after="0" w:line="189" w:lineRule="exact"/>
              <w:rPr>
                <w:sz w:val="20"/>
                <w:szCs w:val="20"/>
                <w:color w:val="auto"/>
              </w:rPr>
            </w:pPr>
            <w:r>
              <w:rPr>
                <w:rFonts w:ascii="Times New Roman" w:cs="Times New Roman" w:eastAsia="Times New Roman" w:hAnsi="Times New Roman"/>
                <w:sz w:val="17"/>
                <w:szCs w:val="17"/>
                <w:color w:val="0000FF"/>
              </w:rPr>
              <w:t>10065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4"/>
          </w:tcPr>
          <w:p>
            <w:pPr>
              <w:ind w:left="360"/>
              <w:spacing w:after="0"/>
              <w:rPr>
                <w:sz w:val="20"/>
                <w:szCs w:val="20"/>
                <w:color w:val="auto"/>
              </w:rPr>
            </w:pPr>
            <w:r>
              <w:rPr>
                <w:rFonts w:ascii="Arial" w:cs="Arial" w:eastAsia="Arial" w:hAnsi="Arial"/>
                <w:sz w:val="13"/>
                <w:szCs w:val="13"/>
                <w:color w:val="auto"/>
              </w:rPr>
              <w:t>Form filed by More than One Reporting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6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ind w:left="360"/>
              <w:spacing w:after="0"/>
              <w:rPr>
                <w:sz w:val="20"/>
                <w:szCs w:val="20"/>
                <w:color w:val="auto"/>
              </w:rPr>
            </w:pPr>
            <w:r>
              <w:rPr>
                <w:rFonts w:ascii="Arial" w:cs="Arial" w:eastAsia="Arial" w:hAnsi="Arial"/>
                <w:sz w:val="13"/>
                <w:szCs w:val="13"/>
                <w:color w:val="auto"/>
              </w:rPr>
              <w:t>Person</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4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12"/>
          </w:tcPr>
          <w:p>
            <w:pPr>
              <w:ind w:left="1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6. Ownership  7. Nature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60" w:type="dxa"/>
            <w:vAlign w:val="bottom"/>
            <w:gridSpan w:val="2"/>
          </w:tcPr>
          <w:p>
            <w:pPr>
              <w:jc w:val="center"/>
              <w:ind w:left="65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1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11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6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7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05/07/2026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128,181</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35.46</w:t>
            </w:r>
            <w:r>
              <w:rPr>
                <w:rFonts w:ascii="Times New Roman" w:cs="Times New Roman" w:eastAsia="Times New Roman" w:hAnsi="Times New Roman"/>
                <w:sz w:val="22"/>
                <w:szCs w:val="22"/>
                <w:color w:val="008000"/>
                <w:w w:val="95"/>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3,356,331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05/07/2026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14,786</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36.33</w:t>
            </w:r>
            <w:r>
              <w:rPr>
                <w:rFonts w:ascii="Times New Roman" w:cs="Times New Roman" w:eastAsia="Times New Roman" w:hAnsi="Times New Roman"/>
                <w:sz w:val="22"/>
                <w:szCs w:val="22"/>
                <w:color w:val="008000"/>
                <w:w w:val="95"/>
                <w:vertAlign w:val="superscript"/>
              </w:rPr>
              <w:t>(4)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3,371,117</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05/07/2026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123,393</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37.6</w:t>
            </w:r>
            <w:r>
              <w:rPr>
                <w:rFonts w:ascii="Times New Roman" w:cs="Times New Roman" w:eastAsia="Times New Roman" w:hAnsi="Times New Roman"/>
                <w:sz w:val="22"/>
                <w:szCs w:val="22"/>
                <w:color w:val="008000"/>
                <w:w w:val="95"/>
                <w:vertAlign w:val="superscript"/>
              </w:rPr>
              <w:t>(5)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3,494,510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05/07/2026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7"/>
              </w:rPr>
              <w:t>116,412</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38.46</w:t>
            </w:r>
            <w:r>
              <w:rPr>
                <w:rFonts w:ascii="Times New Roman" w:cs="Times New Roman" w:eastAsia="Times New Roman" w:hAnsi="Times New Roman"/>
                <w:sz w:val="22"/>
                <w:szCs w:val="22"/>
                <w:color w:val="008000"/>
                <w:w w:val="95"/>
                <w:vertAlign w:val="superscript"/>
              </w:rPr>
              <w:t>(6)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3,610,922</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05/07/2026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94,356</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39.39</w:t>
            </w:r>
            <w:r>
              <w:rPr>
                <w:rFonts w:ascii="Times New Roman" w:cs="Times New Roman" w:eastAsia="Times New Roman" w:hAnsi="Times New Roman"/>
                <w:sz w:val="22"/>
                <w:szCs w:val="22"/>
                <w:color w:val="008000"/>
                <w:w w:val="95"/>
                <w:vertAlign w:val="superscript"/>
              </w:rPr>
              <w:t>(7)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3,705,278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05/07/2026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56,630</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40.46</w:t>
            </w:r>
            <w:r>
              <w:rPr>
                <w:rFonts w:ascii="Times New Roman" w:cs="Times New Roman" w:eastAsia="Times New Roman" w:hAnsi="Times New Roman"/>
                <w:sz w:val="22"/>
                <w:szCs w:val="22"/>
                <w:color w:val="008000"/>
                <w:w w:val="95"/>
                <w:vertAlign w:val="superscript"/>
              </w:rPr>
              <w:t>(8)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3,761,908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05/08/2026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15,745</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vMerge w:val="restart"/>
          </w:tcPr>
          <w:p>
            <w:pPr>
              <w:jc w:val="center"/>
              <w:ind w:left="75"/>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38</w:t>
            </w:r>
            <w:r>
              <w:rPr>
                <w:rFonts w:ascii="Times New Roman" w:cs="Times New Roman" w:eastAsia="Times New Roman" w:hAnsi="Times New Roman"/>
                <w:sz w:val="22"/>
                <w:szCs w:val="22"/>
                <w:color w:val="008000"/>
                <w:w w:val="91"/>
                <w:vertAlign w:val="superscript"/>
              </w:rPr>
              <w:t>(9)</w:t>
            </w:r>
          </w:p>
        </w:tc>
        <w:tc>
          <w:tcPr>
            <w:tcW w:w="1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3,777,653</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05/08/2026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9"/>
              </w:rPr>
              <w:t>3,396</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38.7</w:t>
            </w:r>
            <w:r>
              <w:rPr>
                <w:rFonts w:ascii="Times New Roman" w:cs="Times New Roman" w:eastAsia="Times New Roman" w:hAnsi="Times New Roman"/>
                <w:sz w:val="22"/>
                <w:szCs w:val="22"/>
                <w:color w:val="008000"/>
                <w:w w:val="91"/>
                <w:vertAlign w:val="superscript"/>
              </w:rPr>
              <w:t>(10)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3,781,049</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05/08/2026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79,144</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40.67</w:t>
            </w:r>
            <w:r>
              <w:rPr>
                <w:rFonts w:ascii="Times New Roman" w:cs="Times New Roman" w:eastAsia="Times New Roman" w:hAnsi="Times New Roman"/>
                <w:sz w:val="22"/>
                <w:szCs w:val="22"/>
                <w:color w:val="008000"/>
                <w:w w:val="91"/>
                <w:vertAlign w:val="superscript"/>
              </w:rPr>
              <w:t>(11)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3,860,193</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05/08/2026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73,104</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41.15</w:t>
            </w:r>
            <w:r>
              <w:rPr>
                <w:rFonts w:ascii="Times New Roman" w:cs="Times New Roman" w:eastAsia="Times New Roman" w:hAnsi="Times New Roman"/>
                <w:sz w:val="22"/>
                <w:szCs w:val="22"/>
                <w:color w:val="008000"/>
                <w:w w:val="91"/>
                <w:vertAlign w:val="superscript"/>
              </w:rPr>
              <w:t>(12)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3,933,297</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05/11/2026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246,734</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38.91</w:t>
            </w:r>
            <w:r>
              <w:rPr>
                <w:rFonts w:ascii="Times New Roman" w:cs="Times New Roman" w:eastAsia="Times New Roman" w:hAnsi="Times New Roman"/>
                <w:sz w:val="22"/>
                <w:szCs w:val="22"/>
                <w:color w:val="008000"/>
                <w:w w:val="91"/>
                <w:vertAlign w:val="superscript"/>
              </w:rPr>
              <w:t>(13)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4,180,031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05/11/2026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252,734</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39.65</w:t>
            </w:r>
            <w:r>
              <w:rPr>
                <w:rFonts w:ascii="Times New Roman" w:cs="Times New Roman" w:eastAsia="Times New Roman" w:hAnsi="Times New Roman"/>
                <w:sz w:val="22"/>
                <w:szCs w:val="22"/>
                <w:color w:val="008000"/>
                <w:w w:val="91"/>
                <w:vertAlign w:val="superscript"/>
              </w:rPr>
              <w:t>(14)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4,432,765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vMerge w:val="restart"/>
          </w:tcPr>
          <w:p>
            <w:pPr>
              <w:jc w:val="center"/>
              <w:ind w:left="739"/>
              <w:spacing w:after="0"/>
              <w:rPr>
                <w:sz w:val="20"/>
                <w:szCs w:val="20"/>
                <w:color w:val="auto"/>
              </w:rPr>
            </w:pPr>
            <w:r>
              <w:rPr>
                <w:rFonts w:ascii="Times New Roman" w:cs="Times New Roman" w:eastAsia="Times New Roman" w:hAnsi="Times New Roman"/>
                <w:sz w:val="17"/>
                <w:szCs w:val="17"/>
                <w:color w:val="0000FF"/>
              </w:rPr>
              <w:t>05/11/2026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8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532</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40.35</w:t>
            </w:r>
            <w:r>
              <w:rPr>
                <w:rFonts w:ascii="Times New Roman" w:cs="Times New Roman" w:eastAsia="Times New Roman" w:hAnsi="Times New Roman"/>
                <w:sz w:val="22"/>
                <w:szCs w:val="22"/>
                <w:color w:val="008000"/>
                <w:w w:val="91"/>
                <w:vertAlign w:val="superscript"/>
              </w:rPr>
              <w:t>(15)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4,433,297</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60" w:type="dxa"/>
            <w:vAlign w:val="bottom"/>
            <w:gridSpan w:val="4"/>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footnotes</w:t>
            </w:r>
            <w:r>
              <w:rPr>
                <w:rFonts w:ascii="Times New Roman" w:cs="Times New Roman" w:eastAsia="Times New Roman" w:hAnsi="Times New Roman"/>
                <w:sz w:val="22"/>
                <w:szCs w:val="22"/>
                <w:color w:val="008000"/>
                <w:w w:val="98"/>
                <w:vertAlign w:val="superscript"/>
              </w:rPr>
              <w:t>(2)(3)</w:t>
            </w:r>
          </w:p>
        </w:tc>
        <w:tc>
          <w:tcPr>
            <w:tcW w:w="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6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0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333,144</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See</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060" w:type="dxa"/>
            <w:vAlign w:val="bottom"/>
            <w:gridSpan w:val="4"/>
            <w:vMerge w:val="continue"/>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(16)</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06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08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2"/>
              </w:rPr>
              <w:t>20,129</w:t>
            </w:r>
            <w:r>
              <w:rPr>
                <w:rFonts w:ascii="Times New Roman" w:cs="Times New Roman" w:eastAsia="Times New Roman" w:hAnsi="Times New Roman"/>
                <w:sz w:val="22"/>
                <w:szCs w:val="22"/>
                <w:color w:val="008000"/>
                <w:w w:val="92"/>
                <w:vertAlign w:val="superscript"/>
              </w:rPr>
              <w:t>(17)</w:t>
            </w:r>
          </w:p>
        </w:tc>
        <w:tc>
          <w:tcPr>
            <w:tcW w:w="78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1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080"/>
          </w:cols>
          <w:pgMar w:left="460" w:top="219" w:right="359" w:bottom="5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 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4"/>
                <w:szCs w:val="4"/>
                <w:color w:val="auto"/>
              </w:rPr>
            </w:pPr>
          </w:p>
        </w:tc>
        <w:tc>
          <w:tcPr>
            <w:tcW w:w="86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120" w:type="dxa"/>
            <w:vAlign w:val="bottom"/>
            <w:gridSpan w:val="16"/>
          </w:tcPr>
          <w:p>
            <w:pPr>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line="80" w:lineRule="exact"/>
              <w:rPr>
                <w:sz w:val="20"/>
                <w:szCs w:val="20"/>
                <w:color w:val="auto"/>
              </w:rPr>
            </w:pPr>
            <w:r>
              <w:rPr>
                <w:rFonts w:ascii="Arial" w:cs="Arial" w:eastAsia="Arial" w:hAnsi="Arial"/>
                <w:sz w:val="8"/>
                <w:szCs w:val="8"/>
                <w:b w:val="1"/>
                <w:bCs w:val="1"/>
                <w:color w:val="auto"/>
              </w:rPr>
              <w:t>Execution Date,</w:t>
            </w:r>
          </w:p>
        </w:tc>
        <w:tc>
          <w:tcPr>
            <w:tcW w:w="820" w:type="dxa"/>
            <w:vAlign w:val="bottom"/>
            <w:gridSpan w:val="5"/>
          </w:tcPr>
          <w:p>
            <w:pPr>
              <w:ind w:left="60"/>
              <w:spacing w:after="0" w:line="80" w:lineRule="exact"/>
              <w:rPr>
                <w:sz w:val="20"/>
                <w:szCs w:val="20"/>
                <w:color w:val="auto"/>
              </w:rPr>
            </w:pPr>
            <w:r>
              <w:rPr>
                <w:rFonts w:ascii="Arial" w:cs="Arial" w:eastAsia="Arial" w:hAnsi="Arial"/>
                <w:sz w:val="8"/>
                <w:szCs w:val="8"/>
                <w:b w:val="1"/>
                <w:bCs w:val="1"/>
                <w:color w:val="auto"/>
              </w:rPr>
              <w:t>Transaction</w:t>
            </w:r>
          </w:p>
        </w:tc>
        <w:tc>
          <w:tcPr>
            <w:tcW w:w="44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of</w:t>
            </w:r>
          </w:p>
        </w:tc>
        <w:tc>
          <w:tcPr>
            <w:tcW w:w="300" w:type="dxa"/>
            <w:vAlign w:val="bottom"/>
          </w:tcPr>
          <w:p>
            <w:pPr>
              <w:spacing w:after="0"/>
              <w:rPr>
                <w:sz w:val="6"/>
                <w:szCs w:val="6"/>
                <w:color w:val="auto"/>
              </w:rPr>
            </w:pPr>
          </w:p>
        </w:tc>
        <w:tc>
          <w:tcPr>
            <w:tcW w:w="1540" w:type="dxa"/>
            <w:vAlign w:val="bottom"/>
            <w:gridSpan w:val="2"/>
          </w:tcPr>
          <w:p>
            <w:pPr>
              <w:ind w:left="60"/>
              <w:spacing w:after="0" w:line="80" w:lineRule="exact"/>
              <w:rPr>
                <w:sz w:val="20"/>
                <w:szCs w:val="20"/>
                <w:color w:val="auto"/>
              </w:rPr>
            </w:pPr>
            <w:r>
              <w:rPr>
                <w:rFonts w:ascii="Arial" w:cs="Arial" w:eastAsia="Arial" w:hAnsi="Arial"/>
                <w:sz w:val="8"/>
                <w:szCs w:val="8"/>
                <w:b w:val="1"/>
                <w:bCs w:val="1"/>
                <w:color w:val="auto"/>
              </w:rPr>
              <w:t>Expiration Date</w:t>
            </w:r>
          </w:p>
        </w:tc>
        <w:tc>
          <w:tcPr>
            <w:tcW w:w="1060" w:type="dxa"/>
            <w:vAlign w:val="bottom"/>
            <w:gridSpan w:val="3"/>
          </w:tcPr>
          <w:p>
            <w:pPr>
              <w:ind w:left="60"/>
              <w:spacing w:after="0" w:line="80" w:lineRule="exact"/>
              <w:rPr>
                <w:sz w:val="20"/>
                <w:szCs w:val="20"/>
                <w:color w:val="auto"/>
              </w:rPr>
            </w:pPr>
            <w:r>
              <w:rPr>
                <w:rFonts w:ascii="Arial" w:cs="Arial" w:eastAsia="Arial" w:hAnsi="Arial"/>
                <w:sz w:val="8"/>
                <w:szCs w:val="8"/>
                <w:b w:val="1"/>
                <w:bCs w:val="1"/>
                <w:color w:val="auto"/>
              </w:rPr>
              <w:t>Amount of</w:t>
            </w:r>
          </w:p>
        </w:tc>
        <w:tc>
          <w:tcPr>
            <w:tcW w:w="640" w:type="dxa"/>
            <w:vAlign w:val="bottom"/>
          </w:tcPr>
          <w:p>
            <w:pPr>
              <w:spacing w:after="0" w:line="80" w:lineRule="exact"/>
              <w:rPr>
                <w:sz w:val="20"/>
                <w:szCs w:val="20"/>
                <w:color w:val="auto"/>
              </w:rPr>
            </w:pPr>
            <w:r>
              <w:rPr>
                <w:rFonts w:ascii="Arial" w:cs="Arial" w:eastAsia="Arial" w:hAnsi="Arial"/>
                <w:sz w:val="8"/>
                <w:szCs w:val="8"/>
                <w:b w:val="1"/>
                <w:bCs w:val="1"/>
                <w:color w:val="auto"/>
              </w:rPr>
              <w:t>Derivative</w:t>
            </w:r>
          </w:p>
        </w:tc>
        <w:tc>
          <w:tcPr>
            <w:tcW w:w="960" w:type="dxa"/>
            <w:vAlign w:val="bottom"/>
          </w:tcPr>
          <w:p>
            <w:pPr>
              <w:ind w:left="80"/>
              <w:spacing w:after="0" w:line="80" w:lineRule="exact"/>
              <w:rPr>
                <w:sz w:val="20"/>
                <w:szCs w:val="20"/>
                <w:color w:val="auto"/>
              </w:rPr>
            </w:pPr>
            <w:r>
              <w:rPr>
                <w:rFonts w:ascii="Arial" w:cs="Arial" w:eastAsia="Arial" w:hAnsi="Arial"/>
                <w:sz w:val="8"/>
                <w:szCs w:val="8"/>
                <w:b w:val="1"/>
                <w:bCs w:val="1"/>
                <w:color w:val="auto"/>
              </w:rPr>
              <w:t>derivative</w:t>
            </w:r>
          </w:p>
        </w:tc>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20" w:type="dxa"/>
            <w:vAlign w:val="bottom"/>
            <w:gridSpan w:val="2"/>
          </w:tcPr>
          <w:p>
            <w:pPr>
              <w:ind w:left="60"/>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60" w:type="dxa"/>
            <w:vAlign w:val="bottom"/>
          </w:tcPr>
          <w:p>
            <w:pPr>
              <w:spacing w:after="0"/>
              <w:rPr>
                <w:sz w:val="2"/>
                <w:szCs w:val="2"/>
                <w:color w:val="auto"/>
              </w:rPr>
            </w:pPr>
          </w:p>
        </w:tc>
        <w:tc>
          <w:tcPr>
            <w:tcW w:w="1160" w:type="dxa"/>
            <w:vAlign w:val="bottom"/>
            <w:gridSpan w:val="3"/>
          </w:tcPr>
          <w:p>
            <w:pPr>
              <w:ind w:left="40"/>
              <w:spacing w:after="0"/>
              <w:rPr>
                <w:sz w:val="20"/>
                <w:szCs w:val="20"/>
                <w:color w:val="auto"/>
              </w:rPr>
            </w:pPr>
            <w:r>
              <w:rPr>
                <w:rFonts w:ascii="Arial" w:cs="Arial" w:eastAsia="Arial" w:hAnsi="Arial"/>
                <w:sz w:val="2"/>
                <w:szCs w:val="2"/>
                <w:b w:val="1"/>
                <w:bCs w:val="1"/>
                <w:color w:val="auto"/>
              </w:rPr>
              <w:t>(Month/Day/Year)</w:t>
            </w:r>
          </w:p>
        </w:tc>
        <w:tc>
          <w:tcPr>
            <w:tcW w:w="5220" w:type="dxa"/>
            <w:vAlign w:val="bottom"/>
            <w:gridSpan w:val="13"/>
          </w:tcPr>
          <w:p>
            <w:pPr>
              <w:spacing w:after="0"/>
              <w:rPr>
                <w:sz w:val="20"/>
                <w:szCs w:val="20"/>
                <w:color w:val="auto"/>
              </w:rPr>
            </w:pPr>
            <w:r>
              <w:rPr>
                <w:rFonts w:ascii="Arial" w:cs="Arial" w:eastAsia="Arial" w:hAnsi="Arial"/>
                <w:sz w:val="1"/>
                <w:szCs w:val="1"/>
                <w:b w:val="1"/>
                <w:bCs w:val="1"/>
                <w:color w:val="auto"/>
              </w:rPr>
              <w:t xml:space="preserve">if any  </w:t>
            </w:r>
            <w:r>
              <w:rPr>
                <w:rFonts w:ascii="Arial" w:cs="Arial" w:eastAsia="Arial" w:hAnsi="Arial"/>
                <w:sz w:val="2"/>
                <w:szCs w:val="2"/>
                <w:b w:val="1"/>
                <w:bCs w:val="1"/>
                <w:color w:val="auto"/>
              </w:rPr>
              <w:t>(e.g., puts, calls, warrants, options, convertible 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20" w:type="dxa"/>
            <w:vAlign w:val="bottom"/>
            <w:gridSpan w:val="5"/>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6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0"/>
                <w:szCs w:val="10"/>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0"/>
                <w:szCs w:val="10"/>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tcPr>
          <w:p>
            <w:pPr>
              <w:ind w:left="80"/>
              <w:spacing w:after="0"/>
              <w:rPr>
                <w:sz w:val="20"/>
                <w:szCs w:val="20"/>
                <w:color w:val="auto"/>
              </w:rPr>
            </w:pPr>
            <w:r>
              <w:rPr>
                <w:rFonts w:ascii="Arial" w:cs="Arial" w:eastAsia="Arial" w:hAnsi="Arial"/>
                <w:sz w:val="2"/>
                <w:szCs w:val="2"/>
                <w:b w:val="1"/>
                <w:bCs w:val="1"/>
                <w:color w:val="auto"/>
              </w:rPr>
              <w:t>5. Number</w:t>
            </w:r>
          </w:p>
        </w:tc>
        <w:tc>
          <w:tcPr>
            <w:tcW w:w="154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9. Number of</w:t>
            </w: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9"/>
                <w:szCs w:val="9"/>
                <w:color w:val="auto"/>
              </w:rPr>
            </w:pPr>
          </w:p>
        </w:tc>
        <w:tc>
          <w:tcPr>
            <w:tcW w:w="86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9"/>
                <w:szCs w:val="9"/>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(Instr. 3, 4</w:t>
            </w:r>
          </w:p>
        </w:tc>
        <w:tc>
          <w:tcPr>
            <w:tcW w:w="15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820" w:type="dxa"/>
            <w:vAlign w:val="bottom"/>
            <w:gridSpan w:val="5"/>
            <w:vMerge w:val="continue"/>
          </w:tcPr>
          <w:p>
            <w:pPr>
              <w:spacing w:after="0"/>
              <w:rPr>
                <w:sz w:val="2"/>
                <w:szCs w:val="2"/>
                <w:color w:val="auto"/>
              </w:rPr>
            </w:pPr>
          </w:p>
        </w:tc>
        <w:tc>
          <w:tcPr>
            <w:tcW w:w="440" w:type="dxa"/>
            <w:vAlign w:val="bottom"/>
          </w:tcPr>
          <w:p>
            <w:pPr>
              <w:ind w:left="80"/>
              <w:spacing w:after="0"/>
              <w:rPr>
                <w:sz w:val="20"/>
                <w:szCs w:val="20"/>
                <w:color w:val="auto"/>
              </w:rPr>
            </w:pPr>
            <w:r>
              <w:rPr>
                <w:rFonts w:ascii="Arial" w:cs="Arial" w:eastAsia="Arial" w:hAnsi="Arial"/>
                <w:sz w:val="2"/>
                <w:szCs w:val="2"/>
                <w:b w:val="1"/>
                <w:bCs w:val="1"/>
                <w:color w:val="auto"/>
              </w:rPr>
              <w:t>of</w:t>
            </w:r>
          </w:p>
        </w:tc>
        <w:tc>
          <w:tcPr>
            <w:tcW w:w="30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derivative</w:t>
            </w: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9"/>
                <w:szCs w:val="9"/>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if any</w:t>
            </w:r>
          </w:p>
        </w:tc>
        <w:tc>
          <w:tcPr>
            <w:tcW w:w="82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(Instr.</w:t>
            </w:r>
          </w:p>
        </w:tc>
        <w:tc>
          <w:tcPr>
            <w:tcW w:w="440" w:type="dxa"/>
            <w:vAlign w:val="bottom"/>
          </w:tcPr>
          <w:p>
            <w:pPr>
              <w:ind w:left="80"/>
              <w:spacing w:after="0" w:line="107" w:lineRule="exact"/>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9"/>
                <w:szCs w:val="9"/>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(Month/Day/Year)</w:t>
            </w:r>
          </w:p>
        </w:tc>
        <w:tc>
          <w:tcPr>
            <w:tcW w:w="10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Securities</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Security</w:t>
            </w: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740" w:type="dxa"/>
            <w:vAlign w:val="bottom"/>
            <w:gridSpan w:val="2"/>
          </w:tcPr>
          <w:p>
            <w:pPr>
              <w:ind w:left="80"/>
              <w:spacing w:after="0" w:line="40" w:lineRule="exact"/>
              <w:rPr>
                <w:sz w:val="20"/>
                <w:szCs w:val="20"/>
                <w:color w:val="auto"/>
              </w:rPr>
            </w:pPr>
            <w:r>
              <w:rPr>
                <w:rFonts w:ascii="Arial" w:cs="Arial" w:eastAsia="Arial" w:hAnsi="Arial"/>
                <w:sz w:val="4"/>
                <w:szCs w:val="4"/>
                <w:b w:val="1"/>
                <w:bCs w:val="1"/>
                <w:color w:val="auto"/>
              </w:rPr>
              <w:t>Derivative</w:t>
            </w:r>
          </w:p>
        </w:tc>
        <w:tc>
          <w:tcPr>
            <w:tcW w:w="1540" w:type="dxa"/>
            <w:vAlign w:val="bottom"/>
            <w:gridSpan w:val="2"/>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0"/>
                <w:szCs w:val="10"/>
                <w:color w:val="auto"/>
              </w:rPr>
            </w:pPr>
          </w:p>
        </w:tc>
        <w:tc>
          <w:tcPr>
            <w:tcW w:w="640" w:type="dxa"/>
            <w:vAlign w:val="bottom"/>
          </w:tcPr>
          <w:p>
            <w:pPr>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9"/>
                <w:szCs w:val="9"/>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3"/>
          </w:tcPr>
          <w:p>
            <w:pPr>
              <w:ind w:left="60"/>
              <w:spacing w:after="0"/>
              <w:rPr>
                <w:sz w:val="20"/>
                <w:szCs w:val="20"/>
                <w:color w:val="auto"/>
              </w:rPr>
            </w:pPr>
            <w:r>
              <w:rPr>
                <w:rFonts w:ascii="Arial" w:cs="Arial" w:eastAsia="Arial" w:hAnsi="Arial"/>
                <w:sz w:val="2"/>
                <w:szCs w:val="2"/>
                <w:b w:val="1"/>
                <w:bCs w:val="1"/>
                <w:color w:val="auto"/>
              </w:rPr>
              <w:t>Derivative</w:t>
            </w:r>
          </w:p>
        </w:tc>
        <w:tc>
          <w:tcPr>
            <w:tcW w:w="6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9"/>
                <w:szCs w:val="9"/>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3"/>
          </w:tcPr>
          <w:p>
            <w:pPr>
              <w:ind w:left="60"/>
              <w:spacing w:after="0"/>
              <w:rPr>
                <w:sz w:val="20"/>
                <w:szCs w:val="20"/>
                <w:color w:val="auto"/>
              </w:rPr>
            </w:pPr>
            <w:r>
              <w:rPr>
                <w:rFonts w:ascii="Arial" w:cs="Arial" w:eastAsia="Arial" w:hAnsi="Arial"/>
                <w:sz w:val="2"/>
                <w:szCs w:val="2"/>
                <w:b w:val="1"/>
                <w:bCs w:val="1"/>
                <w:color w:val="auto"/>
              </w:rPr>
              <w:t>Security (Instr.</w:t>
            </w:r>
          </w:p>
        </w:tc>
        <w:tc>
          <w:tcPr>
            <w:tcW w:w="6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9"/>
                <w:szCs w:val="9"/>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3"/>
          </w:tcPr>
          <w:p>
            <w:pPr>
              <w:ind w:left="60"/>
              <w:spacing w:after="0"/>
              <w:rPr>
                <w:sz w:val="20"/>
                <w:szCs w:val="20"/>
                <w:color w:val="auto"/>
              </w:rPr>
            </w:pPr>
            <w:r>
              <w:rPr>
                <w:rFonts w:ascii="Arial" w:cs="Arial" w:eastAsia="Arial" w:hAnsi="Arial"/>
                <w:sz w:val="2"/>
                <w:szCs w:val="2"/>
                <w:b w:val="1"/>
                <w:bCs w:val="1"/>
                <w:color w:val="auto"/>
              </w:rPr>
              <w:t>3 and 4)</w:t>
            </w:r>
          </w:p>
        </w:tc>
        <w:tc>
          <w:tcPr>
            <w:tcW w:w="6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380" w:type="dxa"/>
            <w:vAlign w:val="bottom"/>
            <w:gridSpan w:val="4"/>
            <w:vMerge w:val="continue"/>
          </w:tcPr>
          <w:p>
            <w:pPr>
              <w:spacing w:after="0"/>
              <w:rPr>
                <w:sz w:val="9"/>
                <w:szCs w:val="9"/>
                <w:color w:val="auto"/>
              </w:rPr>
            </w:pPr>
          </w:p>
        </w:tc>
        <w:tc>
          <w:tcPr>
            <w:tcW w:w="440" w:type="dxa"/>
            <w:vAlign w:val="bottom"/>
          </w:tcPr>
          <w:p>
            <w:pPr>
              <w:ind w:left="120"/>
              <w:spacing w:after="0" w:line="107" w:lineRule="exact"/>
              <w:rPr>
                <w:sz w:val="20"/>
                <w:szCs w:val="20"/>
                <w:color w:val="auto"/>
              </w:rPr>
            </w:pPr>
            <w:r>
              <w:rPr>
                <w:rFonts w:ascii="Arial" w:cs="Arial" w:eastAsia="Arial" w:hAnsi="Arial"/>
                <w:sz w:val="12"/>
                <w:szCs w:val="12"/>
                <w:b w:val="1"/>
                <w:bCs w:val="1"/>
                <w:color w:val="auto"/>
              </w:rPr>
              <w:t>A)</w:t>
            </w:r>
          </w:p>
        </w:tc>
        <w:tc>
          <w:tcPr>
            <w:tcW w:w="300" w:type="dxa"/>
            <w:vAlign w:val="bottom"/>
            <w:vMerge w:val="continue"/>
          </w:tcPr>
          <w:p>
            <w:pPr>
              <w:spacing w:after="0"/>
              <w:rPr>
                <w:sz w:val="9"/>
                <w:szCs w:val="9"/>
                <w:color w:val="auto"/>
              </w:rPr>
            </w:pPr>
          </w:p>
        </w:tc>
        <w:tc>
          <w:tcPr>
            <w:tcW w:w="80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Date</w:t>
            </w:r>
          </w:p>
        </w:tc>
        <w:tc>
          <w:tcPr>
            <w:tcW w:w="380" w:type="dxa"/>
            <w:vAlign w:val="bottom"/>
            <w:vMerge w:val="continue"/>
          </w:tcPr>
          <w:p>
            <w:pPr>
              <w:spacing w:after="0"/>
              <w:rPr>
                <w:sz w:val="9"/>
                <w:szCs w:val="9"/>
                <w:color w:val="auto"/>
              </w:rPr>
            </w:pPr>
          </w:p>
        </w:tc>
        <w:tc>
          <w:tcPr>
            <w:tcW w:w="68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gridSpan w:val="2"/>
          </w:tcPr>
          <w:p>
            <w:pPr>
              <w:ind w:left="80"/>
              <w:spacing w:after="0" w:line="40" w:lineRule="exact"/>
              <w:rPr>
                <w:sz w:val="20"/>
                <w:szCs w:val="20"/>
                <w:color w:val="auto"/>
              </w:rPr>
            </w:pPr>
            <w:r>
              <w:rPr>
                <w:rFonts w:ascii="Arial" w:cs="Arial" w:eastAsia="Arial" w:hAnsi="Arial"/>
                <w:sz w:val="4"/>
                <w:szCs w:val="4"/>
                <w:b w:val="1"/>
                <w:bCs w:val="1"/>
                <w:color w:val="auto"/>
              </w:rPr>
              <w:t>(Instr. 3, 4</w:t>
            </w: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6"/>
              </w:rPr>
              <w:t>and 5)</w:t>
            </w: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700" w:type="dxa"/>
            <w:vAlign w:val="bottom"/>
            <w:gridSpan w:val="7"/>
            <w:vMerge w:val="restart"/>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00" w:type="dxa"/>
            <w:vAlign w:val="bottom"/>
            <w:gridSpan w:val="7"/>
            <w:vMerge w:val="continue"/>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restart"/>
          </w:tcPr>
          <w:p>
            <w:pPr>
              <w:spacing w:after="0" w:line="214"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gridSpan w:val="2"/>
          </w:tcPr>
          <w:p>
            <w:pPr>
              <w:ind w:left="80"/>
              <w:spacing w:after="0" w:line="80" w:lineRule="exact"/>
              <w:rPr>
                <w:sz w:val="20"/>
                <w:szCs w:val="20"/>
                <w:color w:val="auto"/>
              </w:rPr>
            </w:pPr>
            <w:r>
              <w:rPr>
                <w:rFonts w:ascii="Arial" w:cs="Arial" w:eastAsia="Arial" w:hAnsi="Arial"/>
                <w:sz w:val="8"/>
                <w:szCs w:val="8"/>
                <w:b w:val="1"/>
                <w:bCs w:val="1"/>
                <w:color w:val="auto"/>
              </w:rPr>
              <w:t>Number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8"/>
                <w:szCs w:val="8"/>
                <w:color w:val="auto"/>
              </w:rPr>
            </w:pPr>
          </w:p>
        </w:tc>
        <w:tc>
          <w:tcPr>
            <w:tcW w:w="680" w:type="dxa"/>
            <w:vAlign w:val="bottom"/>
            <w:gridSpan w:val="2"/>
          </w:tcPr>
          <w:p>
            <w:pPr>
              <w:ind w:left="80"/>
              <w:spacing w:after="0" w:line="101" w:lineRule="exact"/>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5"/>
                <w:szCs w:val="15"/>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15"/>
                <w:szCs w:val="15"/>
                <w:color w:val="auto"/>
              </w:rPr>
            </w:pPr>
          </w:p>
        </w:tc>
        <w:tc>
          <w:tcPr>
            <w:tcW w:w="106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10065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Corvex Management LP</w:t>
              </w:r>
            </w:hyperlink>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20"/>
                <w:szCs w:val="20"/>
                <w:color w:val="auto"/>
              </w:rPr>
            </w:pP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10065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911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44055" cy="49117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$34.97 to $35.94. The Reporting Persons undertake to provide to the Issuer, any security holder of the Issuer or the staff of the Securities and Exchange Commission, upon request, full information regarding the number of shares bought at each separate price within the ranges set forth in footnotes (1), (4), (5), (6), (7), (8), (9), (10), (11), (12), (13), (14) and (15) to this Form 4.</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Investment funds advised by Corvex Management LP ("Corvex") are the direct holders of 4,433,297 shares of the Class A Common Stock, par value $0.0001 per share ("Class A Common Stock") of GeneDX Holdings Corp. (the "Issuer") reported herein. Mr. Meister may be deemed to indirectly beneficially own these shares by virtue of Mr. Meister's control of the general partner of Corvex.</w:t>
      </w:r>
    </w:p>
    <w:p>
      <w:pPr>
        <w:spacing w:after="0" w:line="7" w:lineRule="exact"/>
        <w:rPr>
          <w:rFonts w:ascii="Times New Roman" w:cs="Times New Roman" w:eastAsia="Times New Roman" w:hAnsi="Times New Roman"/>
          <w:sz w:val="13"/>
          <w:szCs w:val="13"/>
          <w:color w:val="008000"/>
        </w:rPr>
      </w:pPr>
    </w:p>
    <w:p>
      <w:pPr>
        <w:jc w:val="both"/>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the purposes of this filing, each of Corvex and Mr. Meister disclaims beneficial ownership of the reported securities except to the extent of his or its pecuniary interest therein. This filing shall not be deemed an admission that Corvex or Mr. Meister is the beneficial owner of any of the reported securities for purposes of Section 16 of the Securities Exchange Act of 1934, as amended, or otherwise.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$35.97 to $36.84.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$37.05 to $38.04.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$38.05 to $39.04.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$39.05 to $40.04.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$40.05 to $40.66.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$37.59 to $38.58.</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$38.59 to $38.94.</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$39.95 to $40.94.</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$40.95 to $41.50.</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$38.22 to $39.21.</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$39.22 to $40.21.</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$40.22 to $40.41.</w:t>
      </w:r>
    </w:p>
    <w:p>
      <w:pPr>
        <w:spacing w:after="0" w:line="5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CMLS Holdings LLC ("CMLS Holdings") is the record holder of 333,144 shares of the Class A Common Stock reported herein. Mr. Meister is one of two members of the Board of Managers of CMLS Holdings, and Mr. Meister shares voting and investment discretion with respect to the securities held of record by CMLS Holdings reported herein.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Class A Common Stock reflected as beneficially owned by Mr. Meister include 20,129 shares of Class A Common Stock that were issued upon the vesting of restricted stock units, that were granted to Mr. Meister in connection with his service on the board of directors of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Keith A. Meister</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05/11/2026</w:t>
            </w:r>
          </w:p>
        </w:tc>
      </w:tr>
      <w:tr>
        <w:trPr>
          <w:trHeight w:val="20"/>
        </w:trPr>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47"/>
        </w:trPr>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CORVEX MANAGEMENT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3"/>
        </w:trPr>
        <w:tc>
          <w:tcPr>
            <w:tcW w:w="2000" w:type="dxa"/>
            <w:vAlign w:val="bottom"/>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LP Name: /s/ Keith Meister</w:t>
            </w:r>
          </w:p>
        </w:tc>
        <w:tc>
          <w:tcPr>
            <w:tcW w:w="10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0000FF"/>
              </w:rPr>
              <w:t>05/11/2026</w:t>
            </w:r>
          </w:p>
        </w:tc>
      </w:tr>
      <w:tr>
        <w:trPr>
          <w:trHeight w:val="193"/>
        </w:trPr>
        <w:tc>
          <w:tcPr>
            <w:tcW w:w="19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Title: Managing Partner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35"/>
        </w:trPr>
        <w:tc>
          <w:tcPr>
            <w:tcW w:w="20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3" Type="http://schemas.openxmlformats.org/officeDocument/2006/relationships/hyperlink" Target="http://www.sec.gov/cgi-bin/browse-edgar?action=getcompany&amp;CIK=0001307631" TargetMode="External"/><Relationship Id="rId14" Type="http://schemas.openxmlformats.org/officeDocument/2006/relationships/hyperlink" Target="http://www.sec.gov/cgi-bin/browse-edgar?action=getcompany&amp;CIK=0001818331" TargetMode="External"/><Relationship Id="rId15" Type="http://schemas.openxmlformats.org/officeDocument/2006/relationships/hyperlink" Target="http://www.sec.gov/cgi-bin/browse-edgar?action=getcompany&amp;CIK=0001535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2026-05-11T20:24:16Z</dcterms:created>
  <dcterms:modified xsi:type="dcterms:W3CDTF">2026-05-11T20:24:16Z</dcterms:modified>
</cp:coreProperties>
</file>