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340"/>
        <w:spacing w:after="0" w:line="24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31750</wp:posOffset>
            </wp:positionH>
            <wp:positionV relativeFrom="paragraph">
              <wp:posOffset>-225425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220" w:type="dxa"/>
            <w:vAlign w:val="bottom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59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79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5219700</wp:posOffset>
            </wp:positionH>
            <wp:positionV relativeFrom="paragraph">
              <wp:posOffset>-607060</wp:posOffset>
            </wp:positionV>
            <wp:extent cx="57150" cy="6203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0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3934460</wp:posOffset>
            </wp:positionH>
            <wp:positionV relativeFrom="paragraph">
              <wp:posOffset>-607060</wp:posOffset>
            </wp:positionV>
            <wp:extent cx="57150" cy="6203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0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-1688465</wp:posOffset>
            </wp:positionH>
            <wp:positionV relativeFrom="paragraph">
              <wp:posOffset>19050</wp:posOffset>
            </wp:positionV>
            <wp:extent cx="6997700" cy="53955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7700" cy="53955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180" w:space="460"/>
            <w:col w:w="8440"/>
          </w:cols>
          <w:pgMar w:left="460" w:top="220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8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0"/>
                <w:szCs w:val="20"/>
                <w:color w:val="auto"/>
                <w:vertAlign w:val="superscript"/>
              </w:rPr>
              <w:t>*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 Ticker or Trading Symbol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0"/>
                <w:szCs w:val="20"/>
                <w:color w:val="0000EE"/>
                <w:w w:val="90"/>
              </w:rPr>
            </w:pPr>
            <w:hyperlink r:id="rId12">
              <w:r>
                <w:rPr>
                  <w:rFonts w:ascii="Arial" w:cs="Arial" w:eastAsia="Arial" w:hAnsi="Arial"/>
                  <w:sz w:val="20"/>
                  <w:szCs w:val="20"/>
                  <w:color w:val="0000EE"/>
                  <w:w w:val="90"/>
                </w:rPr>
                <w:t>Prentice Anthony</w:t>
              </w:r>
            </w:hyperlink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gridSpan w:val="7"/>
          </w:tcPr>
          <w:p>
            <w:pPr>
              <w:spacing w:after="0" w:line="100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 xml:space="preserve">Sema4 Holdings Corp. </w:t>
              </w:r>
            </w:hyperlink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[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SMFR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]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(Check all applicable)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Director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0000EE"/>
            </w:tcBorders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Officer (give title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1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(Last)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20"/>
              <w:spacing w:after="0" w:line="11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(First)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1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(Middle)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3. Date of Earliest Transaction 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60" w:type="dxa"/>
            <w:vAlign w:val="bottom"/>
            <w:gridSpan w:val="4"/>
            <w:vMerge w:val="restart"/>
          </w:tcPr>
          <w:p>
            <w:pPr>
              <w:ind w:left="50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Chief Product Officer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8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C/O SEMA4 HOLDINGS CORP.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3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07/22/2021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333 LUDLOW ST, NORTH TOWER, 8TH FL.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STAMFORD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CT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06902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0" w:type="dxa"/>
            <w:vAlign w:val="bottom"/>
            <w:gridSpan w:val="6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ind w:left="1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(State)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(Zip)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right"/>
              <w:ind w:right="1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8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80" w:type="dxa"/>
            <w:vAlign w:val="bottom"/>
            <w:gridSpan w:val="5"/>
          </w:tcPr>
          <w:p>
            <w:pPr>
              <w:jc w:val="center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8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00" w:type="dxa"/>
            <w:vAlign w:val="bottom"/>
            <w:gridSpan w:val="7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8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5"/>
              </w:rPr>
              <w:t>(A) or</w:t>
            </w: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0" w:type="dxa"/>
            <w:vAlign w:val="bottom"/>
            <w:gridSpan w:val="1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8. Price of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42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4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jc w:val="center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162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182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44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Reported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Employee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6"/>
              </w:rPr>
              <w:t>Class A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1,733,674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  <w:w w:val="97"/>
              </w:rPr>
              <w:t>(2)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0.1529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07/22/2021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A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1,733,674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09/30/2027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4"/>
              </w:rPr>
              <w:t>Common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jc w:val="center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1,733,674</w:t>
            </w:r>
          </w:p>
        </w:tc>
        <w:tc>
          <w:tcPr>
            <w:tcW w:w="6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Buy)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Employee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6"/>
              </w:rPr>
              <w:t>Class A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449,871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  <w:w w:val="97"/>
              </w:rPr>
              <w:t>(2)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0.7659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07/22/2021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A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2"/>
              </w:rPr>
              <w:t>449,871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02/17/2030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4"/>
              </w:rPr>
              <w:t>Common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2"/>
              </w:rPr>
              <w:t>449,871</w:t>
            </w:r>
          </w:p>
        </w:tc>
        <w:tc>
          <w:tcPr>
            <w:tcW w:w="6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Buy)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Employee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6"/>
              </w:rPr>
              <w:t>Class A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196,666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  <w:w w:val="97"/>
              </w:rPr>
              <w:t>(2)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0.7659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07/22/2021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A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2"/>
              </w:rPr>
              <w:t>196,666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02/17/2030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4"/>
              </w:rPr>
              <w:t>Common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2"/>
              </w:rPr>
              <w:t>196,666</w:t>
            </w:r>
          </w:p>
        </w:tc>
        <w:tc>
          <w:tcPr>
            <w:tcW w:w="6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Buy)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-2835910</wp:posOffset>
            </wp:positionV>
            <wp:extent cx="28575" cy="28416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2841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Explanation of Responses:</w:t>
      </w:r>
    </w:p>
    <w:p>
      <w:pPr>
        <w:spacing w:after="0" w:line="55" w:lineRule="exact"/>
        <w:rPr>
          <w:sz w:val="20"/>
          <w:szCs w:val="20"/>
          <w:color w:val="auto"/>
        </w:rPr>
      </w:pPr>
    </w:p>
    <w:p>
      <w:pPr>
        <w:ind w:left="160" w:hanging="123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6.25% of the total shares underlying the option vest in quarterly installments until fully vested, subject to the Reporting Person's continued service to the Issuer on each vesting date.</w:t>
      </w:r>
    </w:p>
    <w:p>
      <w:pPr>
        <w:spacing w:after="0" w:line="49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260" w:hanging="3"/>
        <w:spacing w:after="0" w:line="287" w:lineRule="auto"/>
        <w:tabs>
          <w:tab w:leader="none" w:pos="165" w:val="left"/>
        </w:tabs>
        <w:numPr>
          <w:ilvl w:val="0"/>
          <w:numId w:val="1"/>
        </w:numPr>
        <w:rPr>
          <w:rFonts w:ascii="Arial" w:cs="Arial" w:eastAsia="Arial" w:hAnsi="Arial"/>
          <w:sz w:val="11"/>
          <w:szCs w:val="11"/>
          <w:color w:val="008000"/>
        </w:rPr>
      </w:pPr>
      <w:r>
        <w:rPr>
          <w:rFonts w:ascii="Arial" w:cs="Arial" w:eastAsia="Arial" w:hAnsi="Arial"/>
          <w:sz w:val="11"/>
          <w:szCs w:val="11"/>
          <w:color w:val="008000"/>
        </w:rPr>
        <w:t>Pursuant to the business combination between the Issuer (which was formerly known as CM Life Sciences, Inc.) and Mount Sinai Genomics, Inc. d/b/a Sema4 ("Sema4"), each share of Sema4 outstanding common stock was automatically converted into the right to shares of the Issuer's Class A Common Stock based on a 1 to 123.8338 exchange ratio ("Exchange Ratio"). In addition, each outstanding Sema4 equity award was automatically converted into a corresponding equity award of the Issuer based on the Exchange Ratio and with the same terms and vesting conditions as the Sema4 equity awards.</w:t>
      </w: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pacing w:after="0" w:line="62" w:lineRule="exact"/>
        <w:rPr>
          <w:sz w:val="20"/>
          <w:szCs w:val="20"/>
          <w:color w:val="auto"/>
        </w:rPr>
      </w:pPr>
    </w:p>
    <w:p>
      <w:pPr>
        <w:ind w:left="40" w:right="380"/>
        <w:spacing w:after="0" w:line="27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merger agreement provides that certain former stockholders and equity award holders of Sema4 will receive additional shares of the Issuer's Class A common stock and awards of restricted stock units upon the achievement of certain vesting conditions.</w:t>
      </w:r>
    </w:p>
    <w:p>
      <w:pPr>
        <w:spacing w:after="0" w:line="24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19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4"/>
              </w:rPr>
              <w:t>/s/ Daniel Clark, Attorney-in-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07/26/2021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80" w:type="dxa"/>
            <w:vAlign w:val="bottom"/>
            <w:vMerge w:val="restart"/>
          </w:tcPr>
          <w:p>
            <w:pPr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3"/>
              </w:rPr>
              <w:t>Fact</w:t>
            </w:r>
          </w:p>
        </w:tc>
        <w:tc>
          <w:tcPr>
            <w:tcW w:w="17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4 (b)(v).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jc w:val="both"/>
        <w:ind w:left="40" w:right="3840" w:hanging="3"/>
        <w:spacing w:after="0" w:line="324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0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73901" TargetMode="External"/><Relationship Id="rId13" Type="http://schemas.openxmlformats.org/officeDocument/2006/relationships/hyperlink" Target="http://www.sec.gov/cgi-bin/browse-edgar?action=getcompany&amp;CIK=000181833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2021-07-26T17:40:19Z</dcterms:created>
  <dcterms:modified xsi:type="dcterms:W3CDTF">2021-07-26T17:40:19Z</dcterms:modified>
</cp:coreProperties>
</file>