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742950</wp:posOffset>
            </wp:positionV>
            <wp:extent cx="7059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92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768350</wp:posOffset>
            </wp:positionV>
            <wp:extent cx="7059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92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1120" w:hanging="1096"/>
        <w:spacing w:after="0"/>
        <w:tabs>
          <w:tab w:leader="none" w:pos="1120" w:val="left"/>
        </w:tabs>
        <w:numPr>
          <w:ilvl w:val="0"/>
          <w:numId w:val="1"/>
        </w:numPr>
        <w:rPr>
          <w:rFonts w:ascii="Arial" w:cs="Arial" w:eastAsia="Arial" w:hAnsi="Arial"/>
          <w:sz w:val="16"/>
          <w:szCs w:val="16"/>
          <w:b w:val="1"/>
          <w:bCs w:val="1"/>
          <w:color w:val="auto"/>
        </w:rPr>
      </w:pPr>
      <w:r>
        <w:rPr>
          <w:rFonts w:ascii="Arial" w:cs="Arial" w:eastAsia="Arial" w:hAnsi="Arial"/>
          <w:sz w:val="19"/>
          <w:szCs w:val="19"/>
          <w:b w:val="1"/>
          <w:bCs w:val="1"/>
          <w:color w:val="auto"/>
        </w:rPr>
        <w:t>ANNUAL REPORT PURSUANT TO SECTION 13 OR 15(d) OF THE SECURITIES EXCHANGE ACT OF 1934</w:t>
      </w:r>
    </w:p>
    <w:p>
      <w:pPr>
        <w:spacing w:after="0" w:line="130" w:lineRule="exact"/>
        <w:rPr>
          <w:rFonts w:ascii="Arial" w:cs="Arial" w:eastAsia="Arial" w:hAnsi="Arial"/>
          <w:sz w:val="16"/>
          <w:szCs w:val="16"/>
          <w:b w:val="1"/>
          <w:bCs w:val="1"/>
          <w:color w:val="auto"/>
        </w:rPr>
      </w:pPr>
    </w:p>
    <w:p>
      <w:pPr>
        <w:ind w:left="420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For the fiscal year ended December 31, 2021</w:t>
      </w:r>
    </w:p>
    <w:p>
      <w:pPr>
        <w:spacing w:after="0" w:line="111" w:lineRule="exact"/>
        <w:rPr>
          <w:rFonts w:ascii="Arial" w:cs="Arial" w:eastAsia="Arial" w:hAnsi="Arial"/>
          <w:sz w:val="16"/>
          <w:szCs w:val="16"/>
          <w:b w:val="1"/>
          <w:bCs w:val="1"/>
          <w:color w:val="auto"/>
        </w:rPr>
      </w:pPr>
    </w:p>
    <w:p>
      <w:pPr>
        <w:ind w:left="550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OR</w:t>
      </w:r>
    </w:p>
    <w:p>
      <w:pPr>
        <w:spacing w:after="0" w:line="160" w:lineRule="exact"/>
        <w:rPr>
          <w:sz w:val="24"/>
          <w:szCs w:val="24"/>
          <w:color w:val="auto"/>
        </w:rPr>
      </w:pPr>
    </w:p>
    <w:p>
      <w:pPr>
        <w:ind w:left="920" w:hanging="896"/>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17" w:lineRule="exact"/>
        <w:rPr>
          <w:rFonts w:ascii="Arial" w:cs="Arial" w:eastAsia="Arial" w:hAnsi="Arial"/>
          <w:sz w:val="18"/>
          <w:szCs w:val="18"/>
          <w:b w:val="1"/>
          <w:bCs w:val="1"/>
          <w:color w:val="auto"/>
        </w:rPr>
      </w:pPr>
    </w:p>
    <w:p>
      <w:pPr>
        <w:ind w:left="3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 the transition period from __________ to __________</w:t>
      </w:r>
    </w:p>
    <w:p>
      <w:pPr>
        <w:spacing w:after="0" w:line="111" w:lineRule="exact"/>
        <w:rPr>
          <w:rFonts w:ascii="Arial" w:cs="Arial" w:eastAsia="Arial" w:hAnsi="Arial"/>
          <w:sz w:val="18"/>
          <w:szCs w:val="18"/>
          <w:b w:val="1"/>
          <w:bCs w:val="1"/>
          <w:color w:val="auto"/>
        </w:rPr>
      </w:pPr>
    </w:p>
    <w:p>
      <w:pPr>
        <w:ind w:left="4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81915</wp:posOffset>
            </wp:positionV>
            <wp:extent cx="1892935" cy="5721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2935" cy="5721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Sema4 Holdings Corp.</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424"/>
        </w:trPr>
        <w:tc>
          <w:tcPr>
            <w:tcW w:w="4580" w:type="dxa"/>
            <w:vAlign w:val="bottom"/>
          </w:tcPr>
          <w:p>
            <w:pPr>
              <w:jc w:val="center"/>
              <w:ind w:left="952"/>
              <w:spacing w:after="0"/>
              <w:rPr>
                <w:sz w:val="20"/>
                <w:szCs w:val="20"/>
                <w:color w:val="auto"/>
              </w:rPr>
            </w:pPr>
            <w:r>
              <w:rPr>
                <w:rFonts w:ascii="Arial" w:cs="Arial" w:eastAsia="Arial" w:hAnsi="Arial"/>
                <w:sz w:val="18"/>
                <w:szCs w:val="18"/>
                <w:b w:val="1"/>
                <w:bCs w:val="1"/>
                <w:color w:val="auto"/>
                <w:w w:val="88"/>
              </w:rPr>
              <w:t>Delaware</w:t>
            </w:r>
          </w:p>
        </w:tc>
        <w:tc>
          <w:tcPr>
            <w:tcW w:w="1920" w:type="dxa"/>
            <w:vAlign w:val="bottom"/>
          </w:tcPr>
          <w:p>
            <w:pPr>
              <w:spacing w:after="0"/>
              <w:rPr>
                <w:sz w:val="24"/>
                <w:szCs w:val="24"/>
                <w:color w:val="auto"/>
              </w:rPr>
            </w:pPr>
          </w:p>
        </w:tc>
        <w:tc>
          <w:tcPr>
            <w:tcW w:w="4740" w:type="dxa"/>
            <w:vAlign w:val="bottom"/>
          </w:tcPr>
          <w:p>
            <w:pPr>
              <w:jc w:val="right"/>
              <w:ind w:right="2392"/>
              <w:spacing w:after="0"/>
              <w:rPr>
                <w:sz w:val="20"/>
                <w:szCs w:val="20"/>
                <w:color w:val="auto"/>
              </w:rPr>
            </w:pPr>
            <w:r>
              <w:rPr>
                <w:rFonts w:ascii="Arial" w:cs="Arial" w:eastAsia="Arial" w:hAnsi="Arial"/>
                <w:sz w:val="18"/>
                <w:szCs w:val="18"/>
                <w:b w:val="1"/>
                <w:bCs w:val="1"/>
                <w:color w:val="auto"/>
              </w:rPr>
              <w:t>85-1966622</w:t>
            </w:r>
          </w:p>
        </w:tc>
      </w:tr>
      <w:tr>
        <w:trPr>
          <w:trHeight w:val="439"/>
        </w:trPr>
        <w:tc>
          <w:tcPr>
            <w:tcW w:w="4580" w:type="dxa"/>
            <w:vAlign w:val="bottom"/>
          </w:tcPr>
          <w:p>
            <w:pPr>
              <w:jc w:val="center"/>
              <w:ind w:left="952"/>
              <w:spacing w:after="0"/>
              <w:rPr>
                <w:sz w:val="20"/>
                <w:szCs w:val="20"/>
                <w:color w:val="auto"/>
              </w:rPr>
            </w:pPr>
            <w:r>
              <w:rPr>
                <w:rFonts w:ascii="Arial" w:cs="Arial" w:eastAsia="Arial" w:hAnsi="Arial"/>
                <w:sz w:val="18"/>
                <w:szCs w:val="18"/>
                <w:color w:val="auto"/>
                <w:w w:val="91"/>
              </w:rPr>
              <w:t>(State or other jurisdiction of</w:t>
            </w:r>
          </w:p>
        </w:tc>
        <w:tc>
          <w:tcPr>
            <w:tcW w:w="1920" w:type="dxa"/>
            <w:vAlign w:val="bottom"/>
          </w:tcPr>
          <w:p>
            <w:pPr>
              <w:spacing w:after="0"/>
              <w:rPr>
                <w:sz w:val="24"/>
                <w:szCs w:val="24"/>
                <w:color w:val="auto"/>
              </w:rPr>
            </w:pPr>
          </w:p>
        </w:tc>
        <w:tc>
          <w:tcPr>
            <w:tcW w:w="4740" w:type="dxa"/>
            <w:vAlign w:val="bottom"/>
          </w:tcPr>
          <w:p>
            <w:pPr>
              <w:jc w:val="center"/>
              <w:ind w:right="912"/>
              <w:spacing w:after="0"/>
              <w:rPr>
                <w:sz w:val="20"/>
                <w:szCs w:val="20"/>
                <w:color w:val="auto"/>
              </w:rPr>
            </w:pPr>
            <w:r>
              <w:rPr>
                <w:rFonts w:ascii="Arial" w:cs="Arial" w:eastAsia="Arial" w:hAnsi="Arial"/>
                <w:sz w:val="18"/>
                <w:szCs w:val="18"/>
                <w:color w:val="auto"/>
                <w:w w:val="92"/>
              </w:rPr>
              <w:t>(I.R.S. Employer</w:t>
            </w:r>
          </w:p>
        </w:tc>
      </w:tr>
      <w:tr>
        <w:trPr>
          <w:trHeight w:val="223"/>
        </w:trPr>
        <w:tc>
          <w:tcPr>
            <w:tcW w:w="4580" w:type="dxa"/>
            <w:vAlign w:val="bottom"/>
          </w:tcPr>
          <w:p>
            <w:pPr>
              <w:jc w:val="center"/>
              <w:ind w:left="952"/>
              <w:spacing w:after="0"/>
              <w:rPr>
                <w:sz w:val="20"/>
                <w:szCs w:val="20"/>
                <w:color w:val="auto"/>
              </w:rPr>
            </w:pPr>
            <w:r>
              <w:rPr>
                <w:rFonts w:ascii="Arial" w:cs="Arial" w:eastAsia="Arial" w:hAnsi="Arial"/>
                <w:sz w:val="18"/>
                <w:szCs w:val="18"/>
                <w:color w:val="auto"/>
                <w:w w:val="91"/>
              </w:rPr>
              <w:t>incorporation or organization)</w:t>
            </w:r>
          </w:p>
        </w:tc>
        <w:tc>
          <w:tcPr>
            <w:tcW w:w="1920" w:type="dxa"/>
            <w:vAlign w:val="bottom"/>
          </w:tcPr>
          <w:p>
            <w:pPr>
              <w:spacing w:after="0"/>
              <w:rPr>
                <w:sz w:val="19"/>
                <w:szCs w:val="19"/>
                <w:color w:val="auto"/>
              </w:rPr>
            </w:pPr>
          </w:p>
        </w:tc>
        <w:tc>
          <w:tcPr>
            <w:tcW w:w="4740" w:type="dxa"/>
            <w:vAlign w:val="bottom"/>
          </w:tcPr>
          <w:p>
            <w:pPr>
              <w:jc w:val="center"/>
              <w:ind w:right="932"/>
              <w:spacing w:after="0"/>
              <w:rPr>
                <w:sz w:val="20"/>
                <w:szCs w:val="20"/>
                <w:color w:val="auto"/>
              </w:rPr>
            </w:pPr>
            <w:r>
              <w:rPr>
                <w:rFonts w:ascii="Arial" w:cs="Arial" w:eastAsia="Arial" w:hAnsi="Arial"/>
                <w:sz w:val="18"/>
                <w:szCs w:val="18"/>
                <w:color w:val="auto"/>
                <w:w w:val="94"/>
              </w:rPr>
              <w:t>Identification No.)</w:t>
            </w:r>
          </w:p>
        </w:tc>
      </w:tr>
      <w:tr>
        <w:trPr>
          <w:trHeight w:val="292"/>
        </w:trPr>
        <w:tc>
          <w:tcPr>
            <w:tcW w:w="6500" w:type="dxa"/>
            <w:vAlign w:val="bottom"/>
            <w:gridSpan w:val="2"/>
          </w:tcPr>
          <w:p>
            <w:pPr>
              <w:jc w:val="center"/>
              <w:ind w:right="792"/>
              <w:spacing w:after="0"/>
              <w:rPr>
                <w:sz w:val="20"/>
                <w:szCs w:val="20"/>
                <w:color w:val="auto"/>
              </w:rPr>
            </w:pPr>
            <w:r>
              <w:rPr>
                <w:rFonts w:ascii="Arial" w:cs="Arial" w:eastAsia="Arial" w:hAnsi="Arial"/>
                <w:sz w:val="18"/>
                <w:szCs w:val="18"/>
                <w:b w:val="1"/>
                <w:bCs w:val="1"/>
                <w:color w:val="auto"/>
                <w:w w:val="89"/>
              </w:rPr>
              <w:t>333 Ludlow Street, North Tower, 8th Floor Stamford, Connecticut</w:t>
            </w:r>
          </w:p>
        </w:tc>
        <w:tc>
          <w:tcPr>
            <w:tcW w:w="4740" w:type="dxa"/>
            <w:vAlign w:val="bottom"/>
          </w:tcPr>
          <w:p>
            <w:pPr>
              <w:jc w:val="center"/>
              <w:ind w:right="932"/>
              <w:spacing w:after="0"/>
              <w:rPr>
                <w:sz w:val="20"/>
                <w:szCs w:val="20"/>
                <w:color w:val="auto"/>
              </w:rPr>
            </w:pPr>
            <w:r>
              <w:rPr>
                <w:rFonts w:ascii="Arial" w:cs="Arial" w:eastAsia="Arial" w:hAnsi="Arial"/>
                <w:sz w:val="18"/>
                <w:szCs w:val="18"/>
                <w:b w:val="1"/>
                <w:bCs w:val="1"/>
                <w:color w:val="auto"/>
                <w:w w:val="87"/>
              </w:rPr>
              <w:t>06902</w:t>
            </w:r>
          </w:p>
        </w:tc>
      </w:tr>
      <w:tr>
        <w:trPr>
          <w:trHeight w:val="238"/>
        </w:trPr>
        <w:tc>
          <w:tcPr>
            <w:tcW w:w="4580" w:type="dxa"/>
            <w:vAlign w:val="bottom"/>
          </w:tcPr>
          <w:p>
            <w:pPr>
              <w:jc w:val="center"/>
              <w:ind w:left="932"/>
              <w:spacing w:after="0"/>
              <w:rPr>
                <w:sz w:val="20"/>
                <w:szCs w:val="20"/>
                <w:color w:val="auto"/>
              </w:rPr>
            </w:pPr>
            <w:r>
              <w:rPr>
                <w:rFonts w:ascii="Arial" w:cs="Arial" w:eastAsia="Arial" w:hAnsi="Arial"/>
                <w:sz w:val="18"/>
                <w:szCs w:val="18"/>
                <w:color w:val="auto"/>
                <w:w w:val="91"/>
              </w:rPr>
              <w:t>(Address of Principal Executive Offices)</w:t>
            </w:r>
          </w:p>
        </w:tc>
        <w:tc>
          <w:tcPr>
            <w:tcW w:w="1920" w:type="dxa"/>
            <w:vAlign w:val="bottom"/>
          </w:tcPr>
          <w:p>
            <w:pPr>
              <w:spacing w:after="0"/>
              <w:rPr>
                <w:sz w:val="20"/>
                <w:szCs w:val="20"/>
                <w:color w:val="auto"/>
              </w:rPr>
            </w:pPr>
          </w:p>
        </w:tc>
        <w:tc>
          <w:tcPr>
            <w:tcW w:w="4740" w:type="dxa"/>
            <w:vAlign w:val="bottom"/>
          </w:tcPr>
          <w:p>
            <w:pPr>
              <w:jc w:val="center"/>
              <w:ind w:right="912"/>
              <w:spacing w:after="0"/>
              <w:rPr>
                <w:sz w:val="20"/>
                <w:szCs w:val="20"/>
                <w:color w:val="auto"/>
              </w:rPr>
            </w:pPr>
            <w:r>
              <w:rPr>
                <w:rFonts w:ascii="Arial" w:cs="Arial" w:eastAsia="Arial" w:hAnsi="Arial"/>
                <w:sz w:val="18"/>
                <w:szCs w:val="18"/>
                <w:color w:val="auto"/>
                <w:w w:val="91"/>
              </w:rPr>
              <w:t>(Zip Code)</w:t>
            </w:r>
          </w:p>
        </w:tc>
      </w:tr>
      <w:tr>
        <w:trPr>
          <w:trHeight w:val="413"/>
        </w:trPr>
        <w:tc>
          <w:tcPr>
            <w:tcW w:w="4580" w:type="dxa"/>
            <w:vAlign w:val="bottom"/>
          </w:tcPr>
          <w:p>
            <w:pPr>
              <w:spacing w:after="0"/>
              <w:rPr>
                <w:sz w:val="24"/>
                <w:szCs w:val="24"/>
                <w:color w:val="auto"/>
              </w:rPr>
            </w:pPr>
          </w:p>
        </w:tc>
        <w:tc>
          <w:tcPr>
            <w:tcW w:w="1920" w:type="dxa"/>
            <w:vAlign w:val="bottom"/>
          </w:tcPr>
          <w:p>
            <w:pPr>
              <w:jc w:val="right"/>
              <w:ind w:right="232"/>
              <w:spacing w:after="0"/>
              <w:rPr>
                <w:sz w:val="20"/>
                <w:szCs w:val="20"/>
                <w:color w:val="auto"/>
              </w:rPr>
            </w:pPr>
            <w:r>
              <w:rPr>
                <w:rFonts w:ascii="Arial" w:cs="Arial" w:eastAsia="Arial" w:hAnsi="Arial"/>
                <w:sz w:val="18"/>
                <w:szCs w:val="18"/>
                <w:b w:val="1"/>
                <w:bCs w:val="1"/>
                <w:color w:val="auto"/>
              </w:rPr>
              <w:t>(800) 298-6470</w:t>
            </w:r>
          </w:p>
        </w:tc>
        <w:tc>
          <w:tcPr>
            <w:tcW w:w="4740" w:type="dxa"/>
            <w:vAlign w:val="bottom"/>
          </w:tcPr>
          <w:p>
            <w:pPr>
              <w:spacing w:after="0"/>
              <w:rPr>
                <w:sz w:val="24"/>
                <w:szCs w:val="24"/>
                <w:color w:val="auto"/>
              </w:rPr>
            </w:pPr>
          </w:p>
        </w:tc>
      </w:tr>
      <w:tr>
        <w:trPr>
          <w:trHeight w:val="223"/>
        </w:trPr>
        <w:tc>
          <w:tcPr>
            <w:tcW w:w="11240" w:type="dxa"/>
            <w:vAlign w:val="bottom"/>
            <w:gridSpan w:val="3"/>
          </w:tcPr>
          <w:p>
            <w:pPr>
              <w:jc w:val="center"/>
              <w:spacing w:after="0"/>
              <w:rPr>
                <w:sz w:val="20"/>
                <w:szCs w:val="20"/>
                <w:color w:val="auto"/>
              </w:rPr>
            </w:pPr>
            <w:r>
              <w:rPr>
                <w:rFonts w:ascii="Arial" w:cs="Arial" w:eastAsia="Arial" w:hAnsi="Arial"/>
                <w:sz w:val="18"/>
                <w:szCs w:val="18"/>
                <w:color w:val="auto"/>
                <w:w w:val="87"/>
              </w:rPr>
              <w:t>Registrant's telephone number, including area code</w:t>
            </w:r>
          </w:p>
        </w:tc>
      </w:tr>
      <w:tr>
        <w:trPr>
          <w:trHeight w:val="424"/>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r>
      <w:tr>
        <w:trPr>
          <w:trHeight w:val="218"/>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19"/>
        </w:trPr>
        <w:tc>
          <w:tcPr>
            <w:tcW w:w="45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Class A common stock, par value $0.0001 per share</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SMFR</w:t>
            </w:r>
          </w:p>
        </w:tc>
        <w:tc>
          <w:tcPr>
            <w:tcW w:w="4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The Nasdaq Global Select Market</w:t>
            </w:r>
          </w:p>
        </w:tc>
      </w:tr>
      <w:tr>
        <w:trPr>
          <w:trHeight w:val="165"/>
        </w:trPr>
        <w:tc>
          <w:tcPr>
            <w:tcW w:w="4580" w:type="dxa"/>
            <w:vAlign w:val="bottom"/>
            <w:tcBorders>
              <w:left w:val="single" w:sz="8" w:color="auto"/>
              <w:right w:val="single" w:sz="8" w:color="auto"/>
            </w:tcBorders>
          </w:tcPr>
          <w:p>
            <w:pPr>
              <w:jc w:val="center"/>
              <w:spacing w:after="0" w:line="165" w:lineRule="exact"/>
              <w:rPr>
                <w:sz w:val="20"/>
                <w:szCs w:val="20"/>
                <w:color w:val="auto"/>
              </w:rPr>
            </w:pPr>
            <w:r>
              <w:rPr>
                <w:rFonts w:ascii="Arial" w:cs="Arial" w:eastAsia="Arial" w:hAnsi="Arial"/>
                <w:sz w:val="18"/>
                <w:szCs w:val="18"/>
                <w:b w:val="1"/>
                <w:bCs w:val="1"/>
                <w:color w:val="auto"/>
                <w:w w:val="86"/>
              </w:rPr>
              <w:t>Warrants to purchase one share of Class A common stock,</w:t>
            </w:r>
          </w:p>
        </w:tc>
        <w:tc>
          <w:tcPr>
            <w:tcW w:w="19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8"/>
                <w:szCs w:val="18"/>
                <w:b w:val="1"/>
                <w:bCs w:val="1"/>
                <w:color w:val="auto"/>
                <w:w w:val="99"/>
              </w:rPr>
              <w:t>SMFRW</w:t>
            </w:r>
          </w:p>
        </w:tc>
        <w:tc>
          <w:tcPr>
            <w:tcW w:w="47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8"/>
                <w:szCs w:val="18"/>
                <w:b w:val="1"/>
                <w:bCs w:val="1"/>
                <w:color w:val="auto"/>
                <w:w w:val="90"/>
              </w:rPr>
              <w:t>The Nasdaq Global Select Market</w:t>
            </w:r>
          </w:p>
        </w:tc>
      </w:tr>
      <w:tr>
        <w:trPr>
          <w:trHeight w:val="225"/>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each at an exercise price of $11.50 per share</w:t>
            </w:r>
          </w:p>
        </w:tc>
        <w:tc>
          <w:tcPr>
            <w:tcW w:w="192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19"/>
                <w:szCs w:val="19"/>
                <w:color w:val="auto"/>
              </w:rPr>
            </w:pPr>
          </w:p>
        </w:tc>
      </w:tr>
    </w:tbl>
    <w:p>
      <w:pPr>
        <w:spacing w:after="0" w:line="16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111"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5"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w:t>
      </w:r>
    </w:p>
    <w:p>
      <w:pPr>
        <w:spacing w:after="0" w:line="51" w:lineRule="exact"/>
        <w:rPr>
          <w:sz w:val="24"/>
          <w:szCs w:val="24"/>
          <w:color w:val="auto"/>
        </w:rPr>
      </w:pPr>
    </w:p>
    <w:p>
      <w:pPr>
        <w:spacing w:after="0"/>
        <w:rPr>
          <w:sz w:val="20"/>
          <w:szCs w:val="20"/>
          <w:color w:val="auto"/>
        </w:rPr>
      </w:pPr>
      <w:r>
        <w:rPr>
          <w:rFonts w:ascii="Arial" w:cs="Arial" w:eastAsia="Arial" w:hAnsi="Arial"/>
          <w:sz w:val="15"/>
          <w:szCs w:val="15"/>
          <w:color w:val="auto"/>
        </w:rPr>
        <w:t>be submitted and posted pursuant to Rule 405 of Regulation S-T (§232.405 of this chapter) during the preceding 12 months (or for such shorter period that the</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registrant was required to submit and post such files).</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153" w:lineRule="exact"/>
        <w:rPr>
          <w:sz w:val="24"/>
          <w:szCs w:val="24"/>
          <w:color w:val="auto"/>
        </w:rPr>
      </w:pPr>
    </w:p>
    <w:p>
      <w:pPr>
        <w:jc w:val="both"/>
        <w:ind w:right="20"/>
        <w:spacing w:after="0" w:line="29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1680"/>
              <w:spacing w:after="0"/>
              <w:rPr>
                <w:sz w:val="20"/>
                <w:szCs w:val="20"/>
                <w:color w:val="auto"/>
              </w:rPr>
            </w:pPr>
            <w:r>
              <w:rPr>
                <w:rFonts w:ascii="Arial" w:cs="Arial" w:eastAsia="Arial" w:hAnsi="Arial"/>
                <w:sz w:val="18"/>
                <w:szCs w:val="18"/>
                <w:color w:val="auto"/>
              </w:rPr>
              <w:t>o</w:t>
            </w:r>
          </w:p>
        </w:tc>
        <w:tc>
          <w:tcPr>
            <w:tcW w:w="3700" w:type="dxa"/>
            <w:vAlign w:val="bottom"/>
          </w:tcPr>
          <w:p>
            <w:pPr>
              <w:ind w:left="260"/>
              <w:spacing w:after="0"/>
              <w:rPr>
                <w:sz w:val="20"/>
                <w:szCs w:val="20"/>
                <w:color w:val="auto"/>
              </w:rPr>
            </w:pPr>
            <w:r>
              <w:rPr>
                <w:rFonts w:ascii="Arial" w:cs="Arial" w:eastAsia="Arial" w:hAnsi="Arial"/>
                <w:sz w:val="18"/>
                <w:szCs w:val="18"/>
                <w:color w:val="auto"/>
              </w:rPr>
              <w:t>Accelerated filer</w:t>
            </w:r>
          </w:p>
        </w:tc>
        <w:tc>
          <w:tcPr>
            <w:tcW w:w="1620" w:type="dxa"/>
            <w:vAlign w:val="bottom"/>
          </w:tcPr>
          <w:p>
            <w:pPr>
              <w:ind w:left="1520"/>
              <w:spacing w:after="0"/>
              <w:rPr>
                <w:sz w:val="20"/>
                <w:szCs w:val="20"/>
                <w:color w:val="auto"/>
              </w:rPr>
            </w:pPr>
            <w:r>
              <w:rPr>
                <w:rFonts w:ascii="Arial" w:cs="Arial" w:eastAsia="Arial" w:hAnsi="Arial"/>
                <w:sz w:val="18"/>
                <w:szCs w:val="18"/>
                <w:color w:val="auto"/>
                <w:w w:val="79"/>
              </w:rPr>
              <w:t>o</w:t>
            </w:r>
          </w:p>
        </w:tc>
      </w:tr>
      <w:tr>
        <w:trPr>
          <w:trHeight w:val="265"/>
        </w:trPr>
        <w:tc>
          <w:tcPr>
            <w:tcW w:w="3280" w:type="dxa"/>
            <w:vAlign w:val="bottom"/>
          </w:tcPr>
          <w:p>
            <w:pPr>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1680"/>
              <w:spacing w:after="0"/>
              <w:rPr>
                <w:sz w:val="20"/>
                <w:szCs w:val="20"/>
                <w:color w:val="auto"/>
              </w:rPr>
            </w:pPr>
            <w:r>
              <w:rPr>
                <w:rFonts w:ascii="Arial" w:cs="Arial" w:eastAsia="Arial" w:hAnsi="Arial"/>
                <w:sz w:val="16"/>
                <w:szCs w:val="16"/>
                <w:color w:val="auto"/>
              </w:rPr>
              <w:t>x</w:t>
            </w:r>
          </w:p>
        </w:tc>
        <w:tc>
          <w:tcPr>
            <w:tcW w:w="3700" w:type="dxa"/>
            <w:vAlign w:val="bottom"/>
          </w:tcPr>
          <w:p>
            <w:pPr>
              <w:ind w:left="260"/>
              <w:spacing w:after="0"/>
              <w:rPr>
                <w:sz w:val="20"/>
                <w:szCs w:val="20"/>
                <w:color w:val="auto"/>
              </w:rPr>
            </w:pPr>
            <w:r>
              <w:rPr>
                <w:rFonts w:ascii="Arial" w:cs="Arial" w:eastAsia="Arial" w:hAnsi="Arial"/>
                <w:sz w:val="18"/>
                <w:szCs w:val="18"/>
                <w:color w:val="auto"/>
              </w:rPr>
              <w:t>Smaller reporting company</w:t>
            </w:r>
          </w:p>
        </w:tc>
        <w:tc>
          <w:tcPr>
            <w:tcW w:w="1620" w:type="dxa"/>
            <w:vAlign w:val="bottom"/>
          </w:tcPr>
          <w:p>
            <w:pPr>
              <w:ind w:left="1520"/>
              <w:spacing w:after="0"/>
              <w:rPr>
                <w:sz w:val="20"/>
                <w:szCs w:val="20"/>
                <w:color w:val="auto"/>
              </w:rPr>
            </w:pPr>
            <w:r>
              <w:rPr>
                <w:rFonts w:ascii="Arial" w:cs="Arial" w:eastAsia="Arial" w:hAnsi="Arial"/>
                <w:sz w:val="16"/>
                <w:szCs w:val="16"/>
                <w:color w:val="auto"/>
                <w:w w:val="99"/>
              </w:rPr>
              <w:t>x</w:t>
            </w:r>
          </w:p>
        </w:tc>
      </w:tr>
      <w:tr>
        <w:trPr>
          <w:trHeight w:val="265"/>
        </w:trPr>
        <w:tc>
          <w:tcPr>
            <w:tcW w:w="3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Emerging growth company</w:t>
            </w:r>
          </w:p>
        </w:tc>
        <w:tc>
          <w:tcPr>
            <w:tcW w:w="1620" w:type="dxa"/>
            <w:vAlign w:val="bottom"/>
          </w:tcPr>
          <w:p>
            <w:pPr>
              <w:ind w:left="1520"/>
              <w:spacing w:after="0"/>
              <w:rPr>
                <w:sz w:val="20"/>
                <w:szCs w:val="20"/>
                <w:color w:val="auto"/>
              </w:rPr>
            </w:pPr>
            <w:r>
              <w:rPr>
                <w:rFonts w:ascii="Arial" w:cs="Arial" w:eastAsia="Arial" w:hAnsi="Arial"/>
                <w:sz w:val="16"/>
                <w:szCs w:val="16"/>
                <w:color w:val="auto"/>
                <w:w w:val="99"/>
              </w:rPr>
              <w:t>x</w:t>
            </w:r>
          </w:p>
        </w:tc>
      </w:tr>
    </w:tbl>
    <w:p>
      <w:pPr>
        <w:spacing w:after="0" w:line="21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42" w:orient="portrait"/>
          <w:cols w:equalWidth="0" w:num="1">
            <w:col w:w="11240"/>
          </w:cols>
          <w:pgMar w:left="320" w:top="233" w:right="339" w:bottom="0" w:gutter="0" w:footer="0" w:header="0"/>
        </w:sectPr>
      </w:pPr>
    </w:p>
    <w:bookmarkStart w:id="1" w:name="page2"/>
    <w:bookmarkEnd w:id="1"/>
    <w:p>
      <w:pPr>
        <w:jc w:val="both"/>
        <w:spacing w:after="0" w:line="255"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7252(b)) by the registered public accounting firm that prepared or issued its audit report. o</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aggregate market value of voting common stock held by non-affiliates of the registrant (assuming for purposes of this calculation, without conceding, that all executive officers and directors are “affiliates”) was approximately $515 million as of June 30, 2021, based on the closing sale price of such stock as reported on the Nasdaq Global Select Market.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outstanding 244,959,781 shares of Class A common stock as of March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1276985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322580</wp:posOffset>
            </wp:positionV>
            <wp:extent cx="7059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92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347345</wp:posOffset>
            </wp:positionV>
            <wp:extent cx="7059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5929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60" w:type="dxa"/>
            <w:vAlign w:val="bottom"/>
            <w:gridSpan w:val="11"/>
          </w:tcPr>
          <w:p>
            <w:pPr>
              <w:ind w:left="440"/>
              <w:spacing w:after="0"/>
              <w:rPr>
                <w:sz w:val="20"/>
                <w:szCs w:val="20"/>
                <w:color w:val="auto"/>
              </w:rPr>
            </w:pPr>
            <w:r>
              <w:rPr>
                <w:rFonts w:ascii="Arial" w:cs="Arial" w:eastAsia="Arial" w:hAnsi="Arial"/>
                <w:sz w:val="18"/>
                <w:szCs w:val="18"/>
                <w:b w:val="1"/>
                <w:bCs w:val="1"/>
                <w:color w:val="auto"/>
              </w:rPr>
              <w:t>TABLE OF CONTENTS</w:t>
            </w:r>
          </w:p>
        </w:tc>
        <w:tc>
          <w:tcPr>
            <w:tcW w:w="1440" w:type="dxa"/>
            <w:vAlign w:val="bottom"/>
          </w:tcPr>
          <w:p>
            <w:pPr>
              <w:spacing w:after="0"/>
              <w:rPr>
                <w:sz w:val="19"/>
                <w:szCs w:val="19"/>
                <w:color w:val="auto"/>
              </w:rPr>
            </w:pPr>
          </w:p>
        </w:tc>
      </w:tr>
      <w:tr>
        <w:trPr>
          <w:trHeight w:val="41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ind w:left="940"/>
              <w:spacing w:after="0"/>
              <w:rPr>
                <w:sz w:val="20"/>
                <w:szCs w:val="20"/>
                <w:color w:val="auto"/>
              </w:rPr>
            </w:pPr>
            <w:r>
              <w:rPr>
                <w:rFonts w:ascii="Arial" w:cs="Arial" w:eastAsia="Arial" w:hAnsi="Arial"/>
                <w:sz w:val="18"/>
                <w:szCs w:val="18"/>
                <w:b w:val="1"/>
                <w:bCs w:val="1"/>
                <w:color w:val="auto"/>
              </w:rPr>
              <w:t>Page</w:t>
            </w:r>
          </w:p>
        </w:tc>
      </w:tr>
      <w:tr>
        <w:trPr>
          <w:trHeight w:val="187"/>
        </w:trPr>
        <w:tc>
          <w:tcPr>
            <w:tcW w:w="20" w:type="dxa"/>
            <w:vAlign w:val="bottom"/>
          </w:tcPr>
          <w:p>
            <w:pPr>
              <w:spacing w:after="0"/>
              <w:rPr>
                <w:sz w:val="16"/>
                <w:szCs w:val="16"/>
                <w:color w:val="auto"/>
              </w:rPr>
            </w:pPr>
          </w:p>
        </w:tc>
        <w:tc>
          <w:tcPr>
            <w:tcW w:w="1260" w:type="dxa"/>
            <w:vAlign w:val="bottom"/>
            <w:tcBorders>
              <w:bottom w:val="single" w:sz="8" w:color="0000FF"/>
            </w:tcBorders>
            <w:gridSpan w:val="4"/>
          </w:tcPr>
          <w:p>
            <w:pPr>
              <w:spacing w:after="0" w:line="187"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Explanatory Note</w:t>
              </w:r>
            </w:hyperlink>
          </w:p>
        </w:tc>
        <w:tc>
          <w:tcPr>
            <w:tcW w:w="8520" w:type="dxa"/>
            <w:vAlign w:val="bottom"/>
            <w:gridSpan w:val="28"/>
          </w:tcPr>
          <w:p>
            <w:pPr>
              <w:spacing w:after="0"/>
              <w:rPr>
                <w:sz w:val="16"/>
                <w:szCs w:val="16"/>
                <w:color w:val="auto"/>
              </w:rPr>
            </w:pPr>
          </w:p>
        </w:tc>
        <w:tc>
          <w:tcPr>
            <w:tcW w:w="1440" w:type="dxa"/>
            <w:vAlign w:val="bottom"/>
          </w:tcPr>
          <w:p>
            <w:pPr>
              <w:jc w:val="center"/>
              <w:ind w:left="712"/>
              <w:spacing w:after="0" w:line="187" w:lineRule="exact"/>
              <w:rPr>
                <w:rFonts w:ascii="Arial" w:cs="Arial" w:eastAsia="Arial" w:hAnsi="Arial"/>
                <w:sz w:val="18"/>
                <w:szCs w:val="18"/>
                <w:color w:val="auto"/>
                <w:w w:val="79"/>
              </w:rPr>
            </w:pPr>
            <w:hyperlink w:anchor="page4">
              <w:r>
                <w:rPr>
                  <w:rFonts w:ascii="Arial" w:cs="Arial" w:eastAsia="Arial" w:hAnsi="Arial"/>
                  <w:sz w:val="18"/>
                  <w:szCs w:val="18"/>
                  <w:color w:val="auto"/>
                  <w:w w:val="79"/>
                </w:rPr>
                <w:t>3</w:t>
              </w:r>
            </w:hyperlink>
          </w:p>
        </w:tc>
      </w:tr>
      <w:tr>
        <w:trPr>
          <w:trHeight w:val="205"/>
        </w:trPr>
        <w:tc>
          <w:tcPr>
            <w:tcW w:w="20" w:type="dxa"/>
            <w:vAlign w:val="bottom"/>
          </w:tcPr>
          <w:p>
            <w:pPr>
              <w:spacing w:after="0"/>
              <w:rPr>
                <w:sz w:val="17"/>
                <w:szCs w:val="17"/>
                <w:color w:val="auto"/>
              </w:rPr>
            </w:pPr>
          </w:p>
        </w:tc>
        <w:tc>
          <w:tcPr>
            <w:tcW w:w="4060" w:type="dxa"/>
            <w:vAlign w:val="bottom"/>
            <w:tcBorders>
              <w:bottom w:val="single" w:sz="8" w:color="0000FF"/>
            </w:tcBorders>
            <w:gridSpan w:val="20"/>
          </w:tcPr>
          <w:p>
            <w:pPr>
              <w:spacing w:after="0" w:line="205"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Cautionary Note Regarding Forward Looking Statements</w:t>
              </w:r>
            </w:hyperlink>
          </w:p>
        </w:tc>
        <w:tc>
          <w:tcPr>
            <w:tcW w:w="5720" w:type="dxa"/>
            <w:vAlign w:val="bottom"/>
            <w:gridSpan w:val="12"/>
          </w:tcPr>
          <w:p>
            <w:pPr>
              <w:spacing w:after="0"/>
              <w:rPr>
                <w:sz w:val="17"/>
                <w:szCs w:val="17"/>
                <w:color w:val="auto"/>
              </w:rPr>
            </w:pPr>
          </w:p>
        </w:tc>
        <w:tc>
          <w:tcPr>
            <w:tcW w:w="1440" w:type="dxa"/>
            <w:vAlign w:val="bottom"/>
          </w:tcPr>
          <w:p>
            <w:pPr>
              <w:jc w:val="center"/>
              <w:ind w:left="712"/>
              <w:spacing w:after="0" w:line="205" w:lineRule="exact"/>
              <w:rPr>
                <w:rFonts w:ascii="Arial" w:cs="Arial" w:eastAsia="Arial" w:hAnsi="Arial"/>
                <w:sz w:val="18"/>
                <w:szCs w:val="18"/>
                <w:color w:val="auto"/>
                <w:w w:val="79"/>
              </w:rPr>
            </w:pPr>
            <w:hyperlink w:anchor="page4">
              <w:r>
                <w:rPr>
                  <w:rFonts w:ascii="Arial" w:cs="Arial" w:eastAsia="Arial" w:hAnsi="Arial"/>
                  <w:sz w:val="18"/>
                  <w:szCs w:val="18"/>
                  <w:color w:val="auto"/>
                  <w:w w:val="79"/>
                </w:rPr>
                <w:t>3</w:t>
              </w:r>
            </w:hyperlink>
          </w:p>
        </w:tc>
      </w:tr>
      <w:tr>
        <w:trPr>
          <w:trHeight w:val="496"/>
        </w:trPr>
        <w:tc>
          <w:tcPr>
            <w:tcW w:w="20" w:type="dxa"/>
            <w:vAlign w:val="bottom"/>
          </w:tcPr>
          <w:p>
            <w:pPr>
              <w:spacing w:after="0"/>
              <w:rPr>
                <w:sz w:val="24"/>
                <w:szCs w:val="24"/>
                <w:color w:val="auto"/>
              </w:rPr>
            </w:pPr>
          </w:p>
        </w:tc>
        <w:tc>
          <w:tcPr>
            <w:tcW w:w="9780" w:type="dxa"/>
            <w:vAlign w:val="bottom"/>
            <w:gridSpan w:val="32"/>
          </w:tcPr>
          <w:p>
            <w:pPr>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PART I</w:t>
              </w:r>
            </w:hyperlink>
          </w:p>
        </w:tc>
        <w:tc>
          <w:tcPr>
            <w:tcW w:w="144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Borders>
              <w:bottom w:val="single" w:sz="8" w:color="0000FF"/>
            </w:tcBorders>
            <w:gridSpan w:val="4"/>
          </w:tcPr>
          <w:p>
            <w:pPr>
              <w:spacing w:after="0" w:line="167"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Item 1. Business</w:t>
              </w:r>
            </w:hyperlink>
          </w:p>
        </w:tc>
        <w:tc>
          <w:tcPr>
            <w:tcW w:w="8200" w:type="dxa"/>
            <w:vAlign w:val="bottom"/>
            <w:gridSpan w:val="27"/>
          </w:tcPr>
          <w:p>
            <w:pPr>
              <w:spacing w:after="0"/>
              <w:rPr>
                <w:sz w:val="16"/>
                <w:szCs w:val="16"/>
                <w:color w:val="auto"/>
              </w:rPr>
            </w:pPr>
          </w:p>
        </w:tc>
        <w:tc>
          <w:tcPr>
            <w:tcW w:w="1440" w:type="dxa"/>
            <w:vAlign w:val="bottom"/>
          </w:tcPr>
          <w:p>
            <w:pPr>
              <w:jc w:val="center"/>
              <w:ind w:left="712"/>
              <w:spacing w:after="0" w:line="167" w:lineRule="exact"/>
              <w:rPr>
                <w:rFonts w:ascii="Arial" w:cs="Arial" w:eastAsia="Arial" w:hAnsi="Arial"/>
                <w:sz w:val="18"/>
                <w:szCs w:val="18"/>
                <w:color w:val="auto"/>
                <w:w w:val="79"/>
              </w:rPr>
            </w:pPr>
            <w:hyperlink w:anchor="page6">
              <w:r>
                <w:rPr>
                  <w:rFonts w:ascii="Arial" w:cs="Arial" w:eastAsia="Arial" w:hAnsi="Arial"/>
                  <w:sz w:val="18"/>
                  <w:szCs w:val="18"/>
                  <w:color w:val="auto"/>
                  <w:w w:val="79"/>
                </w:rPr>
                <w:t>5</w:t>
              </w:r>
            </w:hyperlink>
          </w:p>
        </w:tc>
      </w:tr>
      <w:tr>
        <w:trPr>
          <w:trHeight w:val="21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80" w:type="dxa"/>
            <w:vAlign w:val="bottom"/>
            <w:gridSpan w:val="31"/>
          </w:tcPr>
          <w:p>
            <w:pPr>
              <w:spacing w:after="0" w:line="205" w:lineRule="exact"/>
              <w:rPr>
                <w:rFonts w:ascii="Arial" w:cs="Arial" w:eastAsia="Arial" w:hAnsi="Arial"/>
                <w:sz w:val="18"/>
                <w:szCs w:val="18"/>
                <w:color w:val="0000FF"/>
              </w:rPr>
            </w:pPr>
            <w:hyperlink w:anchor="page31">
              <w:r>
                <w:rPr>
                  <w:rFonts w:ascii="Arial" w:cs="Arial" w:eastAsia="Arial" w:hAnsi="Arial"/>
                  <w:sz w:val="18"/>
                  <w:szCs w:val="18"/>
                  <w:color w:val="0000FF"/>
                </w:rPr>
                <w:t>Item 1A. Risk Factors</w:t>
              </w:r>
            </w:hyperlink>
          </w:p>
        </w:tc>
        <w:tc>
          <w:tcPr>
            <w:tcW w:w="1440" w:type="dxa"/>
            <w:vAlign w:val="bottom"/>
          </w:tcPr>
          <w:p>
            <w:pPr>
              <w:jc w:val="center"/>
              <w:ind w:left="732"/>
              <w:spacing w:after="0" w:line="205" w:lineRule="exact"/>
              <w:rPr>
                <w:rFonts w:ascii="Arial" w:cs="Arial" w:eastAsia="Arial" w:hAnsi="Arial"/>
                <w:sz w:val="18"/>
                <w:szCs w:val="18"/>
                <w:color w:val="auto"/>
                <w:w w:val="89"/>
              </w:rPr>
            </w:pPr>
            <w:hyperlink w:anchor="page31">
              <w:r>
                <w:rPr>
                  <w:rFonts w:ascii="Arial" w:cs="Arial" w:eastAsia="Arial" w:hAnsi="Arial"/>
                  <w:sz w:val="18"/>
                  <w:szCs w:val="18"/>
                  <w:color w:val="auto"/>
                  <w:w w:val="89"/>
                </w:rPr>
                <w:t>30</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80" w:type="dxa"/>
            <w:vAlign w:val="bottom"/>
            <w:tcBorders>
              <w:bottom w:val="single" w:sz="8" w:color="0000FF"/>
            </w:tcBorders>
            <w:gridSpan w:val="14"/>
          </w:tcPr>
          <w:p>
            <w:pPr>
              <w:spacing w:after="0" w:line="205"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Item 1B. Unresolved Staff Comments</w:t>
              </w:r>
            </w:hyperlink>
          </w:p>
        </w:tc>
        <w:tc>
          <w:tcPr>
            <w:tcW w:w="6700" w:type="dxa"/>
            <w:vAlign w:val="bottom"/>
            <w:gridSpan w:val="17"/>
          </w:tcPr>
          <w:p>
            <w:pPr>
              <w:spacing w:after="0"/>
              <w:rPr>
                <w:sz w:val="19"/>
                <w:szCs w:val="19"/>
                <w:color w:val="auto"/>
              </w:rPr>
            </w:pPr>
          </w:p>
        </w:tc>
        <w:tc>
          <w:tcPr>
            <w:tcW w:w="1440" w:type="dxa"/>
            <w:vAlign w:val="bottom"/>
          </w:tcPr>
          <w:p>
            <w:pPr>
              <w:jc w:val="center"/>
              <w:ind w:left="732"/>
              <w:spacing w:after="0" w:line="205" w:lineRule="exact"/>
              <w:rPr>
                <w:rFonts w:ascii="Arial" w:cs="Arial" w:eastAsia="Arial" w:hAnsi="Arial"/>
                <w:sz w:val="18"/>
                <w:szCs w:val="18"/>
                <w:color w:val="auto"/>
                <w:w w:val="89"/>
              </w:rPr>
            </w:pPr>
            <w:hyperlink w:anchor="page81">
              <w:r>
                <w:rPr>
                  <w:rFonts w:ascii="Arial" w:cs="Arial" w:eastAsia="Arial" w:hAnsi="Arial"/>
                  <w:sz w:val="18"/>
                  <w:szCs w:val="18"/>
                  <w:color w:val="auto"/>
                  <w:w w:val="89"/>
                </w:rPr>
                <w:t>80</w:t>
              </w:r>
            </w:hyperlink>
          </w:p>
        </w:tc>
      </w:tr>
      <w:tr>
        <w:trPr>
          <w:trHeight w:val="21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80" w:type="dxa"/>
            <w:vAlign w:val="bottom"/>
            <w:gridSpan w:val="31"/>
          </w:tcPr>
          <w:p>
            <w:pPr>
              <w:spacing w:after="0" w:line="205" w:lineRule="exact"/>
              <w:rPr>
                <w:rFonts w:ascii="Arial" w:cs="Arial" w:eastAsia="Arial" w:hAnsi="Arial"/>
                <w:sz w:val="18"/>
                <w:szCs w:val="18"/>
                <w:color w:val="0000FF"/>
              </w:rPr>
            </w:pPr>
            <w:hyperlink w:anchor="page81">
              <w:r>
                <w:rPr>
                  <w:rFonts w:ascii="Arial" w:cs="Arial" w:eastAsia="Arial" w:hAnsi="Arial"/>
                  <w:sz w:val="18"/>
                  <w:szCs w:val="18"/>
                  <w:color w:val="0000FF"/>
                </w:rPr>
                <w:t>Item 2. Properties</w:t>
              </w:r>
            </w:hyperlink>
          </w:p>
        </w:tc>
        <w:tc>
          <w:tcPr>
            <w:tcW w:w="1440" w:type="dxa"/>
            <w:vAlign w:val="bottom"/>
          </w:tcPr>
          <w:p>
            <w:pPr>
              <w:jc w:val="center"/>
              <w:ind w:left="732"/>
              <w:spacing w:after="0" w:line="205" w:lineRule="exact"/>
              <w:rPr>
                <w:rFonts w:ascii="Arial" w:cs="Arial" w:eastAsia="Arial" w:hAnsi="Arial"/>
                <w:sz w:val="18"/>
                <w:szCs w:val="18"/>
                <w:color w:val="auto"/>
                <w:w w:val="89"/>
              </w:rPr>
            </w:pPr>
            <w:hyperlink w:anchor="page81">
              <w:r>
                <w:rPr>
                  <w:rFonts w:ascii="Arial" w:cs="Arial" w:eastAsia="Arial" w:hAnsi="Arial"/>
                  <w:sz w:val="18"/>
                  <w:szCs w:val="18"/>
                  <w:color w:val="auto"/>
                  <w:w w:val="89"/>
                </w:rPr>
                <w:t>80</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60" w:type="dxa"/>
            <w:vAlign w:val="bottom"/>
            <w:tcBorders>
              <w:bottom w:val="single" w:sz="8" w:color="0000FF"/>
            </w:tcBorders>
            <w:gridSpan w:val="7"/>
          </w:tcPr>
          <w:p>
            <w:pPr>
              <w:spacing w:after="0" w:line="205" w:lineRule="exact"/>
              <w:rPr>
                <w:rFonts w:ascii="Arial" w:cs="Arial" w:eastAsia="Arial" w:hAnsi="Arial"/>
                <w:sz w:val="18"/>
                <w:szCs w:val="18"/>
                <w:color w:val="0000FF"/>
                <w:w w:val="87"/>
              </w:rPr>
            </w:pPr>
            <w:hyperlink w:anchor="page82">
              <w:r>
                <w:rPr>
                  <w:rFonts w:ascii="Arial" w:cs="Arial" w:eastAsia="Arial" w:hAnsi="Arial"/>
                  <w:sz w:val="18"/>
                  <w:szCs w:val="18"/>
                  <w:color w:val="0000FF"/>
                  <w:w w:val="87"/>
                </w:rPr>
                <w:t>Item 3. Legal Proceedings</w:t>
              </w:r>
            </w:hyperlink>
          </w:p>
        </w:tc>
        <w:tc>
          <w:tcPr>
            <w:tcW w:w="7520" w:type="dxa"/>
            <w:vAlign w:val="bottom"/>
            <w:gridSpan w:val="24"/>
          </w:tcPr>
          <w:p>
            <w:pPr>
              <w:spacing w:after="0"/>
              <w:rPr>
                <w:sz w:val="19"/>
                <w:szCs w:val="19"/>
                <w:color w:val="auto"/>
              </w:rPr>
            </w:pPr>
          </w:p>
        </w:tc>
        <w:tc>
          <w:tcPr>
            <w:tcW w:w="1440" w:type="dxa"/>
            <w:vAlign w:val="bottom"/>
          </w:tcPr>
          <w:p>
            <w:pPr>
              <w:jc w:val="center"/>
              <w:ind w:left="732"/>
              <w:spacing w:after="0" w:line="205" w:lineRule="exact"/>
              <w:rPr>
                <w:rFonts w:ascii="Arial" w:cs="Arial" w:eastAsia="Arial" w:hAnsi="Arial"/>
                <w:sz w:val="18"/>
                <w:szCs w:val="18"/>
                <w:color w:val="auto"/>
                <w:w w:val="89"/>
              </w:rPr>
            </w:pPr>
            <w:hyperlink w:anchor="page82">
              <w:r>
                <w:rPr>
                  <w:rFonts w:ascii="Arial" w:cs="Arial" w:eastAsia="Arial" w:hAnsi="Arial"/>
                  <w:sz w:val="18"/>
                  <w:szCs w:val="18"/>
                  <w:color w:val="auto"/>
                  <w:w w:val="89"/>
                </w:rPr>
                <w:t>81</w:t>
              </w:r>
            </w:hyperlink>
          </w:p>
        </w:tc>
      </w:tr>
      <w:tr>
        <w:trPr>
          <w:trHeight w:val="21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80" w:type="dxa"/>
            <w:vAlign w:val="bottom"/>
            <w:gridSpan w:val="31"/>
          </w:tcPr>
          <w:p>
            <w:pPr>
              <w:spacing w:after="0" w:line="205" w:lineRule="exact"/>
              <w:rPr>
                <w:rFonts w:ascii="Arial" w:cs="Arial" w:eastAsia="Arial" w:hAnsi="Arial"/>
                <w:sz w:val="18"/>
                <w:szCs w:val="18"/>
                <w:color w:val="0000FF"/>
              </w:rPr>
            </w:pPr>
            <w:hyperlink w:anchor="page82">
              <w:r>
                <w:rPr>
                  <w:rFonts w:ascii="Arial" w:cs="Arial" w:eastAsia="Arial" w:hAnsi="Arial"/>
                  <w:sz w:val="18"/>
                  <w:szCs w:val="18"/>
                  <w:color w:val="0000FF"/>
                </w:rPr>
                <w:t>Item 4. Mine Safety Disclosures</w:t>
              </w:r>
            </w:hyperlink>
          </w:p>
        </w:tc>
        <w:tc>
          <w:tcPr>
            <w:tcW w:w="1440" w:type="dxa"/>
            <w:vAlign w:val="bottom"/>
          </w:tcPr>
          <w:p>
            <w:pPr>
              <w:jc w:val="center"/>
              <w:ind w:left="732"/>
              <w:spacing w:after="0" w:line="205" w:lineRule="exact"/>
              <w:rPr>
                <w:rFonts w:ascii="Arial" w:cs="Arial" w:eastAsia="Arial" w:hAnsi="Arial"/>
                <w:sz w:val="18"/>
                <w:szCs w:val="18"/>
                <w:color w:val="auto"/>
                <w:w w:val="89"/>
              </w:rPr>
            </w:pPr>
            <w:hyperlink w:anchor="page82">
              <w:r>
                <w:rPr>
                  <w:rFonts w:ascii="Arial" w:cs="Arial" w:eastAsia="Arial" w:hAnsi="Arial"/>
                  <w:sz w:val="18"/>
                  <w:szCs w:val="18"/>
                  <w:color w:val="auto"/>
                  <w:w w:val="89"/>
                </w:rPr>
                <w:t>81</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509"/>
        </w:trPr>
        <w:tc>
          <w:tcPr>
            <w:tcW w:w="20" w:type="dxa"/>
            <w:vAlign w:val="bottom"/>
          </w:tcPr>
          <w:p>
            <w:pPr>
              <w:spacing w:after="0"/>
              <w:rPr>
                <w:sz w:val="24"/>
                <w:szCs w:val="24"/>
                <w:color w:val="auto"/>
              </w:rPr>
            </w:pPr>
          </w:p>
        </w:tc>
        <w:tc>
          <w:tcPr>
            <w:tcW w:w="9780" w:type="dxa"/>
            <w:vAlign w:val="bottom"/>
            <w:gridSpan w:val="32"/>
          </w:tcPr>
          <w:p>
            <w:pPr>
              <w:spacing w:after="0"/>
              <w:rPr>
                <w:rFonts w:ascii="Arial" w:cs="Arial" w:eastAsia="Arial" w:hAnsi="Arial"/>
                <w:sz w:val="18"/>
                <w:szCs w:val="18"/>
                <w:b w:val="1"/>
                <w:bCs w:val="1"/>
                <w:color w:val="auto"/>
              </w:rPr>
            </w:pPr>
            <w:hyperlink w:anchor="page82">
              <w:r>
                <w:rPr>
                  <w:rFonts w:ascii="Arial" w:cs="Arial" w:eastAsia="Arial" w:hAnsi="Arial"/>
                  <w:sz w:val="18"/>
                  <w:szCs w:val="18"/>
                  <w:b w:val="1"/>
                  <w:bCs w:val="1"/>
                  <w:color w:val="auto"/>
                </w:rPr>
                <w:t>PART II</w:t>
              </w:r>
            </w:hyperlink>
          </w:p>
        </w:tc>
        <w:tc>
          <w:tcPr>
            <w:tcW w:w="144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60" w:type="dxa"/>
            <w:vAlign w:val="bottom"/>
            <w:tcBorders>
              <w:bottom w:val="single" w:sz="8" w:color="0000FF"/>
            </w:tcBorders>
            <w:gridSpan w:val="30"/>
          </w:tcPr>
          <w:p>
            <w:pPr>
              <w:spacing w:after="0" w:line="167" w:lineRule="exact"/>
              <w:rPr>
                <w:rFonts w:ascii="Arial" w:cs="Arial" w:eastAsia="Arial" w:hAnsi="Arial"/>
                <w:sz w:val="18"/>
                <w:szCs w:val="18"/>
                <w:color w:val="0000FF"/>
                <w:w w:val="88"/>
              </w:rPr>
            </w:pPr>
            <w:hyperlink w:anchor="page83">
              <w:r>
                <w:rPr>
                  <w:rFonts w:ascii="Arial" w:cs="Arial" w:eastAsia="Arial" w:hAnsi="Arial"/>
                  <w:sz w:val="18"/>
                  <w:szCs w:val="18"/>
                  <w:color w:val="0000FF"/>
                  <w:w w:val="88"/>
                </w:rPr>
                <w:t>Item 5. Market for Registrant's Common Equity, Related Stockholder Matters and Issuer Purchases of Equity Securities</w:t>
              </w:r>
            </w:hyperlink>
          </w:p>
        </w:tc>
        <w:tc>
          <w:tcPr>
            <w:tcW w:w="920" w:type="dxa"/>
            <w:vAlign w:val="bottom"/>
          </w:tcPr>
          <w:p>
            <w:pPr>
              <w:spacing w:after="0"/>
              <w:rPr>
                <w:sz w:val="16"/>
                <w:szCs w:val="16"/>
                <w:color w:val="auto"/>
              </w:rPr>
            </w:pPr>
          </w:p>
        </w:tc>
        <w:tc>
          <w:tcPr>
            <w:tcW w:w="1440" w:type="dxa"/>
            <w:vAlign w:val="bottom"/>
          </w:tcPr>
          <w:p>
            <w:pPr>
              <w:jc w:val="center"/>
              <w:ind w:left="732"/>
              <w:spacing w:after="0" w:line="187" w:lineRule="exact"/>
              <w:rPr>
                <w:rFonts w:ascii="Arial" w:cs="Arial" w:eastAsia="Arial" w:hAnsi="Arial"/>
                <w:sz w:val="18"/>
                <w:szCs w:val="18"/>
                <w:color w:val="auto"/>
                <w:w w:val="89"/>
              </w:rPr>
            </w:pPr>
            <w:hyperlink w:anchor="page83">
              <w:r>
                <w:rPr>
                  <w:rFonts w:ascii="Arial" w:cs="Arial" w:eastAsia="Arial" w:hAnsi="Arial"/>
                  <w:sz w:val="18"/>
                  <w:szCs w:val="18"/>
                  <w:color w:val="auto"/>
                  <w:w w:val="89"/>
                </w:rPr>
                <w:t>82</w:t>
              </w:r>
            </w:hyperlink>
          </w:p>
        </w:tc>
      </w:tr>
      <w:tr>
        <w:trPr>
          <w:trHeight w:val="21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80" w:type="dxa"/>
            <w:vAlign w:val="bottom"/>
            <w:gridSpan w:val="31"/>
          </w:tcPr>
          <w:p>
            <w:pPr>
              <w:spacing w:after="0" w:line="205" w:lineRule="exact"/>
              <w:rPr>
                <w:rFonts w:ascii="Arial" w:cs="Arial" w:eastAsia="Arial" w:hAnsi="Arial"/>
                <w:sz w:val="18"/>
                <w:szCs w:val="18"/>
                <w:color w:val="0000FF"/>
              </w:rPr>
            </w:pPr>
            <w:hyperlink w:anchor="page83">
              <w:r>
                <w:rPr>
                  <w:rFonts w:ascii="Arial" w:cs="Arial" w:eastAsia="Arial" w:hAnsi="Arial"/>
                  <w:sz w:val="18"/>
                  <w:szCs w:val="18"/>
                  <w:color w:val="0000FF"/>
                </w:rPr>
                <w:t>Item 7. Management's Discussion and Analysis of Financial Condition and Results of Operations</w:t>
              </w:r>
            </w:hyperlink>
          </w:p>
        </w:tc>
        <w:tc>
          <w:tcPr>
            <w:tcW w:w="1440" w:type="dxa"/>
            <w:vAlign w:val="bottom"/>
          </w:tcPr>
          <w:p>
            <w:pPr>
              <w:jc w:val="center"/>
              <w:ind w:left="732"/>
              <w:spacing w:after="0" w:line="205" w:lineRule="exact"/>
              <w:rPr>
                <w:rFonts w:ascii="Arial" w:cs="Arial" w:eastAsia="Arial" w:hAnsi="Arial"/>
                <w:sz w:val="18"/>
                <w:szCs w:val="18"/>
                <w:color w:val="auto"/>
                <w:w w:val="89"/>
              </w:rPr>
            </w:pPr>
            <w:hyperlink w:anchor="page83">
              <w:r>
                <w:rPr>
                  <w:rFonts w:ascii="Arial" w:cs="Arial" w:eastAsia="Arial" w:hAnsi="Arial"/>
                  <w:sz w:val="18"/>
                  <w:szCs w:val="18"/>
                  <w:color w:val="auto"/>
                  <w:w w:val="89"/>
                </w:rPr>
                <w:t>82</w:t>
              </w:r>
            </w:hyperlink>
          </w:p>
        </w:tc>
      </w:tr>
      <w:tr>
        <w:trPr>
          <w:trHeight w:val="21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60" w:type="dxa"/>
            <w:vAlign w:val="bottom"/>
            <w:tcBorders>
              <w:top w:val="single" w:sz="8" w:color="0000FF"/>
            </w:tcBorders>
            <w:gridSpan w:val="26"/>
          </w:tcPr>
          <w:p>
            <w:pPr>
              <w:spacing w:after="0" w:line="205" w:lineRule="exact"/>
              <w:rPr>
                <w:rFonts w:ascii="Arial" w:cs="Arial" w:eastAsia="Arial" w:hAnsi="Arial"/>
                <w:sz w:val="18"/>
                <w:szCs w:val="18"/>
                <w:color w:val="0000FF"/>
              </w:rPr>
            </w:pPr>
            <w:hyperlink w:anchor="page107">
              <w:r>
                <w:rPr>
                  <w:rFonts w:ascii="Arial" w:cs="Arial" w:eastAsia="Arial" w:hAnsi="Arial"/>
                  <w:sz w:val="18"/>
                  <w:szCs w:val="18"/>
                  <w:color w:val="0000FF"/>
                </w:rPr>
                <w:t>Item 7A. Quantitative and Qualitative Disclosures About Market Risk</w:t>
              </w:r>
            </w:hyperlink>
          </w:p>
        </w:tc>
        <w:tc>
          <w:tcPr>
            <w:tcW w:w="2520" w:type="dxa"/>
            <w:vAlign w:val="bottom"/>
            <w:gridSpan w:val="5"/>
          </w:tcPr>
          <w:p>
            <w:pPr>
              <w:spacing w:after="0"/>
              <w:rPr>
                <w:sz w:val="19"/>
                <w:szCs w:val="19"/>
                <w:color w:val="auto"/>
              </w:rPr>
            </w:pPr>
          </w:p>
        </w:tc>
        <w:tc>
          <w:tcPr>
            <w:tcW w:w="1440" w:type="dxa"/>
            <w:vAlign w:val="bottom"/>
          </w:tcPr>
          <w:p>
            <w:pPr>
              <w:jc w:val="center"/>
              <w:ind w:left="732"/>
              <w:spacing w:after="0" w:line="205" w:lineRule="exact"/>
              <w:rPr>
                <w:rFonts w:ascii="Arial" w:cs="Arial" w:eastAsia="Arial" w:hAnsi="Arial"/>
                <w:sz w:val="18"/>
                <w:szCs w:val="18"/>
                <w:color w:val="auto"/>
                <w:w w:val="86"/>
              </w:rPr>
            </w:pPr>
            <w:hyperlink w:anchor="page107">
              <w:r>
                <w:rPr>
                  <w:rFonts w:ascii="Arial" w:cs="Arial" w:eastAsia="Arial" w:hAnsi="Arial"/>
                  <w:sz w:val="18"/>
                  <w:szCs w:val="18"/>
                  <w:color w:val="auto"/>
                  <w:w w:val="86"/>
                </w:rPr>
                <w:t>106</w:t>
              </w:r>
            </w:hyperlink>
          </w:p>
        </w:tc>
      </w:tr>
      <w:tr>
        <w:trPr>
          <w:trHeight w:val="21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20" w:type="dxa"/>
            <w:vAlign w:val="bottom"/>
            <w:tcBorders>
              <w:top w:val="single" w:sz="8" w:color="0000FF"/>
              <w:bottom w:val="single" w:sz="8" w:color="0000FF"/>
            </w:tcBorders>
            <w:gridSpan w:val="20"/>
          </w:tcPr>
          <w:p>
            <w:pPr>
              <w:spacing w:after="0" w:line="205" w:lineRule="exact"/>
              <w:rPr>
                <w:rFonts w:ascii="Arial" w:cs="Arial" w:eastAsia="Arial" w:hAnsi="Arial"/>
                <w:sz w:val="18"/>
                <w:szCs w:val="18"/>
                <w:color w:val="0000FF"/>
                <w:w w:val="87"/>
              </w:rPr>
            </w:pPr>
            <w:hyperlink w:anchor="page107">
              <w:r>
                <w:rPr>
                  <w:rFonts w:ascii="Arial" w:cs="Arial" w:eastAsia="Arial" w:hAnsi="Arial"/>
                  <w:sz w:val="18"/>
                  <w:szCs w:val="18"/>
                  <w:color w:val="0000FF"/>
                  <w:w w:val="87"/>
                </w:rPr>
                <w:t>Item 8. Financial Statements and Supplementary Data</w:t>
              </w:r>
            </w:hyperlink>
          </w:p>
        </w:tc>
        <w:tc>
          <w:tcPr>
            <w:tcW w:w="1120" w:type="dxa"/>
            <w:vAlign w:val="bottom"/>
            <w:tcBorders>
              <w:top w:val="single" w:sz="8" w:color="0000FF"/>
            </w:tcBorders>
            <w:gridSpan w:val="3"/>
          </w:tcPr>
          <w:p>
            <w:pPr>
              <w:spacing w:after="0"/>
              <w:rPr>
                <w:sz w:val="19"/>
                <w:szCs w:val="19"/>
                <w:color w:val="auto"/>
              </w:rPr>
            </w:pPr>
          </w:p>
        </w:tc>
        <w:tc>
          <w:tcPr>
            <w:tcW w:w="4440" w:type="dxa"/>
            <w:vAlign w:val="bottom"/>
            <w:gridSpan w:val="8"/>
          </w:tcPr>
          <w:p>
            <w:pPr>
              <w:spacing w:after="0"/>
              <w:rPr>
                <w:sz w:val="19"/>
                <w:szCs w:val="19"/>
                <w:color w:val="auto"/>
              </w:rPr>
            </w:pPr>
          </w:p>
        </w:tc>
        <w:tc>
          <w:tcPr>
            <w:tcW w:w="1440" w:type="dxa"/>
            <w:vAlign w:val="bottom"/>
          </w:tcPr>
          <w:p>
            <w:pPr>
              <w:jc w:val="center"/>
              <w:ind w:left="732"/>
              <w:spacing w:after="0" w:line="205" w:lineRule="exact"/>
              <w:rPr>
                <w:rFonts w:ascii="Arial" w:cs="Arial" w:eastAsia="Arial" w:hAnsi="Arial"/>
                <w:sz w:val="18"/>
                <w:szCs w:val="18"/>
                <w:color w:val="auto"/>
                <w:w w:val="86"/>
              </w:rPr>
            </w:pPr>
            <w:hyperlink w:anchor="page107">
              <w:r>
                <w:rPr>
                  <w:rFonts w:ascii="Arial" w:cs="Arial" w:eastAsia="Arial" w:hAnsi="Arial"/>
                  <w:sz w:val="18"/>
                  <w:szCs w:val="18"/>
                  <w:color w:val="auto"/>
                  <w:w w:val="86"/>
                </w:rPr>
                <w:t>107</w:t>
              </w:r>
            </w:hyperlink>
          </w:p>
        </w:tc>
      </w:tr>
      <w:tr>
        <w:trPr>
          <w:trHeight w:val="21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300" w:type="dxa"/>
            <w:vAlign w:val="bottom"/>
            <w:gridSpan w:val="30"/>
          </w:tcPr>
          <w:p>
            <w:pPr>
              <w:spacing w:after="0" w:line="205" w:lineRule="exact"/>
              <w:rPr>
                <w:rFonts w:ascii="Arial" w:cs="Arial" w:eastAsia="Arial" w:hAnsi="Arial"/>
                <w:sz w:val="18"/>
                <w:szCs w:val="18"/>
                <w:color w:val="0000FF"/>
              </w:rPr>
            </w:pPr>
            <w:r>
              <w:rPr>
                <w:rFonts w:ascii="Arial" w:cs="Arial" w:eastAsia="Arial" w:hAnsi="Arial"/>
                <w:sz w:val="18"/>
                <w:szCs w:val="18"/>
                <w:color w:val="0000FF"/>
              </w:rPr>
              <w:t xml:space="preserve">Consolidated </w:t>
            </w:r>
            <w:hyperlink w:anchor="page109">
              <w:r>
                <w:rPr>
                  <w:rFonts w:ascii="Arial" w:cs="Arial" w:eastAsia="Arial" w:hAnsi="Arial"/>
                  <w:sz w:val="18"/>
                  <w:szCs w:val="18"/>
                  <w:color w:val="0000FF"/>
                </w:rPr>
                <w:t>Balance Sheets</w:t>
              </w:r>
            </w:hyperlink>
          </w:p>
        </w:tc>
        <w:tc>
          <w:tcPr>
            <w:tcW w:w="1440" w:type="dxa"/>
            <w:vAlign w:val="bottom"/>
          </w:tcPr>
          <w:p>
            <w:pPr>
              <w:jc w:val="center"/>
              <w:ind w:left="732"/>
              <w:spacing w:after="0" w:line="205" w:lineRule="exact"/>
              <w:rPr>
                <w:rFonts w:ascii="Arial" w:cs="Arial" w:eastAsia="Arial" w:hAnsi="Arial"/>
                <w:sz w:val="18"/>
                <w:szCs w:val="18"/>
                <w:color w:val="auto"/>
                <w:w w:val="86"/>
              </w:rPr>
            </w:pPr>
            <w:hyperlink w:anchor="page109">
              <w:r>
                <w:rPr>
                  <w:rFonts w:ascii="Arial" w:cs="Arial" w:eastAsia="Arial" w:hAnsi="Arial"/>
                  <w:sz w:val="18"/>
                  <w:szCs w:val="18"/>
                  <w:color w:val="auto"/>
                  <w:w w:val="86"/>
                </w:rPr>
                <w:t>109</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Borders>
              <w:bottom w:val="single" w:sz="8" w:color="0000FF"/>
            </w:tcBorders>
            <w:gridSpan w:val="21"/>
          </w:tcPr>
          <w:p>
            <w:pPr>
              <w:spacing w:after="0" w:line="205" w:lineRule="exact"/>
              <w:rPr>
                <w:rFonts w:ascii="Arial" w:cs="Arial" w:eastAsia="Arial" w:hAnsi="Arial"/>
                <w:sz w:val="18"/>
                <w:szCs w:val="18"/>
                <w:color w:val="0000FF"/>
                <w:w w:val="87"/>
              </w:rPr>
            </w:pPr>
            <w:hyperlink w:anchor="page111">
              <w:r>
                <w:rPr>
                  <w:rFonts w:ascii="Arial" w:cs="Arial" w:eastAsia="Arial" w:hAnsi="Arial"/>
                  <w:sz w:val="18"/>
                  <w:szCs w:val="18"/>
                  <w:color w:val="0000FF"/>
                  <w:w w:val="87"/>
                </w:rPr>
                <w:t>Consolidated Statements of Operations and Comprehensive Loss</w:t>
              </w:r>
            </w:hyperlink>
          </w:p>
        </w:tc>
        <w:tc>
          <w:tcPr>
            <w:tcW w:w="780" w:type="dxa"/>
            <w:vAlign w:val="bottom"/>
            <w:gridSpan w:val="2"/>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spacing w:after="0"/>
              <w:rPr>
                <w:sz w:val="19"/>
                <w:szCs w:val="19"/>
                <w:color w:val="auto"/>
              </w:rPr>
            </w:pPr>
          </w:p>
        </w:tc>
        <w:tc>
          <w:tcPr>
            <w:tcW w:w="1440" w:type="dxa"/>
            <w:vAlign w:val="bottom"/>
          </w:tcPr>
          <w:p>
            <w:pPr>
              <w:jc w:val="center"/>
              <w:ind w:left="732"/>
              <w:spacing w:after="0"/>
              <w:rPr>
                <w:rFonts w:ascii="Arial" w:cs="Arial" w:eastAsia="Arial" w:hAnsi="Arial"/>
                <w:sz w:val="18"/>
                <w:szCs w:val="18"/>
                <w:color w:val="auto"/>
                <w:w w:val="86"/>
              </w:rPr>
            </w:pPr>
            <w:hyperlink w:anchor="page111">
              <w:r>
                <w:rPr>
                  <w:rFonts w:ascii="Arial" w:cs="Arial" w:eastAsia="Arial" w:hAnsi="Arial"/>
                  <w:sz w:val="18"/>
                  <w:szCs w:val="18"/>
                  <w:color w:val="auto"/>
                  <w:w w:val="86"/>
                </w:rPr>
                <w:t>111</w:t>
              </w:r>
            </w:hyperlink>
          </w:p>
        </w:tc>
      </w:tr>
      <w:tr>
        <w:trPr>
          <w:trHeight w:val="21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300" w:type="dxa"/>
            <w:vAlign w:val="bottom"/>
            <w:gridSpan w:val="30"/>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Consolidated Statement of Redeemable Convertible Preferred Stock and Stockholders' Equity (Deficit</w:t>
              </w:r>
            </w:hyperlink>
            <w:r>
              <w:rPr>
                <w:rFonts w:ascii="Arial" w:cs="Arial" w:eastAsia="Arial" w:hAnsi="Arial"/>
                <w:sz w:val="18"/>
                <w:szCs w:val="18"/>
                <w:color w:val="000000"/>
              </w:rPr>
              <w:t>)</w:t>
            </w:r>
          </w:p>
        </w:tc>
        <w:tc>
          <w:tcPr>
            <w:tcW w:w="1440" w:type="dxa"/>
            <w:vAlign w:val="bottom"/>
          </w:tcPr>
          <w:p>
            <w:pPr>
              <w:jc w:val="center"/>
              <w:ind w:left="732"/>
              <w:spacing w:after="0"/>
              <w:rPr>
                <w:rFonts w:ascii="Arial" w:cs="Arial" w:eastAsia="Arial" w:hAnsi="Arial"/>
                <w:sz w:val="18"/>
                <w:szCs w:val="18"/>
                <w:color w:val="auto"/>
                <w:w w:val="86"/>
              </w:rPr>
            </w:pPr>
            <w:hyperlink w:anchor="page112">
              <w:r>
                <w:rPr>
                  <w:rFonts w:ascii="Arial" w:cs="Arial" w:eastAsia="Arial" w:hAnsi="Arial"/>
                  <w:sz w:val="18"/>
                  <w:szCs w:val="18"/>
                  <w:color w:val="auto"/>
                  <w:w w:val="86"/>
                </w:rPr>
                <w:t>112</w:t>
              </w:r>
            </w:hyperlink>
          </w:p>
        </w:tc>
      </w:tr>
      <w:tr>
        <w:trPr>
          <w:trHeight w:val="21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tcBorders>
              <w:top w:val="single" w:sz="8" w:color="0000FF"/>
              <w:bottom w:val="single" w:sz="8" w:color="0000FF"/>
            </w:tcBorders>
            <w:gridSpan w:val="14"/>
          </w:tcPr>
          <w:p>
            <w:pPr>
              <w:spacing w:after="0" w:line="205" w:lineRule="exact"/>
              <w:rPr>
                <w:rFonts w:ascii="Arial" w:cs="Arial" w:eastAsia="Arial" w:hAnsi="Arial"/>
                <w:sz w:val="18"/>
                <w:szCs w:val="18"/>
                <w:color w:val="0000FF"/>
                <w:w w:val="87"/>
              </w:rPr>
            </w:pPr>
            <w:hyperlink w:anchor="page113">
              <w:r>
                <w:rPr>
                  <w:rFonts w:ascii="Arial" w:cs="Arial" w:eastAsia="Arial" w:hAnsi="Arial"/>
                  <w:sz w:val="18"/>
                  <w:szCs w:val="18"/>
                  <w:color w:val="0000FF"/>
                  <w:w w:val="87"/>
                </w:rPr>
                <w:t>Consolidated Statements of Cash Flows</w:t>
              </w:r>
            </w:hyperlink>
          </w:p>
        </w:tc>
        <w:tc>
          <w:tcPr>
            <w:tcW w:w="4400" w:type="dxa"/>
            <w:vAlign w:val="bottom"/>
            <w:tcBorders>
              <w:top w:val="single" w:sz="8" w:color="0000FF"/>
            </w:tcBorders>
            <w:gridSpan w:val="13"/>
          </w:tcPr>
          <w:p>
            <w:pPr>
              <w:spacing w:after="0"/>
              <w:rPr>
                <w:sz w:val="19"/>
                <w:szCs w:val="19"/>
                <w:color w:val="auto"/>
              </w:rPr>
            </w:pPr>
          </w:p>
        </w:tc>
        <w:tc>
          <w:tcPr>
            <w:tcW w:w="2080" w:type="dxa"/>
            <w:vAlign w:val="bottom"/>
            <w:gridSpan w:val="3"/>
          </w:tcPr>
          <w:p>
            <w:pPr>
              <w:spacing w:after="0"/>
              <w:rPr>
                <w:sz w:val="19"/>
                <w:szCs w:val="19"/>
                <w:color w:val="auto"/>
              </w:rPr>
            </w:pPr>
          </w:p>
        </w:tc>
        <w:tc>
          <w:tcPr>
            <w:tcW w:w="1440" w:type="dxa"/>
            <w:vAlign w:val="bottom"/>
          </w:tcPr>
          <w:p>
            <w:pPr>
              <w:jc w:val="center"/>
              <w:ind w:left="732"/>
              <w:spacing w:after="0" w:line="205" w:lineRule="exact"/>
              <w:rPr>
                <w:rFonts w:ascii="Arial" w:cs="Arial" w:eastAsia="Arial" w:hAnsi="Arial"/>
                <w:sz w:val="18"/>
                <w:szCs w:val="18"/>
                <w:color w:val="auto"/>
                <w:w w:val="86"/>
              </w:rPr>
            </w:pPr>
            <w:hyperlink w:anchor="page113">
              <w:r>
                <w:rPr>
                  <w:rFonts w:ascii="Arial" w:cs="Arial" w:eastAsia="Arial" w:hAnsi="Arial"/>
                  <w:sz w:val="18"/>
                  <w:szCs w:val="18"/>
                  <w:color w:val="auto"/>
                  <w:w w:val="86"/>
                </w:rPr>
                <w:t>113</w:t>
              </w:r>
            </w:hyperlink>
          </w:p>
        </w:tc>
      </w:tr>
      <w:tr>
        <w:trPr>
          <w:trHeight w:val="39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Borders>
              <w:bottom w:val="single" w:sz="8" w:color="0000FF"/>
            </w:tcBorders>
            <w:gridSpan w:val="15"/>
          </w:tcPr>
          <w:p>
            <w:pPr>
              <w:spacing w:after="0"/>
              <w:rPr>
                <w:rFonts w:ascii="Arial" w:cs="Arial" w:eastAsia="Arial" w:hAnsi="Arial"/>
                <w:sz w:val="18"/>
                <w:szCs w:val="18"/>
                <w:color w:val="0000FF"/>
                <w:w w:val="87"/>
              </w:rPr>
            </w:pPr>
            <w:hyperlink w:anchor="page115">
              <w:r>
                <w:rPr>
                  <w:rFonts w:ascii="Arial" w:cs="Arial" w:eastAsia="Arial" w:hAnsi="Arial"/>
                  <w:sz w:val="18"/>
                  <w:szCs w:val="18"/>
                  <w:color w:val="0000FF"/>
                  <w:w w:val="87"/>
                </w:rPr>
                <w:t>Notes to Consolidated Financial Statements</w:t>
              </w:r>
            </w:hyperlink>
          </w:p>
        </w:tc>
        <w:tc>
          <w:tcPr>
            <w:tcW w:w="6200" w:type="dxa"/>
            <w:vAlign w:val="bottom"/>
            <w:gridSpan w:val="15"/>
          </w:tcPr>
          <w:p>
            <w:pPr>
              <w:spacing w:after="0"/>
              <w:rPr>
                <w:sz w:val="24"/>
                <w:szCs w:val="24"/>
                <w:color w:val="auto"/>
              </w:rPr>
            </w:pPr>
          </w:p>
        </w:tc>
        <w:tc>
          <w:tcPr>
            <w:tcW w:w="1440" w:type="dxa"/>
            <w:vAlign w:val="bottom"/>
          </w:tcPr>
          <w:p>
            <w:pPr>
              <w:jc w:val="center"/>
              <w:ind w:left="732"/>
              <w:spacing w:after="0"/>
              <w:rPr>
                <w:rFonts w:ascii="Arial" w:cs="Arial" w:eastAsia="Arial" w:hAnsi="Arial"/>
                <w:sz w:val="18"/>
                <w:szCs w:val="18"/>
                <w:color w:val="auto"/>
                <w:w w:val="86"/>
              </w:rPr>
            </w:pPr>
            <w:hyperlink w:anchor="page115">
              <w:r>
                <w:rPr>
                  <w:rFonts w:ascii="Arial" w:cs="Arial" w:eastAsia="Arial" w:hAnsi="Arial"/>
                  <w:sz w:val="18"/>
                  <w:szCs w:val="18"/>
                  <w:color w:val="auto"/>
                  <w:w w:val="86"/>
                </w:rPr>
                <w:t>115</w:t>
              </w:r>
            </w:hyperlink>
          </w:p>
        </w:tc>
      </w:tr>
      <w:tr>
        <w:trPr>
          <w:trHeight w:val="21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80" w:type="dxa"/>
            <w:vAlign w:val="bottom"/>
            <w:gridSpan w:val="31"/>
          </w:tcPr>
          <w:p>
            <w:pPr>
              <w:spacing w:after="0" w:line="205" w:lineRule="exact"/>
              <w:rPr>
                <w:rFonts w:ascii="Arial" w:cs="Arial" w:eastAsia="Arial" w:hAnsi="Arial"/>
                <w:sz w:val="18"/>
                <w:szCs w:val="18"/>
                <w:color w:val="0000FF"/>
              </w:rPr>
            </w:pPr>
            <w:hyperlink w:anchor="page146">
              <w:r>
                <w:rPr>
                  <w:rFonts w:ascii="Arial" w:cs="Arial" w:eastAsia="Arial" w:hAnsi="Arial"/>
                  <w:sz w:val="18"/>
                  <w:szCs w:val="18"/>
                  <w:color w:val="0000FF"/>
                </w:rPr>
                <w:t>Item 9. Changes in and Disagreements With Accountants on Accounting and Financial Disclosures</w:t>
              </w:r>
            </w:hyperlink>
          </w:p>
        </w:tc>
        <w:tc>
          <w:tcPr>
            <w:tcW w:w="1440" w:type="dxa"/>
            <w:vAlign w:val="bottom"/>
          </w:tcPr>
          <w:p>
            <w:pPr>
              <w:jc w:val="center"/>
              <w:ind w:left="732"/>
              <w:spacing w:after="0" w:line="205" w:lineRule="exact"/>
              <w:rPr>
                <w:rFonts w:ascii="Arial" w:cs="Arial" w:eastAsia="Arial" w:hAnsi="Arial"/>
                <w:sz w:val="18"/>
                <w:szCs w:val="18"/>
                <w:color w:val="auto"/>
                <w:w w:val="86"/>
              </w:rPr>
            </w:pPr>
            <w:hyperlink w:anchor="page146">
              <w:r>
                <w:rPr>
                  <w:rFonts w:ascii="Arial" w:cs="Arial" w:eastAsia="Arial" w:hAnsi="Arial"/>
                  <w:sz w:val="18"/>
                  <w:szCs w:val="18"/>
                  <w:color w:val="auto"/>
                  <w:w w:val="86"/>
                </w:rPr>
                <w:t>146</w:t>
              </w:r>
            </w:hyperlink>
          </w:p>
        </w:tc>
      </w:tr>
      <w:tr>
        <w:trPr>
          <w:trHeight w:val="21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20" w:type="dxa"/>
            <w:vAlign w:val="bottom"/>
            <w:tcBorders>
              <w:top w:val="single" w:sz="8" w:color="0000FF"/>
              <w:bottom w:val="single" w:sz="8" w:color="0000FF"/>
            </w:tcBorders>
            <w:gridSpan w:val="13"/>
          </w:tcPr>
          <w:p>
            <w:pPr>
              <w:spacing w:after="0" w:line="205" w:lineRule="exact"/>
              <w:rPr>
                <w:rFonts w:ascii="Arial" w:cs="Arial" w:eastAsia="Arial" w:hAnsi="Arial"/>
                <w:sz w:val="18"/>
                <w:szCs w:val="18"/>
                <w:color w:val="0000FF"/>
                <w:w w:val="88"/>
              </w:rPr>
            </w:pPr>
            <w:hyperlink w:anchor="page147">
              <w:r>
                <w:rPr>
                  <w:rFonts w:ascii="Arial" w:cs="Arial" w:eastAsia="Arial" w:hAnsi="Arial"/>
                  <w:sz w:val="18"/>
                  <w:szCs w:val="18"/>
                  <w:color w:val="0000FF"/>
                  <w:w w:val="88"/>
                </w:rPr>
                <w:t>Item 9A. Controls and Procedures</w:t>
              </w:r>
            </w:hyperlink>
          </w:p>
        </w:tc>
        <w:tc>
          <w:tcPr>
            <w:tcW w:w="4580" w:type="dxa"/>
            <w:vAlign w:val="bottom"/>
            <w:tcBorders>
              <w:top w:val="single" w:sz="8" w:color="0000FF"/>
            </w:tcBorders>
            <w:gridSpan w:val="14"/>
          </w:tcPr>
          <w:p>
            <w:pPr>
              <w:spacing w:after="0"/>
              <w:rPr>
                <w:sz w:val="19"/>
                <w:szCs w:val="19"/>
                <w:color w:val="auto"/>
              </w:rPr>
            </w:pPr>
          </w:p>
        </w:tc>
        <w:tc>
          <w:tcPr>
            <w:tcW w:w="2380" w:type="dxa"/>
            <w:vAlign w:val="bottom"/>
            <w:gridSpan w:val="4"/>
          </w:tcPr>
          <w:p>
            <w:pPr>
              <w:spacing w:after="0"/>
              <w:rPr>
                <w:sz w:val="19"/>
                <w:szCs w:val="19"/>
                <w:color w:val="auto"/>
              </w:rPr>
            </w:pPr>
          </w:p>
        </w:tc>
        <w:tc>
          <w:tcPr>
            <w:tcW w:w="1440" w:type="dxa"/>
            <w:vAlign w:val="bottom"/>
          </w:tcPr>
          <w:p>
            <w:pPr>
              <w:jc w:val="center"/>
              <w:ind w:left="732"/>
              <w:spacing w:after="0" w:line="205" w:lineRule="exact"/>
              <w:rPr>
                <w:rFonts w:ascii="Arial" w:cs="Arial" w:eastAsia="Arial" w:hAnsi="Arial"/>
                <w:sz w:val="18"/>
                <w:szCs w:val="18"/>
                <w:color w:val="auto"/>
                <w:w w:val="86"/>
              </w:rPr>
            </w:pPr>
            <w:hyperlink w:anchor="page147">
              <w:r>
                <w:rPr>
                  <w:rFonts w:ascii="Arial" w:cs="Arial" w:eastAsia="Arial" w:hAnsi="Arial"/>
                  <w:sz w:val="18"/>
                  <w:szCs w:val="18"/>
                  <w:color w:val="auto"/>
                  <w:w w:val="86"/>
                </w:rPr>
                <w:t>146</w:t>
              </w:r>
            </w:hyperlink>
          </w:p>
        </w:tc>
      </w:tr>
      <w:tr>
        <w:trPr>
          <w:trHeight w:val="21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60" w:type="dxa"/>
            <w:vAlign w:val="bottom"/>
            <w:tcBorders>
              <w:bottom w:val="single" w:sz="8" w:color="0000FF"/>
            </w:tcBorders>
            <w:gridSpan w:val="8"/>
          </w:tcPr>
          <w:p>
            <w:pPr>
              <w:spacing w:after="0" w:line="205" w:lineRule="exact"/>
              <w:rPr>
                <w:rFonts w:ascii="Arial" w:cs="Arial" w:eastAsia="Arial" w:hAnsi="Arial"/>
                <w:sz w:val="18"/>
                <w:szCs w:val="18"/>
                <w:color w:val="0000FF"/>
                <w:w w:val="91"/>
              </w:rPr>
            </w:pPr>
            <w:hyperlink w:anchor="page150">
              <w:r>
                <w:rPr>
                  <w:rFonts w:ascii="Arial" w:cs="Arial" w:eastAsia="Arial" w:hAnsi="Arial"/>
                  <w:sz w:val="18"/>
                  <w:szCs w:val="18"/>
                  <w:color w:val="0000FF"/>
                  <w:w w:val="91"/>
                </w:rPr>
                <w:t>Item 9B. Other Information</w:t>
              </w:r>
            </w:hyperlink>
          </w:p>
        </w:tc>
        <w:tc>
          <w:tcPr>
            <w:tcW w:w="7420" w:type="dxa"/>
            <w:vAlign w:val="bottom"/>
            <w:gridSpan w:val="23"/>
          </w:tcPr>
          <w:p>
            <w:pPr>
              <w:spacing w:after="0"/>
              <w:rPr>
                <w:sz w:val="19"/>
                <w:szCs w:val="19"/>
                <w:color w:val="auto"/>
              </w:rPr>
            </w:pPr>
          </w:p>
        </w:tc>
        <w:tc>
          <w:tcPr>
            <w:tcW w:w="1440" w:type="dxa"/>
            <w:vAlign w:val="bottom"/>
          </w:tcPr>
          <w:p>
            <w:pPr>
              <w:jc w:val="center"/>
              <w:ind w:left="732"/>
              <w:spacing w:after="0" w:line="205" w:lineRule="exact"/>
              <w:rPr>
                <w:rFonts w:ascii="Arial" w:cs="Arial" w:eastAsia="Arial" w:hAnsi="Arial"/>
                <w:sz w:val="18"/>
                <w:szCs w:val="18"/>
                <w:color w:val="auto"/>
                <w:w w:val="86"/>
              </w:rPr>
            </w:pPr>
            <w:hyperlink w:anchor="page150">
              <w:r>
                <w:rPr>
                  <w:rFonts w:ascii="Arial" w:cs="Arial" w:eastAsia="Arial" w:hAnsi="Arial"/>
                  <w:sz w:val="18"/>
                  <w:szCs w:val="18"/>
                  <w:color w:val="auto"/>
                  <w:w w:val="86"/>
                </w:rPr>
                <w:t>149</w:t>
              </w:r>
            </w:hyperlink>
          </w:p>
        </w:tc>
      </w:tr>
      <w:tr>
        <w:trPr>
          <w:trHeight w:val="21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80" w:type="dxa"/>
            <w:vAlign w:val="bottom"/>
            <w:gridSpan w:val="31"/>
          </w:tcPr>
          <w:p>
            <w:pPr>
              <w:spacing w:after="0" w:line="205" w:lineRule="exact"/>
              <w:rPr>
                <w:rFonts w:ascii="Arial" w:cs="Arial" w:eastAsia="Arial" w:hAnsi="Arial"/>
                <w:sz w:val="18"/>
                <w:szCs w:val="18"/>
                <w:color w:val="0000FF"/>
              </w:rPr>
            </w:pPr>
            <w:hyperlink w:anchor="page150">
              <w:r>
                <w:rPr>
                  <w:rFonts w:ascii="Arial" w:cs="Arial" w:eastAsia="Arial" w:hAnsi="Arial"/>
                  <w:sz w:val="18"/>
                  <w:szCs w:val="18"/>
                  <w:color w:val="0000FF"/>
                </w:rPr>
                <w:t>Item 9C. Disclosure Regarding Foreign Jurisdictions that Prevent Inspections</w:t>
              </w:r>
            </w:hyperlink>
          </w:p>
        </w:tc>
        <w:tc>
          <w:tcPr>
            <w:tcW w:w="1440" w:type="dxa"/>
            <w:vAlign w:val="bottom"/>
          </w:tcPr>
          <w:p>
            <w:pPr>
              <w:jc w:val="center"/>
              <w:ind w:left="732"/>
              <w:spacing w:after="0" w:line="205" w:lineRule="exact"/>
              <w:rPr>
                <w:rFonts w:ascii="Arial" w:cs="Arial" w:eastAsia="Arial" w:hAnsi="Arial"/>
                <w:sz w:val="18"/>
                <w:szCs w:val="18"/>
                <w:color w:val="auto"/>
                <w:w w:val="86"/>
              </w:rPr>
            </w:pPr>
            <w:hyperlink w:anchor="page150">
              <w:r>
                <w:rPr>
                  <w:rFonts w:ascii="Arial" w:cs="Arial" w:eastAsia="Arial" w:hAnsi="Arial"/>
                  <w:sz w:val="18"/>
                  <w:szCs w:val="18"/>
                  <w:color w:val="auto"/>
                  <w:w w:val="86"/>
                </w:rPr>
                <w:t>149</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509"/>
        </w:trPr>
        <w:tc>
          <w:tcPr>
            <w:tcW w:w="20" w:type="dxa"/>
            <w:vAlign w:val="bottom"/>
          </w:tcPr>
          <w:p>
            <w:pPr>
              <w:spacing w:after="0"/>
              <w:rPr>
                <w:sz w:val="24"/>
                <w:szCs w:val="24"/>
                <w:color w:val="auto"/>
              </w:rPr>
            </w:pPr>
          </w:p>
        </w:tc>
        <w:tc>
          <w:tcPr>
            <w:tcW w:w="9780" w:type="dxa"/>
            <w:vAlign w:val="bottom"/>
            <w:gridSpan w:val="32"/>
          </w:tcPr>
          <w:p>
            <w:pPr>
              <w:spacing w:after="0"/>
              <w:rPr>
                <w:sz w:val="20"/>
                <w:szCs w:val="20"/>
                <w:color w:val="auto"/>
              </w:rPr>
            </w:pPr>
            <w:r>
              <w:rPr>
                <w:rFonts w:ascii="Arial" w:cs="Arial" w:eastAsia="Arial" w:hAnsi="Arial"/>
                <w:sz w:val="18"/>
                <w:szCs w:val="18"/>
                <w:b w:val="1"/>
                <w:bCs w:val="1"/>
                <w:color w:val="auto"/>
              </w:rPr>
              <w:t>PART III</w:t>
            </w:r>
          </w:p>
        </w:tc>
        <w:tc>
          <w:tcPr>
            <w:tcW w:w="144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60" w:type="dxa"/>
            <w:vAlign w:val="bottom"/>
            <w:tcBorders>
              <w:bottom w:val="single" w:sz="8" w:color="0000FF"/>
            </w:tcBorders>
            <w:gridSpan w:val="21"/>
          </w:tcPr>
          <w:p>
            <w:pPr>
              <w:spacing w:after="0" w:line="167" w:lineRule="exact"/>
              <w:rPr>
                <w:sz w:val="20"/>
                <w:szCs w:val="20"/>
                <w:color w:val="auto"/>
              </w:rPr>
            </w:pPr>
            <w:r>
              <w:rPr>
                <w:rFonts w:ascii="Arial" w:cs="Arial" w:eastAsia="Arial" w:hAnsi="Arial"/>
                <w:sz w:val="18"/>
                <w:szCs w:val="18"/>
                <w:color w:val="0000FF"/>
                <w:w w:val="89"/>
              </w:rPr>
              <w:t>Item 10. Directors, Executive Officers and Corporate Governance</w:t>
            </w:r>
          </w:p>
        </w:tc>
        <w:tc>
          <w:tcPr>
            <w:tcW w:w="4720" w:type="dxa"/>
            <w:vAlign w:val="bottom"/>
            <w:gridSpan w:val="10"/>
          </w:tcPr>
          <w:p>
            <w:pPr>
              <w:spacing w:after="0"/>
              <w:rPr>
                <w:sz w:val="16"/>
                <w:szCs w:val="16"/>
                <w:color w:val="auto"/>
              </w:rPr>
            </w:pPr>
          </w:p>
        </w:tc>
        <w:tc>
          <w:tcPr>
            <w:tcW w:w="1440" w:type="dxa"/>
            <w:vAlign w:val="bottom"/>
          </w:tcPr>
          <w:p>
            <w:pPr>
              <w:jc w:val="center"/>
              <w:ind w:left="732"/>
              <w:spacing w:after="0" w:line="167" w:lineRule="exact"/>
              <w:rPr>
                <w:rFonts w:ascii="Arial" w:cs="Arial" w:eastAsia="Arial" w:hAnsi="Arial"/>
                <w:sz w:val="18"/>
                <w:szCs w:val="18"/>
                <w:color w:val="auto"/>
                <w:w w:val="86"/>
              </w:rPr>
            </w:pPr>
            <w:hyperlink w:anchor="page151">
              <w:r>
                <w:rPr>
                  <w:rFonts w:ascii="Arial" w:cs="Arial" w:eastAsia="Arial" w:hAnsi="Arial"/>
                  <w:sz w:val="18"/>
                  <w:szCs w:val="18"/>
                  <w:color w:val="auto"/>
                  <w:w w:val="86"/>
                </w:rPr>
                <w:t>150</w:t>
              </w:r>
            </w:hyperlink>
          </w:p>
        </w:tc>
      </w:tr>
      <w:tr>
        <w:trPr>
          <w:trHeight w:val="21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0" w:type="dxa"/>
            <w:vAlign w:val="bottom"/>
            <w:tcBorders>
              <w:bottom w:val="single" w:sz="8" w:color="0000FF"/>
            </w:tcBorders>
            <w:gridSpan w:val="12"/>
          </w:tcPr>
          <w:p>
            <w:pPr>
              <w:spacing w:after="0" w:line="205" w:lineRule="exact"/>
              <w:rPr>
                <w:sz w:val="20"/>
                <w:szCs w:val="20"/>
                <w:color w:val="auto"/>
              </w:rPr>
            </w:pPr>
            <w:r>
              <w:rPr>
                <w:rFonts w:ascii="Arial" w:cs="Arial" w:eastAsia="Arial" w:hAnsi="Arial"/>
                <w:sz w:val="18"/>
                <w:szCs w:val="18"/>
                <w:color w:val="0000FF"/>
                <w:w w:val="88"/>
              </w:rPr>
              <w:t>Item 11. Executive Compensation</w:t>
            </w:r>
          </w:p>
        </w:tc>
        <w:tc>
          <w:tcPr>
            <w:tcW w:w="6980" w:type="dxa"/>
            <w:vAlign w:val="bottom"/>
            <w:gridSpan w:val="19"/>
          </w:tcPr>
          <w:p>
            <w:pPr>
              <w:spacing w:after="0"/>
              <w:rPr>
                <w:sz w:val="19"/>
                <w:szCs w:val="19"/>
                <w:color w:val="auto"/>
              </w:rPr>
            </w:pPr>
          </w:p>
        </w:tc>
        <w:tc>
          <w:tcPr>
            <w:tcW w:w="1440" w:type="dxa"/>
            <w:vAlign w:val="bottom"/>
          </w:tcPr>
          <w:p>
            <w:pPr>
              <w:jc w:val="center"/>
              <w:ind w:left="732"/>
              <w:spacing w:after="0" w:line="205" w:lineRule="exact"/>
              <w:rPr>
                <w:rFonts w:ascii="Arial" w:cs="Arial" w:eastAsia="Arial" w:hAnsi="Arial"/>
                <w:sz w:val="18"/>
                <w:szCs w:val="18"/>
                <w:color w:val="auto"/>
                <w:w w:val="86"/>
              </w:rPr>
            </w:pPr>
            <w:hyperlink w:anchor="page159">
              <w:r>
                <w:rPr>
                  <w:rFonts w:ascii="Arial" w:cs="Arial" w:eastAsia="Arial" w:hAnsi="Arial"/>
                  <w:sz w:val="18"/>
                  <w:szCs w:val="18"/>
                  <w:color w:val="auto"/>
                  <w:w w:val="86"/>
                </w:rPr>
                <w:t>158</w:t>
              </w:r>
            </w:hyperlink>
          </w:p>
        </w:tc>
      </w:tr>
      <w:tr>
        <w:trPr>
          <w:trHeight w:val="21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720" w:type="dxa"/>
            <w:vAlign w:val="bottom"/>
            <w:tcBorders>
              <w:bottom w:val="single" w:sz="8" w:color="0000FF"/>
            </w:tcBorders>
            <w:gridSpan w:val="29"/>
          </w:tcPr>
          <w:p>
            <w:pPr>
              <w:spacing w:after="0" w:line="205" w:lineRule="exact"/>
              <w:rPr>
                <w:sz w:val="20"/>
                <w:szCs w:val="20"/>
                <w:color w:val="auto"/>
              </w:rPr>
            </w:pPr>
            <w:r>
              <w:rPr>
                <w:rFonts w:ascii="Arial" w:cs="Arial" w:eastAsia="Arial" w:hAnsi="Arial"/>
                <w:sz w:val="18"/>
                <w:szCs w:val="18"/>
                <w:color w:val="0000FF"/>
                <w:w w:val="89"/>
              </w:rPr>
              <w:t>Item 12. Security Ownership of Certain Beneficial Owner and Management and Related Stockholder Matters</w:t>
            </w:r>
          </w:p>
        </w:tc>
        <w:tc>
          <w:tcPr>
            <w:tcW w:w="1660" w:type="dxa"/>
            <w:vAlign w:val="bottom"/>
            <w:gridSpan w:val="2"/>
          </w:tcPr>
          <w:p>
            <w:pPr>
              <w:spacing w:after="0"/>
              <w:rPr>
                <w:sz w:val="19"/>
                <w:szCs w:val="19"/>
                <w:color w:val="auto"/>
              </w:rPr>
            </w:pPr>
          </w:p>
        </w:tc>
        <w:tc>
          <w:tcPr>
            <w:tcW w:w="1440" w:type="dxa"/>
            <w:vAlign w:val="bottom"/>
          </w:tcPr>
          <w:p>
            <w:pPr>
              <w:jc w:val="center"/>
              <w:ind w:left="732"/>
              <w:spacing w:after="0" w:line="205" w:lineRule="exact"/>
              <w:rPr>
                <w:rFonts w:ascii="Arial" w:cs="Arial" w:eastAsia="Arial" w:hAnsi="Arial"/>
                <w:sz w:val="18"/>
                <w:szCs w:val="18"/>
                <w:color w:val="auto"/>
                <w:w w:val="86"/>
              </w:rPr>
            </w:pPr>
            <w:hyperlink w:anchor="page169">
              <w:r>
                <w:rPr>
                  <w:rFonts w:ascii="Arial" w:cs="Arial" w:eastAsia="Arial" w:hAnsi="Arial"/>
                  <w:sz w:val="18"/>
                  <w:szCs w:val="18"/>
                  <w:color w:val="auto"/>
                  <w:w w:val="86"/>
                </w:rPr>
                <w:t>169</w:t>
              </w:r>
            </w:hyperlink>
          </w:p>
        </w:tc>
      </w:tr>
      <w:tr>
        <w:trPr>
          <w:trHeight w:val="21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80" w:type="dxa"/>
            <w:vAlign w:val="bottom"/>
            <w:gridSpan w:val="31"/>
          </w:tcPr>
          <w:p>
            <w:pPr>
              <w:spacing w:after="0" w:line="205" w:lineRule="exact"/>
              <w:rPr>
                <w:sz w:val="20"/>
                <w:szCs w:val="20"/>
                <w:color w:val="auto"/>
              </w:rPr>
            </w:pPr>
            <w:r>
              <w:rPr>
                <w:rFonts w:ascii="Arial" w:cs="Arial" w:eastAsia="Arial" w:hAnsi="Arial"/>
                <w:sz w:val="18"/>
                <w:szCs w:val="18"/>
                <w:color w:val="0000FF"/>
              </w:rPr>
              <w:t>Item 13. Certain Relationships and Related Transactions, and Director Independence</w:t>
            </w:r>
          </w:p>
        </w:tc>
        <w:tc>
          <w:tcPr>
            <w:tcW w:w="1440" w:type="dxa"/>
            <w:vAlign w:val="bottom"/>
          </w:tcPr>
          <w:p>
            <w:pPr>
              <w:jc w:val="center"/>
              <w:ind w:left="732"/>
              <w:spacing w:after="0" w:line="205" w:lineRule="exact"/>
              <w:rPr>
                <w:rFonts w:ascii="Arial" w:cs="Arial" w:eastAsia="Arial" w:hAnsi="Arial"/>
                <w:sz w:val="18"/>
                <w:szCs w:val="18"/>
                <w:color w:val="auto"/>
                <w:w w:val="86"/>
              </w:rPr>
            </w:pPr>
            <w:hyperlink w:anchor="page172">
              <w:r>
                <w:rPr>
                  <w:rFonts w:ascii="Arial" w:cs="Arial" w:eastAsia="Arial" w:hAnsi="Arial"/>
                  <w:sz w:val="18"/>
                  <w:szCs w:val="18"/>
                  <w:color w:val="auto"/>
                  <w:w w:val="86"/>
                </w:rPr>
                <w:t>171</w:t>
              </w:r>
            </w:hyperlink>
          </w:p>
        </w:tc>
      </w:tr>
      <w:tr>
        <w:trPr>
          <w:trHeight w:val="21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980" w:type="dxa"/>
            <w:vAlign w:val="bottom"/>
            <w:tcBorders>
              <w:top w:val="single" w:sz="8" w:color="0000FF"/>
            </w:tcBorders>
            <w:gridSpan w:val="25"/>
          </w:tcPr>
          <w:p>
            <w:pPr>
              <w:spacing w:after="0" w:line="205" w:lineRule="exact"/>
              <w:rPr>
                <w:sz w:val="20"/>
                <w:szCs w:val="20"/>
                <w:color w:val="auto"/>
              </w:rPr>
            </w:pPr>
            <w:r>
              <w:rPr>
                <w:rFonts w:ascii="Arial" w:cs="Arial" w:eastAsia="Arial" w:hAnsi="Arial"/>
                <w:sz w:val="18"/>
                <w:szCs w:val="18"/>
                <w:color w:val="0000FF"/>
              </w:rPr>
              <w:t>Item 14. Principal Accounting Fees and Services</w:t>
            </w:r>
          </w:p>
        </w:tc>
        <w:tc>
          <w:tcPr>
            <w:tcW w:w="3400" w:type="dxa"/>
            <w:vAlign w:val="bottom"/>
            <w:gridSpan w:val="6"/>
          </w:tcPr>
          <w:p>
            <w:pPr>
              <w:spacing w:after="0"/>
              <w:rPr>
                <w:sz w:val="19"/>
                <w:szCs w:val="19"/>
                <w:color w:val="auto"/>
              </w:rPr>
            </w:pPr>
          </w:p>
        </w:tc>
        <w:tc>
          <w:tcPr>
            <w:tcW w:w="1440" w:type="dxa"/>
            <w:vAlign w:val="bottom"/>
          </w:tcPr>
          <w:p>
            <w:pPr>
              <w:jc w:val="center"/>
              <w:ind w:left="732"/>
              <w:spacing w:after="0" w:line="205" w:lineRule="exact"/>
              <w:rPr>
                <w:rFonts w:ascii="Arial" w:cs="Arial" w:eastAsia="Arial" w:hAnsi="Arial"/>
                <w:sz w:val="18"/>
                <w:szCs w:val="18"/>
                <w:color w:val="auto"/>
                <w:w w:val="86"/>
              </w:rPr>
            </w:pPr>
            <w:hyperlink w:anchor="page178">
              <w:r>
                <w:rPr>
                  <w:rFonts w:ascii="Arial" w:cs="Arial" w:eastAsia="Arial" w:hAnsi="Arial"/>
                  <w:sz w:val="18"/>
                  <w:szCs w:val="18"/>
                  <w:color w:val="auto"/>
                  <w:w w:val="86"/>
                </w:rPr>
                <w:t>177</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128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1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509"/>
        </w:trPr>
        <w:tc>
          <w:tcPr>
            <w:tcW w:w="20" w:type="dxa"/>
            <w:vAlign w:val="bottom"/>
          </w:tcPr>
          <w:p>
            <w:pPr>
              <w:spacing w:after="0"/>
              <w:rPr>
                <w:sz w:val="24"/>
                <w:szCs w:val="24"/>
                <w:color w:val="auto"/>
              </w:rPr>
            </w:pPr>
          </w:p>
        </w:tc>
        <w:tc>
          <w:tcPr>
            <w:tcW w:w="9780" w:type="dxa"/>
            <w:vAlign w:val="bottom"/>
            <w:gridSpan w:val="32"/>
          </w:tcPr>
          <w:p>
            <w:pPr>
              <w:spacing w:after="0"/>
              <w:rPr>
                <w:rFonts w:ascii="Arial" w:cs="Arial" w:eastAsia="Arial" w:hAnsi="Arial"/>
                <w:sz w:val="18"/>
                <w:szCs w:val="18"/>
                <w:b w:val="1"/>
                <w:bCs w:val="1"/>
                <w:color w:val="auto"/>
              </w:rPr>
            </w:pPr>
            <w:hyperlink w:anchor="page179">
              <w:r>
                <w:rPr>
                  <w:rFonts w:ascii="Arial" w:cs="Arial" w:eastAsia="Arial" w:hAnsi="Arial"/>
                  <w:sz w:val="18"/>
                  <w:szCs w:val="18"/>
                  <w:b w:val="1"/>
                  <w:bCs w:val="1"/>
                  <w:color w:val="auto"/>
                </w:rPr>
                <w:t>PART IV</w:t>
              </w:r>
            </w:hyperlink>
          </w:p>
        </w:tc>
        <w:tc>
          <w:tcPr>
            <w:tcW w:w="144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80" w:type="dxa"/>
            <w:vAlign w:val="bottom"/>
            <w:tcBorders>
              <w:bottom w:val="single" w:sz="8" w:color="0000FF"/>
            </w:tcBorders>
            <w:gridSpan w:val="18"/>
          </w:tcPr>
          <w:p>
            <w:pPr>
              <w:spacing w:after="0" w:line="187" w:lineRule="exact"/>
              <w:rPr>
                <w:rFonts w:ascii="Arial" w:cs="Arial" w:eastAsia="Arial" w:hAnsi="Arial"/>
                <w:sz w:val="18"/>
                <w:szCs w:val="18"/>
                <w:color w:val="0000FF"/>
                <w:w w:val="88"/>
              </w:rPr>
            </w:pPr>
            <w:hyperlink w:anchor="page180">
              <w:r>
                <w:rPr>
                  <w:rFonts w:ascii="Arial" w:cs="Arial" w:eastAsia="Arial" w:hAnsi="Arial"/>
                  <w:sz w:val="18"/>
                  <w:szCs w:val="18"/>
                  <w:color w:val="0000FF"/>
                  <w:w w:val="88"/>
                </w:rPr>
                <w:t>Item 15. Exhibits, Financial Statement Schedules</w:t>
              </w:r>
            </w:hyperlink>
          </w:p>
        </w:tc>
        <w:tc>
          <w:tcPr>
            <w:tcW w:w="5900" w:type="dxa"/>
            <w:vAlign w:val="bottom"/>
            <w:gridSpan w:val="13"/>
          </w:tcPr>
          <w:p>
            <w:pPr>
              <w:spacing w:after="0"/>
              <w:rPr>
                <w:sz w:val="16"/>
                <w:szCs w:val="16"/>
                <w:color w:val="auto"/>
              </w:rPr>
            </w:pPr>
          </w:p>
        </w:tc>
        <w:tc>
          <w:tcPr>
            <w:tcW w:w="1440" w:type="dxa"/>
            <w:vAlign w:val="bottom"/>
          </w:tcPr>
          <w:p>
            <w:pPr>
              <w:jc w:val="center"/>
              <w:ind w:left="732"/>
              <w:spacing w:after="0" w:line="187" w:lineRule="exact"/>
              <w:rPr>
                <w:rFonts w:ascii="Arial" w:cs="Arial" w:eastAsia="Arial" w:hAnsi="Arial"/>
                <w:sz w:val="18"/>
                <w:szCs w:val="18"/>
                <w:color w:val="auto"/>
                <w:w w:val="86"/>
              </w:rPr>
            </w:pPr>
            <w:hyperlink w:anchor="page180">
              <w:r>
                <w:rPr>
                  <w:rFonts w:ascii="Arial" w:cs="Arial" w:eastAsia="Arial" w:hAnsi="Arial"/>
                  <w:sz w:val="18"/>
                  <w:szCs w:val="18"/>
                  <w:color w:val="auto"/>
                  <w:w w:val="86"/>
                </w:rPr>
                <w:t>179</w:t>
              </w:r>
            </w:hyperlink>
          </w:p>
        </w:tc>
      </w:tr>
      <w:tr>
        <w:trPr>
          <w:trHeight w:val="21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tcBorders>
              <w:bottom w:val="single" w:sz="8" w:color="0000FF"/>
            </w:tcBorders>
            <w:gridSpan w:val="10"/>
          </w:tcPr>
          <w:p>
            <w:pPr>
              <w:spacing w:after="0" w:line="205" w:lineRule="exact"/>
              <w:rPr>
                <w:rFonts w:ascii="Arial" w:cs="Arial" w:eastAsia="Arial" w:hAnsi="Arial"/>
                <w:sz w:val="18"/>
                <w:szCs w:val="18"/>
                <w:color w:val="0000FF"/>
                <w:w w:val="90"/>
              </w:rPr>
            </w:pPr>
            <w:hyperlink w:anchor="page183">
              <w:r>
                <w:rPr>
                  <w:rFonts w:ascii="Arial" w:cs="Arial" w:eastAsia="Arial" w:hAnsi="Arial"/>
                  <w:sz w:val="18"/>
                  <w:szCs w:val="18"/>
                  <w:color w:val="0000FF"/>
                  <w:w w:val="90"/>
                </w:rPr>
                <w:t>Item 16. Form 10-K Summary</w:t>
              </w:r>
            </w:hyperlink>
          </w:p>
        </w:tc>
        <w:tc>
          <w:tcPr>
            <w:tcW w:w="7220" w:type="dxa"/>
            <w:vAlign w:val="bottom"/>
            <w:gridSpan w:val="21"/>
          </w:tcPr>
          <w:p>
            <w:pPr>
              <w:spacing w:after="0"/>
              <w:rPr>
                <w:sz w:val="19"/>
                <w:szCs w:val="19"/>
                <w:color w:val="auto"/>
              </w:rPr>
            </w:pPr>
          </w:p>
        </w:tc>
        <w:tc>
          <w:tcPr>
            <w:tcW w:w="1440" w:type="dxa"/>
            <w:vAlign w:val="bottom"/>
          </w:tcPr>
          <w:p>
            <w:pPr>
              <w:jc w:val="center"/>
              <w:ind w:left="732"/>
              <w:spacing w:after="0" w:line="205" w:lineRule="exact"/>
              <w:rPr>
                <w:rFonts w:ascii="Arial" w:cs="Arial" w:eastAsia="Arial" w:hAnsi="Arial"/>
                <w:sz w:val="18"/>
                <w:szCs w:val="18"/>
                <w:color w:val="auto"/>
                <w:w w:val="86"/>
              </w:rPr>
            </w:pPr>
            <w:hyperlink w:anchor="page183">
              <w:r>
                <w:rPr>
                  <w:rFonts w:ascii="Arial" w:cs="Arial" w:eastAsia="Arial" w:hAnsi="Arial"/>
                  <w:sz w:val="18"/>
                  <w:szCs w:val="18"/>
                  <w:color w:val="auto"/>
                  <w:w w:val="86"/>
                </w:rPr>
                <w:t>182</w:t>
              </w:r>
            </w:hyperlink>
          </w:p>
        </w:tc>
      </w:tr>
      <w:tr>
        <w:trPr>
          <w:trHeight w:val="218"/>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80" w:type="dxa"/>
            <w:vAlign w:val="bottom"/>
            <w:gridSpan w:val="31"/>
          </w:tcPr>
          <w:p>
            <w:pPr>
              <w:spacing w:after="0" w:line="205" w:lineRule="exact"/>
              <w:rPr>
                <w:rFonts w:ascii="Arial" w:cs="Arial" w:eastAsia="Arial" w:hAnsi="Arial"/>
                <w:sz w:val="18"/>
                <w:szCs w:val="18"/>
                <w:color w:val="0000FF"/>
              </w:rPr>
            </w:pPr>
            <w:hyperlink w:anchor="page183">
              <w:r>
                <w:rPr>
                  <w:rFonts w:ascii="Arial" w:cs="Arial" w:eastAsia="Arial" w:hAnsi="Arial"/>
                  <w:sz w:val="18"/>
                  <w:szCs w:val="18"/>
                  <w:color w:val="0000FF"/>
                </w:rPr>
                <w:t>Signatures</w:t>
              </w:r>
            </w:hyperlink>
          </w:p>
        </w:tc>
        <w:tc>
          <w:tcPr>
            <w:tcW w:w="1440" w:type="dxa"/>
            <w:vAlign w:val="bottom"/>
          </w:tcPr>
          <w:p>
            <w:pPr>
              <w:jc w:val="center"/>
              <w:ind w:left="732"/>
              <w:spacing w:after="0" w:line="205" w:lineRule="exact"/>
              <w:rPr>
                <w:rFonts w:ascii="Arial" w:cs="Arial" w:eastAsia="Arial" w:hAnsi="Arial"/>
                <w:sz w:val="18"/>
                <w:szCs w:val="18"/>
                <w:color w:val="auto"/>
                <w:w w:val="86"/>
              </w:rPr>
            </w:pPr>
            <w:hyperlink w:anchor="page183">
              <w:r>
                <w:rPr>
                  <w:rFonts w:ascii="Arial" w:cs="Arial" w:eastAsia="Arial" w:hAnsi="Arial"/>
                  <w:sz w:val="18"/>
                  <w:szCs w:val="18"/>
                  <w:color w:val="auto"/>
                  <w:w w:val="86"/>
                </w:rPr>
                <w:t>183</w:t>
              </w:r>
            </w:hyperlink>
          </w:p>
        </w:tc>
      </w:tr>
      <w:tr>
        <w:trPr>
          <w:trHeight w:val="2597"/>
        </w:trPr>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EXPLANATORY NOTE</w:t>
      </w:r>
    </w:p>
    <w:p>
      <w:pPr>
        <w:spacing w:after="0" w:line="25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Unless otherwise stated in this report or the context otherwise requires, references to the “Company,” “Sema4” and “we,” “us” and “our” refer to (i) Mount Sinai Genomics, Inc. d/b/a as Sema4, or Legacy Sema4, prior to the consummation of our business combination with CM Life Sciences, Inc., or CMLS, on July 22, 2021 and (ii) Sema4 Holdings Corp. and its consolidated subsidiaries following the consummation of our business combination.</w:t>
      </w:r>
    </w:p>
    <w:p>
      <w:pPr>
        <w:spacing w:after="0" w:line="150"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5"/>
          <w:szCs w:val="15"/>
          <w:color w:val="auto"/>
        </w:rPr>
        <w:t>In addition, as described in more detail elsewhere in this report, on January 14, 2022, we and our subsidiaries, Orion Merger Sub I, Inc., or Merger Sub I, and Orion Merger Sub II, LLC, or Merger Sub II entered into an Agreement and Plan of Merger and Reorganization, or the Merger Agreement, with GeneDx, Inc., or GeneDx, a New Jersey corporation and a wholly-owned subsidiary of OPKO Health, Inc., GeneDx Holding 2, Inc., or Holdco, and OPKO, pursuant to which we will acquire 100% of GeneDx from OPKO, which we refer to herein as the “Acquisition”. In connection with the Acquisition, we entered into certain related agreements, including subscription agreements with certain institutional investors that provide for a $200 million private placement of shares of our Class A common stock, which we refer to herein as the Acquisition PIPE Investment. Unless stated otherwise in this report, all forward-looking information contained in this report does not take into account or give any effect to the impact of the Acquisition or the Acquisition PIPE Investment.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5" w:lineRule="exact"/>
        <w:rPr>
          <w:sz w:val="20"/>
          <w:szCs w:val="20"/>
          <w:color w:val="auto"/>
        </w:rPr>
      </w:pPr>
    </w:p>
    <w:p>
      <w:pPr>
        <w:ind w:left="1280" w:hanging="638"/>
        <w:spacing w:after="0" w:line="264" w:lineRule="auto"/>
        <w:tabs>
          <w:tab w:leader="none" w:pos="12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sufficiency of our existing capital resources combined with future anticipated cash flows to finance our operating requirements</w:t>
      </w:r>
    </w:p>
    <w:p>
      <w:pPr>
        <w:spacing w:after="0" w:line="21" w:lineRule="exact"/>
        <w:rPr>
          <w:rFonts w:ascii="Arial" w:cs="Arial" w:eastAsia="Arial" w:hAnsi="Arial"/>
          <w:sz w:val="18"/>
          <w:szCs w:val="18"/>
          <w:color w:val="auto"/>
        </w:rPr>
      </w:pPr>
    </w:p>
    <w:p>
      <w:pPr>
        <w:ind w:left="1280" w:hanging="638"/>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losses;</w:t>
      </w:r>
    </w:p>
    <w:p>
      <w:pPr>
        <w:spacing w:after="0" w:line="58" w:lineRule="exact"/>
        <w:rPr>
          <w:rFonts w:ascii="Arial" w:cs="Arial" w:eastAsia="Arial" w:hAnsi="Arial"/>
          <w:sz w:val="18"/>
          <w:szCs w:val="18"/>
          <w:color w:val="auto"/>
        </w:rPr>
      </w:pPr>
    </w:p>
    <w:p>
      <w:pPr>
        <w:ind w:left="1280" w:hanging="638"/>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incurring capital expenditures to expand our research and development and manufacturing capabilities;</w:t>
      </w:r>
    </w:p>
    <w:p>
      <w:pPr>
        <w:spacing w:after="0" w:line="58" w:lineRule="exact"/>
        <w:rPr>
          <w:rFonts w:ascii="Arial" w:cs="Arial" w:eastAsia="Arial" w:hAnsi="Arial"/>
          <w:sz w:val="18"/>
          <w:szCs w:val="18"/>
          <w:color w:val="auto"/>
        </w:rPr>
      </w:pPr>
    </w:p>
    <w:p>
      <w:pPr>
        <w:ind w:left="1280" w:hanging="638"/>
        <w:spacing w:after="0" w:line="264" w:lineRule="auto"/>
        <w:tabs>
          <w:tab w:leader="none" w:pos="127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circumstances or other disruptions to normal business operations, including supply chain interruptions and manufacturing constraints, arising from or related to COVID-19;</w:t>
      </w:r>
    </w:p>
    <w:p>
      <w:pPr>
        <w:spacing w:after="0" w:line="21" w:lineRule="exact"/>
        <w:rPr>
          <w:rFonts w:ascii="Arial" w:cs="Arial" w:eastAsia="Arial" w:hAnsi="Arial"/>
          <w:sz w:val="18"/>
          <w:szCs w:val="18"/>
          <w:color w:val="auto"/>
        </w:rPr>
      </w:pPr>
    </w:p>
    <w:p>
      <w:pPr>
        <w:ind w:left="1280" w:hanging="638"/>
        <w:spacing w:after="0" w:line="264" w:lineRule="auto"/>
        <w:tabs>
          <w:tab w:leader="none" w:pos="12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consummate the Acquisition and the other transactions contemplated by the Merger Agreement and the related Acquisition PIPE Investment;</w:t>
      </w:r>
    </w:p>
    <w:p>
      <w:pPr>
        <w:spacing w:after="0" w:line="21" w:lineRule="exact"/>
        <w:rPr>
          <w:rFonts w:ascii="Arial" w:cs="Arial" w:eastAsia="Arial" w:hAnsi="Arial"/>
          <w:sz w:val="18"/>
          <w:szCs w:val="18"/>
          <w:color w:val="auto"/>
        </w:rPr>
      </w:pPr>
    </w:p>
    <w:p>
      <w:pPr>
        <w:ind w:left="1280" w:hanging="638"/>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generating revenue or becoming profitable on a sustained basis;</w:t>
      </w:r>
    </w:p>
    <w:p>
      <w:pPr>
        <w:spacing w:after="0" w:line="58" w:lineRule="exact"/>
        <w:rPr>
          <w:rFonts w:ascii="Arial" w:cs="Arial" w:eastAsia="Arial" w:hAnsi="Arial"/>
          <w:sz w:val="18"/>
          <w:szCs w:val="18"/>
          <w:color w:val="auto"/>
        </w:rPr>
      </w:pPr>
    </w:p>
    <w:p>
      <w:pPr>
        <w:ind w:left="1280" w:hanging="638"/>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or ability to enter into service, collaboration and other partnership agreements;</w:t>
      </w:r>
    </w:p>
    <w:p>
      <w:pPr>
        <w:spacing w:after="0" w:line="58" w:lineRule="exact"/>
        <w:rPr>
          <w:rFonts w:ascii="Arial" w:cs="Arial" w:eastAsia="Arial" w:hAnsi="Arial"/>
          <w:sz w:val="18"/>
          <w:szCs w:val="18"/>
          <w:color w:val="auto"/>
        </w:rPr>
      </w:pPr>
    </w:p>
    <w:p>
      <w:pPr>
        <w:ind w:left="1280" w:hanging="638"/>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or ability to build our own commercial infrastructure to scale market and sell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or authorizations by the U.S. Food and Drug Administration or, the FDA, or other regulatory authorities;</w:t>
      </w:r>
    </w:p>
    <w:p>
      <w:pPr>
        <w:spacing w:after="0" w:line="58" w:lineRule="exact"/>
        <w:rPr>
          <w:rFonts w:ascii="Arial" w:cs="Arial" w:eastAsia="Arial" w:hAnsi="Arial"/>
          <w:sz w:val="18"/>
          <w:szCs w:val="18"/>
          <w:color w:val="auto"/>
        </w:rPr>
      </w:pPr>
    </w:p>
    <w:p>
      <w:pPr>
        <w:ind w:left="1280" w:hanging="638"/>
        <w:spacing w:after="0" w:line="264"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governmental regulation and other legal obligations, including privacy, data protection, information security, consumer protection, and anti-corruption and anti-bribery;</w:t>
      </w:r>
    </w:p>
    <w:p>
      <w:pPr>
        <w:spacing w:after="0" w:line="2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5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against existing and emerging technologies;</w:t>
      </w:r>
    </w:p>
    <w:p>
      <w:pPr>
        <w:spacing w:after="0" w:line="5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and its volatility;</w:t>
      </w:r>
    </w:p>
    <w:p>
      <w:pPr>
        <w:spacing w:after="0" w:line="5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5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third-party payor reimbursement and coverage decisions;</w:t>
      </w:r>
    </w:p>
    <w:p>
      <w:pPr>
        <w:spacing w:after="0" w:line="58" w:lineRule="exact"/>
        <w:rPr>
          <w:rFonts w:ascii="Arial" w:cs="Arial" w:eastAsia="Arial" w:hAnsi="Arial"/>
          <w:sz w:val="18"/>
          <w:szCs w:val="18"/>
          <w:color w:val="auto"/>
        </w:rPr>
      </w:pPr>
    </w:p>
    <w:p>
      <w:pPr>
        <w:ind w:left="1280" w:hanging="638"/>
        <w:spacing w:after="0" w:line="264"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laboratories and service providers for our test volume in connection with our diagnostic solutions and data programs;</w:t>
      </w:r>
    </w:p>
    <w:p>
      <w:pPr>
        <w:spacing w:after="0" w:line="2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future capital requirements; and</w:t>
      </w:r>
    </w:p>
    <w:p>
      <w:pPr>
        <w:spacing w:after="0" w:line="5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strategy.</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28"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We Are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3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47 petabytes of data per month, growing by more than 1 petabyte per month, and maintaining a database that includes approximately 12 million de-identified clinical records, including more than 500,000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or U.S., in areas such as reproductive health, or Women’s Health, population health, and oncology, or Oncology, we are reimbursed by payors, providers, and patients for providing these services. In collaboration with pharmaceutical and biotech, or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137, and contributed to discoveries relating to the genetic basis of common human diseases such as cancer, diabetes, obesity, and Alzheimer’s disease. As of December 31, 2021, we have approximately 1200 employees, including over 160 Ph.D.-level data scientists whose collective work has been recognized in areas such as data science, network modeling, multiscale biotechnology and genomics.</w:t>
      </w:r>
    </w:p>
    <w:p>
      <w:pPr>
        <w:spacing w:after="0" w:line="126"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Sema4 was established out of the Mount Sinai Health System (which we refer to together with our related entities as Mount Sinai) and commenced operations in June 2017 as a commercial entity that could effectively engage diverse patient populations and health care institutions at scale, founded on the idea that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deeper AI-driven learning, and increased engagement of patients and their providers will improve diagnosis, treatment, and prevention of disease. We have since established and deployed our comprehensive and integrated genomics and information platforms, and intend to continue to expand our scale and reach through organic and inorganic growth.</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Purpose-Built, Flexible Platforms Address Immediate and Untapped Market Opportunities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w:t>
      </w:r>
    </w:p>
    <w:p>
      <w:pPr>
        <w:spacing w:after="0" w:line="11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where medical care represented over $100 billion of spend in the U.S. in 2011, rare diseases, which is estimated to cost the U.S. healthcare system over $400 billion annually, and cardiovascular disease, where direct medical spend represents approximately $200 billion annually.</w:t>
      </w:r>
    </w:p>
    <w:p>
      <w:pPr>
        <w:spacing w:after="0" w:line="12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w:t>
      </w:r>
    </w:p>
    <w:p>
      <w:pPr>
        <w:spacing w:after="0" w:line="1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our margins in generating secondary insights for patients and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totaling approximately 12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4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that data, as well as additional data that patients share and create through their use of our expanding suite of digital experience products.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partner. Learning from our long-standing relationship with Mount Sinai, we have refined a health system engagement model that is both operational and economic and designed to maximize both our and our health system partner’s value from the relationship.</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 These systems include: AdventHealth, Avera Health, and Northshore University HealthSystem.</w:t>
      </w:r>
    </w:p>
    <w:p>
      <w:pPr>
        <w:spacing w:after="0" w:line="11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AdventHealth partnership builds upon the current AdventHealth Genomics and Personalized Health Program to offer genomic solutions to patients across a number of services and specialties. Together, we will conduct data structuring and curation of the combined genomic and clinical data to enable clinicians and scientists to advance research and discovery to improve patient care. We are initially focused on accelerating research in the central Florida division, which includes 18 hospitals and emergency departments, and accounts for more than two million patient visits annually. Nationally, AdventHealth has 51 hospitals and over 100 care sites across 9 states.</w:t>
      </w:r>
    </w:p>
    <w:p>
      <w:pPr>
        <w:spacing w:after="0" w:line="14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Avera Health partnership initially focuses on advancing oncology care, enabling Avera Health’s providers and patients to benefit from data-driven insights that inform targeted cancer treatments. Avera Health’s providers will be able to leverage Centrellis, to curate, structure and integrate clinical and genomic data to support both cancer research and clinical care at Avera Health. We will deliver predictive disease network models and clinically actionable insights, empowering Avera Health’s providers to further improve the prevention, detection, and treatment of cancer for their patients. We are also offering digital tools, which give Avera Health’s providers the ability to readily search for cohorts of patients based on clinical criteria, view a patient’s treatment history that is contained in the curated data as an interactive timeline, and more systematically match patients to clinical trials.</w:t>
      </w:r>
    </w:p>
    <w:p>
      <w:pPr>
        <w:spacing w:after="0" w:line="9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At NorthShore University HealthSystem, we are enabling a data-driven genomics program to help clinicians and patients detect, and treat diseases at an early stage, when they are most treatable. As part of the program, NorthShore University HealthSystem’s clinicians and patients will have access to our information-rich genomic solutions for hereditary cancer, population health, pharmacogenomics, and rare expanded carrier screening. Importantly, by combining clinical information with genomic analysis, physicians will be better positioned to administer more personalized, holistic care plans by both drawing insights on how genetic variants will impact patients’ chances of developing disease and determining the most appropriate treatment options. In addition to guiding clinicians, the program is expected to make it easier for NorthShore University HealthSystem patients to understand the implications of genomic findings.</w:t>
      </w:r>
    </w:p>
    <w:p>
      <w:pPr>
        <w:spacing w:after="0" w:line="14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Centrellis: Our Health Information Platform Solution</w:t>
      </w:r>
    </w:p>
    <w:p>
      <w:pPr>
        <w:spacing w:after="0" w:line="17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Centrellis is the culmination of our critical competencies and goals as a company:</w:t>
      </w:r>
    </w:p>
    <w:p>
      <w:pPr>
        <w:spacing w:after="0" w:line="118"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technologies aimed at patient and provider engagement,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generation, aggregation and standardization of multi-dimensional data,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modeling and generation of differentiated, domain-specific insights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Driven by the virtuous cycle and interconnection of our clinical diagnostics products, rich data assets, database engineering and data science applications, we continue to evolve and deploy our platform to facilitate a better understanding of disease and wellness and improve the standard of care through information driven knowledge and understanding.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Provider Engagement Technologies: Our Next Generation Tools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built comprehensive solutions in Centrellis that enable clinicians, researchers, and patients to engage with the relevant structured health data and to leverage our predictive models of disease and wellness and produce clinically actionable insights.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clinicians and researchers, we have designed Centrellis’s adaptive learning capabilities and tools to enable health systems and clinicians to manage their patient care, research, and health data in one place and to adapt to rapidly changing scientific and clinical norms through an advanced programmable interface, or API, layer, including:</w:t>
      </w:r>
    </w:p>
    <w:p>
      <w:pPr>
        <w:spacing w:after="0" w:line="135"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Integration and on-boarding for health systems and practices that connects data from EMRs and disparate and varied databases,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Searching and analyzing cohorts of patients, allowing an assessment of their patient populations and quality of care in real-time,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Enabling clinical decision support and personalized and actionable treatment insights into clinical reports,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Identifying patients who are candidates for certain clinical genomic analyses,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Managing the clinical analysis ordered for their patients, from ordering, tracking, resulting, and reanalyzing based on new findings,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Supporting clinical care and research by matching patients to available clinical trials based on highly personalized inclusion and exclusion metrics,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Informing on administrative decisions including as they relate to patient growth, total cost of care, and risk identification and mitigation.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Engagement Technologies: Building Trust and Providing Value Through Clinical Partnership</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are dedicated to giving patients control of their own health data, and in support of this goal, we have designed patient access to Centrellis through our patient portal. Patients have demonstrated their trust by engaging with us and providing consent for us to collect and store their EMR data. After creating an account, patients are able to manage and track the clinical analysis that we are performing for them, including by being able to track, receive, and understand the initial insights into their clinical tests and data (including expanded carrier screening, or ECS, tests, and hereditary cancer tests), and to access our supporting clinical services, such as genetic counseling. Our patient portal also provides patients with the opportunity to partner with us to collect, manage, and regularly update their health data from their disparate healthcare providers, and help participants engage with their data through user-friendly applications, such as their genomic ancestry, personalized residual risk calculations, and other clinical and educational insights and information through important health events, like their pregnancy journey. For patients who have indicated their willingness to participate in research studies, our platform also provides integrated digital informed consenting and research program participation, through transparent, institutional review board approved processes, including targeted clinical trials offerings that provide relevant alternatives and access to the latest scientific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Activating Data Through Generation, Curation and Engineering</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designed Centrellis to create an accessible and usable database that can support interpretation consistently across patient populations represented within the broad healthcare ecosystem. Centrellis aggregates large-scale and diverse data, abstract and structure informative unstructured data, and finally integrate the data into an accessible, web-scalable data warehouse that employs a common data model across a broad series of databases. Unstructured data derived from EMR and associated data are run through multiple pipelines leveraging machine learning-enabled natural language processing, augmented as needed by human annotators, to extract information and knowledge from that data and then structure and implement extensive quality assurance processes for the resulting annotations. Our multiscale, integrative strategy allows us to connect the processed EMR data with complex biological data from many sources, such as the genome, proteome, transcriptome, epigenome, and microbiome. Our standardization of the genomic and EMR data also allows us to pursue strategic relationships in the Biopharma industry, connecting Biopharma companies with clinicians and researchers to create computational models of disease, discover and validate targets and biomarkers, help design clinical trials and recruit patients, and support the collection of real-world data and evidence.</w:t>
      </w:r>
    </w:p>
    <w:p>
      <w:pPr>
        <w:spacing w:after="0" w:line="10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not only collect data from external sources, but also generate clinical-grade genomic datasets in our clinical and research processes, which further fuels the richness of the data from which Centrellis draws. Our genomic infrastructure enables us to convert bio-samples into datasets that span a range of genomic modalities, from DNA and RNA sequencing to epigenomic profiling, as well as different next generation sequencing technologies, including long-read, single molecule sequencing, low pass whole genome sequencing, and additional transformative technologies. Together with our diagnostic solutions, we use this multi-technology approach to ensure we generate data to comprehensively cover clinically actionable insights from and common variation in the genome, enabling the diagnosis of rare conditions and diseases or risk of passing on mutations to offspring that may cause severe disease, predicting risks of developing diseases such as cancer, predicting tolerability of various therapeutics, and creating broad genomic health profiles through the use of polygenic risk scores.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Advanced Domain-Specific AI Informatics for Insight Generation</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Finally, we believe our informatics and analysis capabilities form a meaningful connection between the web of databases that we have created in our data warehouse and the utility of Centrellis to our users. Based on our informatics engine, Centrellis generates deep interpretive insights derived from large-scale, multi-omic data, taking advantage of our deeper data generation capabilities, and provides actionable treatment recommendations and innovative research findings. These insights are provided to patients, clinicians, researchers, and partners through the tools described above.</w:t>
      </w:r>
    </w:p>
    <w:p>
      <w:pPr>
        <w:spacing w:after="0" w:line="12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are also continuing to develop these models and insights. Our researchers have developed a methodology to integrate diverse multi-omics data, including genomic, transcriptomic, and proteomic data, into causal probabilistic networks that help us to understand disease processes and identify key biomarkers through advanced network analysis. Our scientists have pioneered the use of DNA variation information to statistically infer causal relationships among any number of traits that have common genetic variance components. These approaches allow our teams to infer directed causal relationships among a pair of traits with shared genetic variance components, which then can be more systematically applied to traits to infer probabilistic causal network structures that can be mined for a broad range of discoveries. We also designed Centrellis with a high degree of flexibility to allow the platform to adjust to the rapidly changing and advancing health information landscape, highlighted by our Traversa genomic analysis platform, which we believe will lead to improved cost profiles over time as assays transition to whole genome sequencing at increasing resolutions.</w:t>
      </w:r>
    </w:p>
    <w:p>
      <w:pPr>
        <w:spacing w:after="0" w:line="10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we collect and analyze additional datasets, our platform enables the virtuous cycle of data, and we are able to further refine our products and hone our capabilities to provide enhanced analysis of these data. More data and more insights generate further data and insights to support our models. We have constructed automated pipelines to continuously search the literature and research repositories to expand and distill our knowledge graphs, which are in turn queried to provide the interpretations and insights delivered to users of our systems. To support our interpretations and insights, we utilize internal experts as needed to help resolve conflicting findings to improve upon the actionable insights we deliver to physicians and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Traversa: Our Genomics Platform for Optimizing Screening and Diagnostic Genomics Products and Population Health Initiatives</w:t>
      </w:r>
    </w:p>
    <w:p>
      <w:pPr>
        <w:spacing w:after="0" w:line="18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Traversa is our comprehensive genomics platform that has been designed to serve as the backbone of our genomic analysis products, and we are in the process of transitioning all of our genomic analyses to this platform. For products on the Traversa platform, we generate data on all known medically relevant regions of the genome at clinical-grade coverage, as well as low-pass whole genome data to span all common variation in the genome. We also ask for the patient’s consent to biobank the corresponding samples for future clinical testing. While we report on the specific genes analyzed at the request of the clinician and patient, these baseline data and bio-banked samples allow us to respond to requests for additional analysis quickly by generating “in silico” interpretations on genomic data already existing on a patient and to surface signals that might be medically relevant across a patient’s life course.</w:t>
      </w:r>
    </w:p>
    <w:p>
      <w:pPr>
        <w:spacing w:after="0" w:line="9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When deployed at across an entire health system, as we intend with our health system partners, Traversa will enable data driven collaborations and initiatives with health systems by establishing comprehensive clinical and genomic data profiles with patient consent. Particularly where integrated with EMR data, Traversa provides health systems with a unique opportunity to deploy population health management programs because of the robust data from which those programs will draw and because of the efficiencies it will create across the health ecosystem by eliminating the repetition of the most time-consuming and costly aspects of genomic analysis, including sample collection and preparation and the generation of sequence data. Using Traversa, clinicians and health systems will have the freedom to advance patient care by allowing clinicians to establish clinical utility and drive adoption of new analysis products, which we believe will consequently expedite improved reimbursements against lower total production costs for those offerings.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We Collect and Manage Rich, Longitudinal Data Built from Diverse Sources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health information database that we have created draws from many complementary sources, which we manage in accordance with patient consent and preferences, our regulatory obligations, and our transparent privacy policy and practices. These data are housed in a complex, cloud-based data lake that allows us to manage the various rights and obligations for each dataset at a granular level, including patient-specific requests with regard to their data.</w:t>
      </w:r>
    </w:p>
    <w:p>
      <w:pPr>
        <w:spacing w:after="0" w:line="8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This database includes data generated in the performance of our clinical services to patients and clinicians, including Women’s Health and Oncology testing, as well as additional data that patients provide to us through their engagement with our patient portal and research programs. In addition, we participate in health information exchanges and public database programs, including through the National Institutes of Health. We also generate and collect data by collaborating with our research partners and provide sequencing and analysis services in connection with research programs. We further leverage the data rights provided by patients and secured through our strategic relationships, such as our oncology information partnership with VieCure that by the end of 2022 is expected to provide us with access to multiple cancer centers and data from all of their active cancer patients, with the number of newly diagnosed active cancer patients growing substantially each year. Additionally, we support health systems and other clinical service providers by applying our Centrellis tools to their clinical workflows and medical record databases, and we receive certain rights to work with anonymized datasets and to partner with the health systems in their ongoing clinical and research programs. We have provided such services extensively for Mount Sinai and are in the process of expanding this program with additional health systems, including Advent Health, Avera and NorthShore. For more information regarding our data arrangements with Mount Sinai, see “</w:t>
      </w:r>
      <w:r>
        <w:rPr>
          <w:rFonts w:ascii="Arial" w:cs="Arial" w:eastAsia="Arial" w:hAnsi="Arial"/>
          <w:sz w:val="15"/>
          <w:szCs w:val="15"/>
          <w:i w:val="1"/>
          <w:iCs w:val="1"/>
          <w:color w:val="auto"/>
        </w:rPr>
        <w:t>Certain Relationships and Related Party Transactions—Related Party Transactions—Sema4</w:t>
      </w:r>
      <w:r>
        <w:rPr>
          <w:rFonts w:ascii="Arial" w:cs="Arial" w:eastAsia="Arial" w:hAnsi="Arial"/>
          <w:sz w:val="15"/>
          <w:szCs w:val="15"/>
          <w:color w:val="auto"/>
        </w:rPr>
        <w:t>”.</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Our Established Diagnostics Solutions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existing diagnostics solutions business centers around Women’s Health and Oncology and our industry-leading diagnostic solutions are powered by Centrellis and delivered through a full-service model that efficiently integrates into provider workflows. Currently, we derive the majority of our revenue from these established diagnostic test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Elements Women’s Health Solutions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deep foundation in Women’s Health began before Sema4’s formation within Mount Sinai, where our lab—then called the “Mount Sinai Genetics Testing Lab”—pursued the goal of providing compassionate patient care to a highly diverse population while advancing science through education, research, and outreach. We pioneered accurate and precise pre-conception genetic screening, and we have continued to build upon that work, expanding our focus into a multi-generational and pan-ethnic view of the health of individual women and their families. Sema4 Elements™, our portfolio of data-science driven products and services to support reproductive and generational health, highlights our continued focused effort to accelerate the expansion of genomic diagnostic solutions, secondary insights, platform solutions and enriching health system value to drive continued growth in our Women’s Health business, including by leveraging our state-of-the-art genomic infrastructure and Centrellis platform.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Carrier Screening: Deriving population-health insights from genomic data to differentiate our industry-leading tests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Expanded Carrier Screen, or ECS, test is one of the most comprehensive and accurate carrier screening tests available in the market, covering up to 502 genes. We provide a comprehensive solution to physician practices to enable them not only to deliver sophisticated differential insights and care management guidance in support of the clinician’s care plan for the patient, but to also do so with minimal impact on the practice’s operation, helping to ensure physician offices are not overwhelmed by the amount of information and follow up that can be necessitated by carrier screening.</w:t>
      </w:r>
    </w:p>
    <w:p>
      <w:pPr>
        <w:spacing w:after="0" w:line="9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ECS solution uses proprietary technology to identify a patient’s molecular ancestry on a genome-wide level for personalized residual risk assessments by analyzing patient-specific genealogical information that is critical to better understand a patient’s chance for passing on inherited disease. This technology has been designed to increase the accuracy of the residual risks reported to patients, in comparison to competing products that determine residual risk based on using self-reported ancestry information that does not reflect the population groups represented in the patient’s genome. Our solution also provides patients with personalized residual risk education, along with the option to view their molecular ancestry report in the Sema4 patient portal.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Non-invasive Prenatal Testing Solutions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Noninvasive Prenatal Testing is a comprehensive noninvasive prenatal test, that screens for autosomal and sex chromosome aneuploidies. Our advanced sequencing technology has been designed to provide reliable results down to approximately 2% fetal fraction, the amount of fetal cell-free DNA in the maternal blood sample, and has been designed to have a low failure rate, which helps reduce the need for redraws, limits unnecessary invasive procedures, and improves time to results.</w:t>
      </w:r>
    </w:p>
    <w:p>
      <w:pPr>
        <w:spacing w:after="0" w:line="13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Expansive development in prenatal screening allows our team to advance scientific efforts to deliver Genome Wide Screening and includes the ability to detect additional whole chromosome aneuploidies and copy number variations, or CNVs. We believe an updated bioinformatics pipeline will help to further reduce false positives. We expect to release new versions of our code in 2022, which we believe will help improve the positive predictive value for CNV calling through fetal fraction enrichment and CNV normalization through nucleosome positioning and fragment characteristics.</w:t>
      </w:r>
    </w:p>
    <w:p>
      <w:pPr>
        <w:spacing w:after="0" w:line="9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are developing these future test versions to enable the detection of single gene disorders, such as cystic fibrosis and sickle cell disease. This testing may be used for at risk couples to screen a pregnancy for genomic analysis of a specific disorder or as a general screening tool with a panel of diseases. We believe these code enhancements will also facilitate validation of polyploidy, fetal zygosity and molar pregnancy detection, all of which are important aspects of screening pregnancies for chromosomal abnormalities and are not widely available through non-invasive testing.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Natalis Newborn Screening Solutions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Natalis test is an extension of our screening portfolio allowing for detection of heritable conditions from pre-conception, pregnancy and childhood. Newborn Screening, or NBS, detects heritable conditions that are amenable to medical management in newborns and young children. Natalis screens for 193 conditions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knowledge of the condition by the pediatrician may result in prescribing treatment with medications, dietary modifications, or other therapies to improve the baby’s health. All positives are confirmed using biochemical and molecular analysis. Natalis screens for up to five times as many conditions as the newborn screening programs run by certain state governments.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Signal Precision Oncology Solutions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believe that our Centrellis platform, combined with our comprehensive whole exome and whole transcriptome tumor profiling and hereditary cancer and pharmacogenomics genomic testing solutions, will make a meaningful difference in transforming cancer care. We have developed the “Sema4 Signal®” portfolio to be leveraged individually or as part of a holistic solution for precision oncology care. The Sema4 Signal portfolio features the integration of our germline and somatic tests with our informatics and data science tools, enabled by customized services to meet patient and provider needs to help drive more personalized care. The Sema4 Signal products include our oncology genomic test solutions, our molecular and clinical data curation and annotation capabilities to inform on the genomic information in the context of the patient’s previous and current medical records, and various software applications to enable engagement of these data and complex results to facilitate clinical decisions, research discoveries and drug development.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Sema4 Signal Hereditary Cancer Solution</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Sema4 Signal Hereditary Cancer solution determines if a patient carries an inherited genetic change that increases the risk of cancer or informs on cancer treatment. It is used to inform personalized medical management decisions to aid early detection and prevention of cancer, as well as to determine the most appropriate treatment approaches if cancer occurs, and strategies to reduce risk of additional cancers.</w:t>
      </w:r>
    </w:p>
    <w:p>
      <w:pPr>
        <w:spacing w:after="0" w:line="11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offer one of the most comprehensive sets of panels on the U.S. market, and deliver this solution supported by the Traversa platform to enable us to adapt our panels as new discoveries on clinically actionable variants are made, so we can adapt at the rate of learning. Our solution includes tools to enable testing at the point of care or outside the office, including a digital family screening questionnaire to identify individuals who would benefit from testing, digital ordering via an EMR portal, video-based education, saliva procurement in the patient’s home, proactive billing investigation, pre-and post-test genetic counselling and family outreach to enable cascade testing.</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Hereditary Cancer Solution is a unique product in our portfolio in that it is sold in connection with our Oncology, Women's Health and population health solutions. For affected cancer patients, integrating hereditary cancer with our Sema4 Signal Whole Exome and Transcriptome and our informatics offerings, which incorporating real world evidence, integrates available data needed to better personalized clinical care decisions. For unaffected patients, our Sema4 Signal Hereditary Cancer solution is incorporated into both our Women’s Health and Population Health products and services to support early identification and treatment of cancer risk.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Signal Whole Exome and Transcriptome Solution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believe our Sema4 Signal Whole Exome and Transcriptome solution is one of the most comprehensive molecular profiling solutions from a commercial entity to receive New York State approval. Our profiling platform integrates tumor-normal matched whole exome sequencing, or “WES”, with whole transcriptome sequencing, or WTS, to deliver clinically actionable information about somatic and germline alterations in solid tumors and hematologic malignancies. This solution provides for access to a holistic view of a patient’s genome and insights into novel fusions, splice variants, and molecular pathways. It also provides for germline findings for cancer and non-cancer genes, as per American College of Medical Genetics guidelines, with relevance to comorbidities, such as familial hypercholesterolemia, and certain drug interactions.</w:t>
      </w:r>
    </w:p>
    <w:p>
      <w:pPr>
        <w:spacing w:after="0" w:line="12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deliver the WES/WTS solution using a number of proprietary tools housed in Centrellis, including our cancer knowledge-base, which contains comprehensive structured data and learnings on clinically relevant variants, including curated maps that link relevant clinical trials to variants that serve as eligibility biomarkers for the trials, as annotated by Ph.D. oncology experts. Our variant interpretation station for oncology automates clinical reporting by managing the variant curation process and recommending suitable therapies. This AI-driven genomic platform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updated regularly with recent medical literature and prioritizes clinically-significant variants, enabling providers to quickly review and leverage actionable insights.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Signal Informatics Solutions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To complement the genomics diagnostic solutions, the Sema4 Signal products leverage Centrellis’s provider engagement technologies, described above, including to automatically abstract, annotate, and combine oncology specific datasets, including clinical medical record data, imaging, and genomics. This clinical-genomic data set is provided back to health systems and providers and is powered by our digital applications to drive better personalized care for patients, including clinical trial recruitment, improved system-wide quality of care and increased financial and research activity.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and Payer Relations Strategy</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developed and are advancing our strategy to drive increased reimbursement and higher average selling prices, or ASPs, for our Sema4 Signal Oncology solutions. As part of this strategy, we will take advantage of a Medicare Administrative Contractor (MAC), National Government Services (NGS), update to a Local Coverage Decision (LCD) titled Genomic Sequence Analysis Panels in the Treatment of Solid Organ Neoplasms under which qualifying CGP tests are covered for patients insured by Medicare, who are living with advanced cancer and meet other clinical criteria.</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we are expanding our presence in select markets where Palmetto GBA is the MAC and the MolDx program they administer provides opportunities to apply for coverage under existing or future LCDs. Specifically, we have, or intend to, submit Technical Assessments for coverage and reimbursement of WES/WTS and other tumor profiling solutions based on existing MolDx LCDs.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Beyond the testing, we are exploring the regulatory and market access landscape as it relates to the governance and reimbursement of real-world evidence and AI driven clinical decision-making tools. As we demonstrate the clinical utility of information driven solutions, these emerging areas will become relevant.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COVID-19 Testing Initiative</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response to the outbreak of the worldwide COVID-19 pandemic, in the first quarter of 2020, we rapidly leveraged our existing technologies and infrastructure capabilities, supplemented by a requisite set of technologies and services, to offer a comprehensive COVID-19 diagnostic testing service for our customers. However, on December 15, 2021, we announced that we decided to discontinue COVID-19 testing services by March 31, 2022 and began notifying our COVID-19 testing solutions customers of this decision. Nationwide and regional lab capacity for COVID-19 testing has increased since we entered the market for COVID-19 testing in the first half of 2020. Management believes it is the appropriate time to discontinue this line of services and dedicate all of our efforts and resources to our core mission to transform healthcare by using artificial intelligence to enable the delivery of precision medicine as the standard of care.</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Our Solution for Health Systems and Providers</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origins within a large academic medical center helped us establish our integrated health system collaboration model, where we seek to integrate our platform across numerous health system workflows to enable precision medicine solutions using Centrellis, from Women’s Health, to Oncology, to patient wellness. Our provider and health system engagement offerings include patient and provider portals, facilitating scheduling of patient appointments, patient consenting, pre-test and post-test genetic counseling, results delivery and patient record management, among other tools and applications that are designed to allow physicians to better engage contextualized information around their patients to improve decision 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Health System Engagement Model</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believe we have developed a compelling value proposition for our initial health system partners, with distinguishing features including our focus on serving local community populations, our track-record of delivering digital or technology-enabled standards of care, and our investment in precision medicine and adoption of genomic diagnostic solutions, with our desire to have predictive insights permeate all service lines and the general patient experience in their system. In addition to our deep relationship with Mount Sinai, we have contracted to deploy Centrellis in additional health systems, which we expect will expand our impact and reach.</w:t>
      </w:r>
    </w:p>
    <w:p>
      <w:pPr>
        <w:spacing w:after="0" w:line="14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have refined a health system engagement model designed to maximize both our and our partner health system’s value from the relationship. We balance clinical-grade and research-based projects in order to deliver value in an economically sustainable manner and establish health and economic performance metrics that form the basis of quarterly steering committee reviews with the program’s executive sponsors. Our model focuses on:</w:t>
      </w:r>
    </w:p>
    <w:p>
      <w:pPr>
        <w:spacing w:after="0" w:line="84" w:lineRule="exact"/>
        <w:rPr>
          <w:sz w:val="20"/>
          <w:szCs w:val="20"/>
          <w:color w:val="auto"/>
        </w:rPr>
      </w:pPr>
    </w:p>
    <w:p>
      <w:pPr>
        <w:jc w:val="both"/>
        <w:ind w:left="640" w:hanging="316"/>
        <w:spacing w:after="0" w:line="25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Embedding our genomic analyses as a standard of care for Women’s Health, Oncology and/or specific diseases, which includes our full-service model including patient and provider education, patient engagement, genetic counseling and integration with the health systems’ clinical workflow and EMR,</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Enhancing existing health system data sets by leveraging our data curation capabilities for both structured and unstructured data to identify clinical utility that can be used by health system providers, researchers and administration,</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software applications to facilitate deeper engagement of the enhanced health system data we produce, such as reconstructing and visualizing patient health journeys, identifying patient cohorts based on any number of filter criteria, and characterizing outcomes of patients in response to different treatments prescribed,</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population health programs where health system patients are invited to broad population genetic screening,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mutually beneficial research collaboration programs that leverage the strengths of our and our health system partners.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 Create Mutually Beneficially Value for Us and Our Health System Partners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pursue strategic relationships with health systems that evaluate financial returns on a holistic basis. We evaluate success on a long-term basis and recognize that the primary aim of every health system is to provide superior patient care with improved health economics. As such, we continue to use the proceeds from our July 2021 business combination and related private placement financing (which we refer to as the “Prior PIPE Investment”) to accelerate growth in our health system relationships by further investing in research-oriented projects, as well as data curation, platform integrations, and building standards of care to operationalize our testing programs. Starting with Mount Sinai and extending throughout our network, we intend to cross-validate and scale our technologies across health systems, as we seek to enable patients by leveraging data and tools across systems and patient populations in a network model so each partner can benefit from what is being learned across the healthcare ecosystem.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Act as a Broker and Catalyst for Commercial Engagement Between Health System and Biopharma Companies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While health systems and Biopharma companies have an established ability to collaborate effectively and will continue to partner directly, we believe that our network in both segments of the healthcare ecosystem and ability to add value to these relationships through data engineering makes us well-positioned as a valued collaborator for both types of organizations. Biopharma collaborations are often not the focus for health systems, as they have high start-up costs to develop relationships that extend to patient care. We can support our health system partners by working more collaboratively with them to understand their capabilities and how those capabilities are complemented by our enhancement of a health systems’ data assets and clinical-genomic data generation capabilities, and by facilitating solutions that can be provided jointly to Biopharma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Our Biopharma Solutions Engage and Enable Our Partners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established and continue to seek strategic relationships with Biopharma companies to enable drug discovery, development, and commercialization. We have demonstrated the ability to integrate across the pharmaceutical life cycle as a result of the unique data and patient and provider engagements developed in our health system relationships and information-driven diagnostics solutions, combined with our powerful analytics capabilities and software solutions.</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Biopharma industry has become increasingly competitive as it moves toward the more precise targeting of patients in crowded disease segments, and we believe this trend positions us as a key partner for Biopharma companies to build a competitive advantage by unlocking the power of big data and enabling next generation precision medicine.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Strive for Interconnected Strategic Relationships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serve our Biopharma customers through a unique combination of clinical testing services, clinical and research study design and execution, and advanced data and analytics capabilities.</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competitive advantage in this space comes from leveraging comprehensive data generated via testing, integrating these deep molecular profiles with clinical patient information, and representing this comprehensive patient data in the Centrellis platform. This enables us to create direct and real time integration of clinical and genetic data with providers connected to drug discovery research, real world evidence studies, and other therapy development opportunities. We are also able to utilize our solutions and unique data assets to enroll patients into clinical trials and to connect Biopharma partners to patient populations matching eligibility criteria for their trials, to facilitate patients receiving novel therapies still under development, and to perform broad genomic and transcriptomic sequencing on health system partner sample banks in collaboration with Biopharma partners.</w:t>
      </w:r>
    </w:p>
    <w:p>
      <w:pPr>
        <w:spacing w:after="0" w:line="9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our engagement with Biopharma customers, we are focused on a range of disease conditions, including oncology, autoimmune and inflammatory disorders, and rare diseases. Our disease-agnostic approach provides us with the flexibility to support our Biopharma partners across varied therapeutic areas. We continue to work with our Biopharma partners to identify their specific needs and broaden the scope of our disease coverage accordingly.</w:t>
      </w:r>
    </w:p>
    <w:p>
      <w:pPr>
        <w:spacing w:after="0" w:line="8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believe that, because of our core capabilities and differentiated approach, we are well-positioned to support next-generation drug discovery, development, and commercialization. We further believe our ability to generate deep, clinical-grade multi-omic datasets renders us a valuable genomic testing solution provider for precision medicine Biopharma products. Through direct engagement of providers and patients, we assist Biopharma partners in a patient-centric approach to research and clinical development. By obtaining and curating high-dimensional data in our Centrellis platform, we deliver novel insights that help to de-risk the development of next generation therapeutics, provide for pharmacologic proof of concept via the integration of genomic and clinical data support, reduce development costs, enhance the patient experience, and increase speed to market.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Solutions for BioPharma Customers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engage with our Biopharma customers to develop and deliver unique goods and services for the particular issues that each customer faces. We believe that our Biopharma partners can realize significant value when collaborating with our team to utilize a more integrated, end-to-end solution that leverages our core set of capabilities, including longitudinal patient data, AI-driven predictive modeling, and genomics. We have demonstrated the ability to develop these deep, integrated strategic relationships with Biopharma companies. For example, our five-year collaborative study with Sanofi S.A., or Sanofi, is centered on discovery of new insights into the biological mechanisms and other factors implicated in asthma to help drive Sanofi’s next generation of asthma targets as well as to enhance Sanofi’s understanding of the relevant populations for both its current and in-development therapies and the therapies marketed by others. This asthma study is currently recruiting nearly 1,200 patients, and involves comprehensive clinical characterization of patients and controls, longitudinal monitoring of patient conditions through various applications and devices, collection of biological samples for molecular profiling and generation and integration of DNA and RNA sequencing data with clinical and device acquired data. The study is also leveraging the integrated, longitudinal data to construct models of asthma to stratify patients into subtypes,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seeking to better understand treatments relevant to different subtypes or where there is unmet need for further drug discovery efforts. Along with Sanofi, we will collect traditional clinical data, genomics, immunological, environmental, and sensor data from mobile devices to enable sophisticated analyses and to include advanced causal network modeling.</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general, our Biopharma strategy focuses on three main offering areas:</w:t>
      </w:r>
    </w:p>
    <w:p>
      <w:pPr>
        <w:spacing w:after="0" w:line="164" w:lineRule="exact"/>
        <w:rPr>
          <w:sz w:val="20"/>
          <w:szCs w:val="20"/>
          <w:color w:val="auto"/>
        </w:rPr>
      </w:pPr>
    </w:p>
    <w:p>
      <w:pPr>
        <w:jc w:val="both"/>
        <w:ind w:left="640" w:hanging="316"/>
        <w:spacing w:after="0" w:line="268"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Genomic Testing and Analysis Solutions: We serve as a comprehensive clinical testing lab, offering a broad menu of molecular, cytogenic and biochemical testing services for our Biopharma partners. Our technology development group enables us to apply innovative profiling technologies such as long-read, single-cell and spatial molecular profiling approaches to help address our Biopharma partners’ challenges. The data generated by these capabilities, when combined with our analytics services, can produce insights that inform on disease biology, improve and accelerate the drug development process, and help ensure that patients can be made aware of relevant treatment options.</w:t>
      </w:r>
    </w:p>
    <w:p>
      <w:pPr>
        <w:spacing w:after="0" w:line="127" w:lineRule="exact"/>
        <w:rPr>
          <w:rFonts w:ascii="Arial" w:cs="Arial" w:eastAsia="Arial" w:hAnsi="Arial"/>
          <w:sz w:val="17"/>
          <w:szCs w:val="17"/>
          <w:color w:val="auto"/>
        </w:rPr>
      </w:pPr>
    </w:p>
    <w:p>
      <w:pPr>
        <w:jc w:val="both"/>
        <w:ind w:left="640" w:hanging="316"/>
        <w:spacing w:after="0" w:line="306" w:lineRule="auto"/>
        <w:tabs>
          <w:tab w:leader="none" w:pos="635" w:val="left"/>
        </w:tabs>
        <w:numPr>
          <w:ilvl w:val="0"/>
          <w:numId w:val="9"/>
        </w:numPr>
        <w:rPr>
          <w:rFonts w:ascii="Arial" w:cs="Arial" w:eastAsia="Arial" w:hAnsi="Arial"/>
          <w:sz w:val="15"/>
          <w:szCs w:val="15"/>
          <w:color w:val="auto"/>
        </w:rPr>
      </w:pPr>
      <w:r>
        <w:rPr>
          <w:rFonts w:ascii="Arial" w:cs="Arial" w:eastAsia="Arial" w:hAnsi="Arial"/>
          <w:sz w:val="15"/>
          <w:szCs w:val="15"/>
          <w:color w:val="auto"/>
        </w:rPr>
        <w:t>Data and Analytics Solutions: Centrellis enables us to provide our Biopharma partners with unique, data-driven insights that can help to accelerate the development of precision medicines, utilizing HIPAA-compliant, de-identified datasets. Using advanced analytics and causal network modeling, we work with partners to organize high-dimensional data in ways that facilitate the identification of statistically-inferred causal relationships that enable the identification, validation and prioritization of biomarkers and targets; identify molecular subtypes of disease; and predict patient disease progression, prognosis, drug response, adverse events, and other clinical outcomes. We believe that one of our particular strengths is our data science team, which is comprised of experts published in leading scientific journals. We work with collaborators, researchers, and key opinion leaders to build new models of disease and deliver insights to Biopharma partners that can further optimize their operations.</w:t>
      </w:r>
    </w:p>
    <w:p>
      <w:pPr>
        <w:spacing w:after="0" w:line="103" w:lineRule="exact"/>
        <w:rPr>
          <w:rFonts w:ascii="Arial" w:cs="Arial" w:eastAsia="Arial" w:hAnsi="Arial"/>
          <w:sz w:val="15"/>
          <w:szCs w:val="15"/>
          <w:color w:val="auto"/>
        </w:rPr>
      </w:pPr>
    </w:p>
    <w:p>
      <w:pPr>
        <w:jc w:val="both"/>
        <w:ind w:left="640" w:hanging="316"/>
        <w:spacing w:after="0" w:line="264"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Clinical Trial Enablement Solutions: We believe that Centrellis, combined with our active, direct engagement of patients and providers in our Women’s Health and, by extension, rare disorders, Oncology, and population health solutions, positions us well to assist Biopharma partners in their clinical development activities. We have developed a number of software as a service, or SaaS, products to enable Biopharma clinical development, including a clinical trial patient matching product and a clinical trial design product that work with our longitudinal clinic-genomic dataset. Given our patient consent structure, we have the ability to re-contact patients who may benefit from a Biopharma sponsor’s trial. We have developed novel, technology-enabled workflows and solutions that allow us to search for and identify relevant patients in a manner that fully maintains patient confidentiality, and work with providers to assess and enroll these patients in clinical trials. The breadth of search and precision of this method of patient recruitment can substantially improve trial timelines versus traditional recruitment methods. We also assist prominent Biopharma partners seeking to use high-quality genomic analysis to assess patient eligibility for clinical trials. We believe our clinical testing services and data solutions make us a key partner for supporting efficient clinical trials.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invested a substantial amount of time and expense into research and development for our technology and test offerings, which requires the continuous improvement of software capabilities to analyze data and process customer orders. Our research and development efforts focus on several key areas, including multiscale biotechnology, assay development across sequencing technologies, data science and engineering, and the development of network-based models. We expect our research and development activities to increase as we innovate and expand the application of our current and future platforms including Traversa and Centrellis.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internationally recognized research team includes leaders in data science, network modeling, multiscale biotechnology and genomics. As noted above, our CEO, Eric Schadt, is a world-renowned expert on constructing predictive models of disease that link molecular biology to physiology to enable clinical medicine. He has published more than 450 peer-reviewed papers in leading scientific journals, with a public citation or “h-” index of 137, and has contributed to discoveries relating to the genetic basis of common human diseases such as cancer, diabetes,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obesity, and Alzheimer’s disease. Under the leadership of our CEO, our research team comprises more than 160 Ph.D.-level scientists, complemented by additional physician scientists and certified technicians as of December 31, 2021. Ongoing collaborations with scientists and clinicians at the Mount Sinai and other healthcare systems allows our research to remain patient-centered and clinically relevant.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intellectual property rights pertaining to all elements of our platforms and solutions. Our success and ability to compete depend in part on securing and preserving enforceable patent, trade secret, trademark and other intellectual property rights; operating without having competitors infringe, misappropriate or otherwise circumvent these rights; operating without infringing the proprietary rights of others; and obtaining and maintaining licenses for technology development or product commercialization.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fields of genomic and health information analysis present limited opportunities for patent protection, based on well-known legal precedents. As result, our patent protection strategy is to protect our non-gene specific technology and our specific biomarkers. In this regard, as of December 31, 2021, we have four pending utility patent applications and one provisional patent application. The pending utility patent applications include a U.S. patent application related to a genome annotation software platform for annotating genomic intervals that are clinically relevant for analysis, a U.S. patent application related to a genetic carrier screening process, and U.S. and European patent applications related to therapeutic treatment for subjects having certain polymorphic markers associated with specific human leukocyte antigen alleles. If patents are issued from the currently pending applications, the earliest patents will begin expiring in 2040, subject to potential extensions of the patent term that will be calculated based on the length of the patent examination process.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Accordingly, we may not be able to meaningfully protect our trade secrets. For more information regarding the risks related to our intellectual property, see the section entitled “</w:t>
      </w:r>
      <w:r>
        <w:rPr>
          <w:rFonts w:ascii="Arial" w:cs="Arial" w:eastAsia="Arial" w:hAnsi="Arial"/>
          <w:sz w:val="17"/>
          <w:szCs w:val="17"/>
          <w:i w:val="1"/>
          <w:iCs w:val="1"/>
          <w:color w:val="auto"/>
        </w:rPr>
        <w:t>Risk Factors — Risks Related to Our Intellectual Property</w:t>
      </w:r>
      <w:r>
        <w:rPr>
          <w:rFonts w:ascii="Arial" w:cs="Arial" w:eastAsia="Arial" w:hAnsi="Arial"/>
          <w:sz w:val="17"/>
          <w:szCs w:val="17"/>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own various trademarks, applications and unregistered trademarks in the U.S and other commercially important markets, including our company name, product and service names and other trade or service marks. Our trademark portfolio is designed to protect the brands for our products and services, both current and in the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Patients who have diagnostic tests ordered or are prescribed treatments by providers performing the prescribed services, generally rely on third-party payors to reimburse all or part of the associated healthcare costs. Sales of our products and services will therefore depend substantially on the extent to which the costs of our products and services will be paid by third-party payors, including health maintenance, managed care and similar healthcare management organizations, or reimbursed by government health administration authorities, such as Medicare and Medicaid and private health insurers.</w:t>
      </w:r>
    </w:p>
    <w:p>
      <w:pPr>
        <w:spacing w:after="0" w:line="9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the United States, our ability to commercialize and the commercial success of our product and service offerings will depend in part on the extent to which governmental payor programs at the federal and state levels, including Medicare and Medicaid, private health insurers and other third-party payors provide coverage for and establish adequate reimbursement levels for these offerings. Government authorities, private health insurers and other organizations generally decide which devices they will pay for and establish reimbursement levels for healthcare. Medicare is a federally funded program for the elderly and disabled managed by Centers for Medicare &amp; Medicaid Services, or CMS, through local contractors that administer coverage and reimbursement for certain healthcare items and services. Medicaid is an insurance program for certain categories of patients whose income and assets fall below state defined levels, and is funded jointly by federal and state governments and managed by each state. Similarly, the federal government manages other healthcare programs, including the Veterans Health Administration, the Indian Health Service, and Tricare, the healthcare program for military personnel, retirees, and related beneficiaries. Many states have also created pharmacy assistance programs for individuals who do not qualify for federal programs. In the U.S., private health insurers and other third-party payors often provide reimbursement for products and services based in part on the coverage and payment rates set by the Medicare or Medicaid programs.</w:t>
      </w:r>
    </w:p>
    <w:p>
      <w:pPr>
        <w:spacing w:after="0" w:line="13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Federal programs in the U.S. also sometimes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products and services or exclusion of our products and services from coverage. In addition, government programs like Medicaid include what are in effect substantial penalties for increasing commercial prices of certain products over the rate of inflation which can affect realization and return on investment.</w:t>
      </w:r>
    </w:p>
    <w:p>
      <w:pPr>
        <w:spacing w:after="0" w:line="1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Increasing efforts by governmental and third-party payors to cap or reduce healthcare costs may cause such organizations to limit both coverage and level of reimbursement for newly approved healthcare products. At the state level, legislatures are increasingly passing legislation and implementing regulations designed to control pharmaceutical and biological program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As a result of the above trends, we may need to conduct expensive studies in order to demonstrate the medical necessity and cost effectiveness of our products and services, in addition to the costs required to obtain FDA approvals. Our products and services may not be considered medically necessary or cost effective, or the discount percentages required to secure coverage may not yield an adequate margin over cost.</w:t>
      </w:r>
    </w:p>
    <w:p>
      <w:pPr>
        <w:spacing w:after="0" w:line="11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Many hospitals implement a controlled and defined process for covering and approving diagnostic tests and medical devices. Any marketing efforts that are determined to have violated such policies could result in the denial or removal of our products from that hospital’s list of approved products.</w:t>
      </w:r>
    </w:p>
    <w:p>
      <w:pPr>
        <w:spacing w:after="0" w:line="5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Moreover, a payor’s decision to provide coverage for a diagnostic product does not imply that an adequate reimbursement rate will be approved. Adequate third-party reimbursement may not be available to enable us to maintain price levels sufficient to realize an appropriate return on our investment in device development. Legislative proposals to reform healthcare or reduce costs under government insurance programs may result in 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reimbursement for our products and services or exclusion of our products and services from coverage. The cost containment measures that healthcare payor and providers are instituting and any healthcare reform could significantly reduce our revenue from the sale of any approved products and services. We cannot provide any assurances that we will be able to obtain and maintain third-party coverage or adequate reimbursement for our products and services in whole or in part.</w:t>
      </w:r>
    </w:p>
    <w:p>
      <w:pPr>
        <w:spacing w:after="0" w:line="13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addition, amendments to the False Claims Act impose severe penalties for the knowing and improper retention of overpayments collected from governmental payors. Within 60 days of identifying and quantifying an overpayment, a provider is required to notify CMS or the Medicare contractor of the overpayment and the reason for it and return the overpayment. These amendments could subject our procedures for identifying and processing payments to greater scrutiny. Overpayments may occur from time to time in the healthcare industry without any fraudulent intent. For example, overpayments may result from mistakes in reimbursement claim forms or from improper processing by governmental payor. We maintain protocols intended to identify any overpayments. From time to time, we may identify overpayments and be required to refund those amounts to governmental payors.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Improvement Act</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clinical reference laboratories in Connecticut are required to hold certain federal certificates to conduct our business. Under the Clinical Laboratory Improvement Act of 1988, or CLIA, we are required to hold a certificate applicable to the type of laboratory examinations we perform and to comply with standards covering personnel, facilities administration, inspections, quality control, quality assurance and proficiency testing.</w:t>
      </w:r>
    </w:p>
    <w:p>
      <w:pPr>
        <w:spacing w:after="0" w:line="11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of December 31, 2021, we have a current certificate under CLIA to perform testing at our laboratory locations in Stamford and Branford, Connecticut. To renew this CLIA certificate, we are subject to survey and inspection every two years to assess compliance with program standards. Moreover, CLIA inspectors may make random inspections of our clinical reference laboratories. The regulatory and compliance standards applicable to the testing we perform may change over time, and any such changes could have a material effect on our business.</w:t>
      </w:r>
    </w:p>
    <w:p>
      <w:pPr>
        <w:spacing w:after="0" w:line="12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If our clinical reference laboratory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and Medicaid beneficiaries. If we were to be found out of compliance with CLIA requirements and subjected to sanction, our business could be harmed.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Laboratory Testing</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is required to maintain a license to conduct testing in Connecticut. Connecticut laws establish standards for day-to-day operations of our laboratories in Stamford and Branford, Connecticut. If our clinical reference laboratories are out of compliance with Connecticut standards, the Connecticut Department of Health Services, or CDHS, may suspend, restrict or revoke our license to operate our clinical reference laboratories, assess substantial civil money penalties, or impose specific corrective action plans. Any such actions could materially affect our business. As of December 31, 2021, we maintain a current license in good standing with CDHS. However, we cannot provide assurance that CDHS will at all times in the future find us to be in compliance with all such laws.</w:t>
      </w:r>
    </w:p>
    <w:p>
      <w:pPr>
        <w:spacing w:after="0" w:line="1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Several states require the licensure of out-of-state laboratories that accept specimens from those states. For example, New York requires a laboratory to hold a permit which is issued after an on-site inspection and approval of testing methodology and has various requirements over and above CLIA and the College of American Pathologists, or CAP, Laboratory Accreditation Program, including those for personnel qualifications, proficiency testing, physical facility, equipment, and quality control standards. Our laboratory holds the required licenses for California, New York, Maryland, Pennsylvania, and Rhode Island.</w:t>
      </w:r>
    </w:p>
    <w:p>
      <w:pPr>
        <w:spacing w:after="0" w:line="14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Each of our clinical reference laboratories in Connecticut is required to be licensed on a test-specific basis by New York State as an out of state laboratory and our products, as laboratory-developed tests, or LDTs, must be approved by the New York State Department of Health, or NYDOH, before they are performed on samples from New York. Each Sema4 laboratory is licensed by New York, and we are currently approved for testing samples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York. We are subject to periodic inspection by the NYDOH and we are required to demonstrate ongoing compliance with NYDOH regulations and standards.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states may adopt similar licensure requirements in the future, which may require us to modify, delay or stop our operations in such jurisdictions. Complying with licensure requirements in new jurisdictions may be expensive, time-consuming, and subject us to significant and unanticipated delays. If we identify any other state with such requirements, or if we are contacted by any other state advising us of such requirements, we intend to follow instructions from the state regulators as to how we should comply with such requirements.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Drug Administration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Laboratory Developed Tests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provide our tests as LDTs. CMS and certain state agencies regulate the performance of LDTs (as authorized by CLIA and state law, respectively). 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Nevertheless, the FDA may decide to regulate certain LDTs on a case-by-case basis at any time.</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Legislative proposals addressing the FDA's oversight of LDTs have been introduced in previous Congresses, and we expect that new legislative proposals will be introduced from time-to-time. The likelihood that Congress will pass such legislation and the extent to which such legislation may affect the FDA's plans to regulate certain LDTs as medical devices is difficult to predict at this time.</w:t>
      </w:r>
    </w:p>
    <w:p>
      <w:pPr>
        <w:spacing w:after="0" w:line="13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assure you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medical device requirements to our tests could materially and adversely affect our business, financial condition, and results of operations.</w:t>
      </w:r>
    </w:p>
    <w:p>
      <w:pPr>
        <w:spacing w:after="0" w:line="1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Failure to comply with applicable FDA regulatory requirements may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may obtain FDA premarket approval, or PMA, for some of our tests including its matched whole exome sequencing, or WES, and whole transcriptome sequencing, or WTS, tests. Devices subject to FDA regulation must undergo premarket review prior to commercialization unless the device is exempt from such review, and we expect that we will be required to perform non-inferiority studies showing comparable results between the Sema4 Signal WES/WTS LDT and third party, FDA-approved tests with regard to certain therapeutic drugs prescribed to ovarian cancer patients, colorectal cancer patients, and non-small cell lung cancer patients. We are currently evaluating an updated pre-submission letter to the FDA with regard to the studies necessary for ovarian cancer and is working to secure access to the subjects necessary to perform this study. With regard to the studies necessary for colorectal cancer patients and non-small cell lung cancer patients, we submitted our pre-submission package and held a pre-submission meeting with the FDA in 2020, and are working to secure access to the subjects necessary to perform this study. Further, the regulations governing the approvals place substantial restrictions on how the tests will be marketed and sold, specifically, by prescription only. In addition, as a condition of Sema4’s FDA approval, we may be required to conduct post-approval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Additionally, manufacturers of medical devices must comply with various regulatory requirements under the Food, Drug, and Cosmetic Act, or FDCA, and regulations thereunder, including, but not limited to, quality system regulations, unless they are exempt, facility registration, product listing, labeling requirements, and certain post-market surveillance requirements. Entities that fail to comply with FDA requirements can be liable for criminal or civil penalties, such as recalls, detentions, orders to cease manufacturing, and restrictions on labeling and promotion, among other potential sanctions.</w:t>
      </w:r>
    </w:p>
    <w:p>
      <w:pPr>
        <w:spacing w:after="0" w:line="9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may develop new diagnostic products and services that are regulated by the FDA as medical devices. The regulatory review and approval process for medical devices can be costly, timely, and uncertain. This process may involve, among other things, successfully completing additional clinical trials and submitting a premarket clearance notice or filing a premarket approval application with the FDA. If premarket review is required by the FDA, there can be no assurance that our tests will be cleared or approved on a timely basis, if at all. In addition, there can be no assurance that the labeling claims cleared or approved by the FDA will be consistent with our current claims or adequate to support continued adoption of and reimbursement for our products. Ongoing compliance with FDA regulations could increase the cost of conducting our business, subject us to FDA inspections and other regulatory actions, and potentially subject us to penalties in the event we fail to comply with such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HIPAA and HITECH</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Under the administrative simplification provisions of the Health Insurance Portability and Accountability Act of 1996, or HIPAA, as amended by the Health Information Technology for Economic and Clinical Health Act, or HITECH, the U.S. Department of Health and Human Services issued regulations that establish uniform standards governing the conduct of certain electronic healthcare transactions and protecting the privacy and security of protected health information used or disclosed by most healthcare providers and other covered entities and their business associates, including the business associates' subcontractors. We perform activities that may implicate HIPAA, such as providing clinical laboratory testing services and entering into specific kinds of relationships with covered entities and business associates of covered entities. As a covered entity and as a business associate of other covered entities (with whom we have entered into business associate agreements), we are required to comply with the four principal regulations with which have been issued in final form under HIPAA and HITECH: privacy regulations, security regulations, the breach notification rule, and standards for electronic transactions, which establish standards for common healthcare transactions.</w:t>
      </w:r>
    </w:p>
    <w:p>
      <w:pPr>
        <w:spacing w:after="0" w:line="119" w:lineRule="exact"/>
        <w:rPr>
          <w:sz w:val="20"/>
          <w:szCs w:val="20"/>
          <w:color w:val="auto"/>
        </w:rPr>
      </w:pPr>
    </w:p>
    <w:p>
      <w:pPr>
        <w:jc w:val="both"/>
        <w:ind w:firstLine="318"/>
        <w:spacing w:after="0" w:line="222" w:lineRule="auto"/>
        <w:rPr>
          <w:sz w:val="20"/>
          <w:szCs w:val="20"/>
          <w:color w:val="auto"/>
        </w:rPr>
      </w:pPr>
      <w:r>
        <w:rPr>
          <w:rFonts w:ascii="Arial" w:cs="Arial" w:eastAsia="Arial" w:hAnsi="Arial"/>
          <w:sz w:val="18"/>
          <w:szCs w:val="18"/>
          <w:color w:val="auto"/>
        </w:rPr>
        <w:t>The HITRUST CSF was developed to address the multitude of security, privacy, and regulatory challenges facing organizations. By including federal and state regulations, standards, frameworks, and incorporating a risk-based approach, the HITRUST CSF helps organizations address these challenges through a comprehensive and flexible framework of prescriptive and scalable security and privacy controls. The HITRUST CSF Includes, harmonizes, and cross-references existing, globally recognized standards, regulations, and business requirements, including ISO, EU GDPR, NIST, and PCI. On December 10, 2021, we met the HITRUST Assurance Program requirements for the CSF v9.4 Risk-based, 2-year (r2) certification criteria for our Centrellis Platform, for hosting and curating Patient data.</w:t>
      </w:r>
    </w:p>
    <w:p>
      <w:pPr>
        <w:spacing w:after="0" w:line="21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privacy regulations cover the use and disclosure of protected health information by covered entities as well as business associates, which are defined to include subcontractors that create, receive, maintain, or transmit protected health information on behalf of a business associate. They also set forth certain rights that an individual has with respect to his or her protected health information maintained by a covered entity, including the right to access or amend certain records containing protected health information, or to request restrictions on the use or disclosure of protected health information. The security regulations establish requirements for safeguarding the confidentiality, integrity, and availability of protected health information that is electronically transmitted or electronically stored. HITECH, among other things, established certain health information security breach notification requirements. A covered entity must notify any individual whose protected health information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protected health information or insofar as such state laws apply to personal information that is broader in scope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protected health information as defined under HIPAA. Massachusetts, for example, has a state law that protects the privacy and security of personal information of Massachusetts residents.</w:t>
      </w:r>
    </w:p>
    <w:p>
      <w:pPr>
        <w:spacing w:after="0" w:line="1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There are significant civil and criminal fines and other penalties that may be imposed for violating HIPAA. A covered entity or business associate is also liable for civil money penalties for a violation that is based on an act or omission of any of its agents, including a downstream business associate, as determined according to the federal common law of agency. Additionally, to the extent that we submit electronic healthcare claims and payment transactions that do not comply with the electronic data transmission standards established under HIPAA and HITECH, payments to us may be delayed or denied.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Laws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the U.S., there are various fraud and abuse laws with which we must comply, and we are potentially subject to regulation by various federal, state and local authorities, including CMS, other divisions of the U.S. Department of Health and Human Services including the Office of Inspector General, the U.S. Department of Justice, and individual U.S. Attorney offices within the Department of Justice, and state and local governments.</w:t>
      </w:r>
    </w:p>
    <w:p>
      <w:pPr>
        <w:spacing w:after="0" w:line="11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the U.S., the federal Anti-Kickback Statute prohibits, among other things, knowingly and willfully offering, paying, soliciting or receiving remuneration, directly or indirectly, overtly, covertly, in cash or in kind to induce or in return for the furnishing,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w:t>
      </w:r>
    </w:p>
    <w:p>
      <w:pPr>
        <w:spacing w:after="0" w:line="10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Although the Anti-Kickback Statute contains several exceptions, it is broad and may technically prohibit many innocuous or beneficial arrangements within the healthcare industry. Further, the U.S. Department of Health and Human Services issued a series of regulatory "safe harbors." These safe harbor regulations set forth certain provisions, which, if met, will assure healthcare providers and other parties that they will not be prosecuted under the federal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federal Anti-Kickback Statute will be pursued. Penalties for federal anti-kickback violations are severe, and include imprisonment, criminal fines, civil money penalties, and exclusion from participation in federal healthcare programs. Many states also have anti-kickback statutes, some of which may apply to items or services reimbursed by any third-party payor, including commercial insurers.</w:t>
      </w:r>
    </w:p>
    <w:p>
      <w:pPr>
        <w:spacing w:after="0" w:line="10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There are also federal laws related to healthcare fraud and false statements, among others,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imprisonment, or exclusion from governmental payor programs.</w:t>
      </w:r>
    </w:p>
    <w:p>
      <w:pPr>
        <w:spacing w:after="0" w:line="1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Another development affecting the healthcare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government 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various states have enacted false claim laws analogous to the federal False Claims Act, although many of these state laws apply where a claim is submitted to any third-party payor and not merely a governmental payor program.</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Additionally,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for a claim that is false or fraudulent. This law also prohibits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October 25, 2018, the Substance Use-Disorder Prevention that Promoted Opioid Recovery and Treatment for Patients and Communities Act of 2018, or the SUPPORT Act, was enacted. The SUPPORT Act included the Eliminating Kickbacks in Recovery Act of 2018, or EKRA, which establishes an all-payor anti-kickback prohibition that extends to arrangements with recovery homes, clinical laboratories and clinical treatment facilities. EKRA includes a number of statutory exceptions, and directs agencies to develop further exceptions. Current exceptions in some cases reference and in others differ from the Anti-Kickback Statute safe harbors. Significantly, the prohibitions apply with respect to the soliciting or receipt of remuneration for any referrals to recovery homes, clinical treatment facilities, or clinical laboratories, whether or not related to treating substance use disorders. Further, the prohibitions cover the payment or offer of remuneration to induce a referral to, or in exchange for, an individual using the services of, such providers. This law creates additional risk that relationships with referral sources could be problematic.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Referral Prohibitions</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Under a federal law directed at "self-referral," commonly known as the "Stark Law," there are prohibitions, with certain exceptions, on referrals for certain designated health services, including laboratory services, that are covered by the Medicare program by physicians who personally, or through an immediate family member, have a financial relationship with the entity to which the referrals for designated health services are made. The prohibition also extends to payment for any testing referred in violation of the Stark Law. A person who engages in a scheme to circumvent the Stark Law's referral prohibition may be fined up to $100,000 for each such arrangement or scheme.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healthcare programs.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or state health care programs. Bills submitted in violation of the Stark Law may not be paid by Medicare, and any person collecting any amounts with respect to any such prohibited bill is obligated to refund such amounts. Many states have comparable laws that are not limited to Medicare referrals. The Stark Law also prohibits state receipt of Federal Medicaid matching funds for prohibited referrals, but this provision of the Stark Law has not been implemented by regulations. In addition, some courts have held that the submission of claims to Medicaid that would be prohibited as self-referrals under the Stark Law for Medicare could implicate the False Claims 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Numerous states have enacted laws prohibiting business corporations, such as Sema4, from practicing medicine and employing or engaging physicians to practice medicine, generally referred to as the prohibition against the corporate practice of medicine. These laws are designed to prevent interference in the medical decision-making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laws may result in civil or criminal fines, as well as sanctions imposed against us and/or the professional through licensure proceedings. Typically, such laws are only applicable to entities that have a physical presence in the state.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Genetic Privacy and Testing Laws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subject to myriad laws designed to establish safeguards regarding the conduct of genomic testing and analysis and to protect against the misuse of genetic information and human biological specimens, collectively, “samples”, from which genetic information can be derived. These laws vary in their scope and in the nature of their requirements and restrictions. For example, certain genetic privacy laws prohibit the retention of samples after performing a genomic analysis in addition to prohibiting the use or disclosure of genetic information for certain purposes, such as research, without appropriate informed consent from the individual or without sufficient anonymization. The applicability of such informed consent requirements may also depend on the identifiability of the genetic information or sample and the purposes of which it is used. Other laws may impose additional requirements, including requirements regarding institutional review board review and approval for certain research uses of genetic information or samples requirements to implement certain security controls in connection with the transfer of genetic information. We must comply with such genetic privacy and testing laws in our collection, use, disclosure, and retention of genetic information and samples.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 and Medical Regulations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federal physician payment transparency requirements, or Physician Payments Sunshine Act, and its implementing regulations, which requires applicable manufacturers of covered drugs, devices, biologics and medical supplies for which payment is available under Medicare, Medicaid or the State Children’s Health Insurance Program, with certain exceptions, to annually report to HHS information related to certain payments or other transfers of value made or distributed to physicians, defined to include doctors, dentists, optometrists, podiatrists and chiropractors, and teaching hospitals, or to entities or individuals at the request of, or designated on behalf of, the physicians and teaching hospitals, as well as ownership and investment interests held by physicians and their immediate family members. The SUPPORT Act, under a provision entitled “Fighting the Opioid Epidemic with Sunshine,” extends the Physician Payments Sunshine Act to payments and transfers of value to physician assistants, nurse practitioners and other mid-level healthcare providers, with reporting requirements going into effect in 2022 for payments and transfers of value made to these practitioners in 2021.</w:t>
      </w:r>
    </w:p>
    <w:p>
      <w:pPr>
        <w:spacing w:after="0" w:line="10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addition to its comprehensive regulation of health and safety in the workplace in general, the Occupational Safety and Health Administration has established extensive requirements aimed specifically at laboratories and other healthcare-related facilities. In addition, because our operations require employees to use certain hazardous chemicals, we also must comply with regulations on hazard communication and hazardous chemicals in laboratories. These regulations require us, among other things, to develop written programs and plans, which must address methods for preventing and mitigating employee exposure, the use of personal protective equipment, and training.</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commercialization activities subject us to regulations of the Department of Transportation, the U.S. Postal Service, and the Centers for Disease Control and Prevention that apply to the surface and air transportation of clinical laboratory specimens.</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also subject to applicable state billing laws. Some states require that payment be made only to the person or entity who performed or supervised the service, while other states have passed anti-mark up and disclosure laws, an alternative but less enforceable approach to direct billing. Under these laws the non-performing person or entity is allowed to bill the client, but is prohibited from marking up the service, and required to disclose each charge to the patient, or patient’s insurer. Additionally, some states have strictly passed disclosure laws that require the non-performing person or entity to disclose to patients or the patient’s insurer the actual charges for all laboratory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Protection Laws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There are a growing number of jurisdictions all over the world that have privacy and data protection laws. These laws are typically triggered by a company’s establishment or physical location in the jurisdiction, data processing activities that take place in the jurisdiction, and/or the processing of personal information about individuals located in that jurisdiction. Certain international privacy and data protection laws, such as those in the European Union, can be more restrictive and prescriptive than those in the U.S., while other jurisdictions can have laws less restrictive or prescriptive than those in the U.S. Enforcement of these laws vary from jurisdiction to jurisdiction, with a variety of civil or criminal penalties, or private rights of action.</w:t>
      </w:r>
    </w:p>
    <w:p>
      <w:pPr>
        <w:spacing w:after="0" w:line="9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European Union’s General Data Protection Regulation, or GDPR, took effect on May 25, 2018. The GDPR extraterritorially applies to a business outside the European Union that offers goods or services to, or monitors the behavior of individuals who are located in the European Union. The GDPR imposes strict requirements on controllers and processors of personal data, including enhanced protections for “special categories” of personal data, which includes sensitive information such as health and genetic information of data subjects in the European Union.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European Union, which may deviate from or be more restrictive than the GDPR, may result in significant administrative fines issued by European Union regulators.</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As of December 31, 2020, The United Kingdom of Great Britain and Northern Ireland, or UK, are no longer subject to EU law. Therefore, the GDPR will be brought into UK law as the ‘UK GDPR’ via a statutory instrument which will make technical amendments to the GDPR so that it works in a UK-only context. In Europe, there are also national laws that provide additional controls around the processing of health data.</w:t>
      </w:r>
    </w:p>
    <w:p>
      <w:pPr>
        <w:spacing w:after="0" w:line="11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Payment Card Industry Data Security Standard, or PCI DSS, was issued by the Payment Card Industry Security Standards Council and establishes industry standards for the processing of payment card information. While the PCI DSS requirements do not have the force of law, the penalties for noncompliance could include exclusion from payment card systems. To the extent that we collect payment card information when receiving payments of insurance premiums or payments for our products or services, we comply with PCI DSS as applicable to our payment environment and PCI DSS merchant level, which is determined by our volume of payment card transactions per year.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FTC Act</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 an entity regulated by the Federal Trade Commission, or FTC, we are subject to the FTC’s enforcement power under Section 5 of the Federal Trade Commission Act, or FTC Act. The FTC has policed privacy and data security through its broad power under Section 5 of the FTC Act. Under Section 5, “unfair or deceptive acts or practices in or affecting commerce, are hereby declared unlawful.” Deceptive trade practices are defined by the FTC as material representations, omissions or practices that are likely to mislead a consumer acting reasonably in the circumstances to the consumer’s detriment. The FTC defines an “unfair” trade practice as one that “causes or is likely to cause substantial injury to consumers which is not reasonably avoidable by consumers themselves and is not outweighed by countervailing benefits to consumers or competition.”</w:t>
      </w:r>
    </w:p>
    <w:p>
      <w:pPr>
        <w:spacing w:after="0" w:line="1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FTC has refrained from providing a checklist of uniformly acceptable data security practices or focusing on one single practice as actionable. Instead, the FTC has taken a holistic approach and relied on industry standards and other norms to identify a particular set of practices that, taken together, constitute adequate security practices for companies collecting personal information. In evaluating whether a data security practice is unfair, the FTC focuses largely on “substantial injury to consumers.” The harm need not be monetary or physical, though such injuries are commonly considered “substantial.” Further, the harm can consist of a risk rather than an actual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CAN-SPAM Act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Controlling the Assault of Non-Solicited Pornography and Marketing Act of 2003, or CAN-SPAM Act, establishes rules for commercial electronic mail messages, gives recipients the right to opt out of certain messages, and establishes penalties for violations. We comply with the CAN-SPAM Act in connection with our transmittal of commercial electronic mail messages, or Commercial Email Messages. Commercial Email Messages do not include emails that are informational or are transactional or relationship messages.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TCPA</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Telephone Consumer Protection Act of 1991, or TCPA, restricts the making of telemarketing calls and the use of automatic telephone dialing systems, artificial or prerecorded voice messages, SMS text messages, and facsimile transmissions. It also specifies several technical requirements for fax machines, autodialers, and voice messaging systems, principally with provisions requiring identification and contact information of the entity using the device to be contained in the message. We comply with TCPA in connection with our transmittal of automated, artificial, or prerecorded phone calls, SMS text messages, facsimile transmissions, and push notifications.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Consumer Privacy Act</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California Consumer Privacy Act, or CCPA, is a comprehensive consumer privacy law that took effect on January 1, 2020, and regulates how certain for-profit businesses that do business in California collect, use, and disclose the personal information of consumers who reside in California. Among other things, the CCPA confers to California consumers the right to receive notice of the categories of personal information to be collected by a business, how the business will use and share the personal information, and the third parties who will receive the personal information; the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CCPA does not apply to personal information that is Protected Health Information under HIPAA. The CCPA also does not apply to a HIPAA Covered Entity to the extent that the Covered Entity maintains patient information in the same manner as Protected Health Information. We are subject to the CCPA with respect to personal information we collect from California consumers that is neither PHI under HIPAA nor patient information that we maintain in the same manner as Protected Health Information.</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California Attorney General has authority to enforce the CCPA and its implementing regulations against covered businesses beginning on July 1, 2020. The CCPA provides for civil penalties for violations, as well as private right of action for data breaches that result from a business’ failure to implement reasonable security procedures.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competitors include companies that offer molecular genetic testing and other clinical diagnostic, life science research, drug discovery services, data services and healthcare analytics, and consumer genetics products. Principal competitors include companies such as Myriad Genetics, Inc., Ambry Genetics Corporation, Color Genomics, Inc., Invitae Corporation, Natera, Inc., Tempus Labs, Inc., Quest Diagnostics, Inc., Laboratory Corporation of America Holdings (or LabCorp), Exact Sciences Corp., 10x Genomics, Inc., Guardant Health, Inc., and Adaptive Biotechnologies, Twist Biosciences Corp., and Schrödinger, Inc., as well as other commercial and academic diagnostic and analytic service providers.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the principal competitive factors in our market are:</w:t>
      </w:r>
    </w:p>
    <w:p>
      <w:pPr>
        <w:spacing w:after="0" w:line="164"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Patient-centric approach;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Breadth, depth, and quality of data assets;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and quality of tests;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Turnaround time of testing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Coverage and reimbursement arrangements with third-party payors;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Depth and clinical applicability of interpretive insights;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Degree of utility of patient and provider facing applications;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Breadth of interpretive insights beyond just one episode of care;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Convenience of testing;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recognition of test provider;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value-added services and informatics tools;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Accessibility of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Client service;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of website content;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Reliability</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believe that we compare favorably with our competitors on the basis of these factors. However, many of our competitors and potential competitors have longer operating histories, larger customer bases, greater brand recognition and market penetration, substantially greater financial, technological and research and development resources and selling and marketing capabilities, more experience dealing with third-party payors. As a result, they may be able to respond more quickly to changes in customer requirements, devote greater resources to the development, promotion and sale of their tests than Sema4 does, or sell their tests at prices designed to win significant levels of market share. We may not be able to compete effectively against these organizations.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Sema4’s operations require the use of hazardous materials (including biological materials) that subject it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our partners’, business operations should contamination of the environment or individual exposure to hazardous substances occur. We cannot predict how changes in laws or new regulations will affect our business operations or the cost of compliance.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Raw Materials and Suppliers</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rely on a limited number of suppliers, or, in some cases, sole suppliers, including Agilent Technologies, Inc., Illumina, Inc., Life Technologies Corporation, Agena Biosciences, Inc., MRC-Holland, Asuragen Inc., PerkinElmer Health Sciences, Inc., Fisher Scientific, Integra Biosciences Corporation, Thomas Scientific, Qiagen Inc., USA Scientific, Inc., Promega Corporation, Integrated DNA Technologies Incorporated, and Kapa Biosystems Inc., for certain laboratory reagents, as well as sequencers and other equipment and materials which we use in our laboratory operations. Our laboratory operations could be interrupted if we encounter delays or difficulties in securing these reagents, sequencers or other equipment or materials, and if we cannot obtain an acceptable substitute. Any such interruption could significantly affect our business, financial condition,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and reputation. We believe that there are only a few other manufacturers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 consuming and expensive, may result in interruptions in our laboratory operations, could affect the performance specifications of its laboratory operations or could require that we revalidate our tests. We cannot assure you that we would be able to secure alternative equipment, reagents, and other materials, or bring such equipment, reagents, and materials online and revalidate them without experiencing interruptions in our workflow. If we encounter delays or difficulties in securing, reconfiguring, or revalidating the equipment and reagents we require for our tests, our business and reputation could be adversely affected.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provide our health information products and services to a broad range of customers, including health plans (including managed care organizations and other health insurance providers); clinicians; hospitals; employers; patients; federally qualified health centers; and Biopharma companies. In addition, during 2020 and 2021, the customers for our COVID-19 tests included state governments.</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Depending on the billing arrangement and applicable law, the clinician or healthcare entity that orders our products or services may not be responsible for paying for the products or services ordered for their patients. In certain circumstances, the patient may be responsible for payment, and in others we seek payment from third party payers, such as a commercial health insurance company, Medicare or a Medicaid program, pursuant to contracts established between us and such third parties.</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2021, reimbursement from health plans represented 79% and 76% of our diagnostic test revenue and total revenue, respectively. In 2021, two health plans each represented 10% or more of our consolidated total revenue, and no other health plans or other customers represented 10% or more of our consolidated total revenue.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Human Capital</w:t>
      </w:r>
    </w:p>
    <w:p>
      <w:pPr>
        <w:spacing w:after="0" w:line="25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Sema4 is mission driven. Our employees are passionate about changing healthcare and impacting lives. We attract entrepreneurs who are comfortable with ambiguity and thrive on innovation and thoughtful discourse. We empower our employees to iterate and rapidly execute on ideas.</w:t>
      </w:r>
    </w:p>
    <w:p>
      <w:pPr>
        <w:spacing w:after="0" w:line="18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It is our People Team’s mission to connect people to purpose. We achieve this through enablement of excellence across the employment journey, through stewardship of an engaged and inclusive culture, by growing individual, team and organizational capability, in delivering simplification and innovation, and by sharing data-driven people insights that transform our organization. All of this is in service of driving our business forward and optimizing patient health outcomes.</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delivering a competitive package of compensation and benefits that aims to attract and retain strong talent, in a very competitive talent marketplace. As of December 31, 2021, we had approximately 1,200 employees, of which 54% are women and 46% are men. Our headcount grew by approximately 33% in 2021, and we hired approximately 500 employees in that timeframe, as a part of scaling our operations in connection with our transition to a public company and meeting our strategic priorities.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Diversity and Inclusion Council seeks to improve diversity, inclusion, equality, and global understanding by promoting dialogue, encouraging respectful understanding, providing information, participating in policy development, overseeing diversity education and training, and helping to foster respect for all employees. In 2022, we will be hosting our inaugural BIPOC Initiative Genomics Symposium, inviting select Ph.D. students and post doctorates for a two-day research symposium to strengthen our diverse hiring practices. Each attendee will present their original research, and will learn about science and career opportunities at Sema4.</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believe that our corporate culture fosters innovation, creativity, and teamwork. In this past year, we launched several programs and processes, which intend to help build a driven culture of alignment, development, compliance, and respect. We are in our second year of formal performance management processes, which are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drive organizational alignment and includes tracking top-down business priorities and people development goals. The launch of two promotion cycles focus and enable employee career growth and mobility. We also implemented formal people manager learning, in order to build stronger people management skills for our leaders. We have optimized processes and transformed our people management solution in order to have greater systems capability, access to robust reporting, and to strengthen our analytical horsepower.</w:t>
      </w:r>
    </w:p>
    <w:p>
      <w:pPr>
        <w:spacing w:after="0" w:line="1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implemented a comprehensive compliance infrastructure, which advises Sema4 individuals and business affiliates on how to prevent, detect, report, and resolve matters of fraud, waste, threats, and abuse related to institutional policies and federal, state, and local laws and regulations. We have implemented various committees, councils and boards such as the Diversity &amp; Inclusion Council, Data Governance Board, and IRB Review Board. These groups provide guidance for our employees, to empower them to perform according to our legal and ethical standards. We observe legal, regulatory, and industry trends and comprehensively adapt internal policies and practices as needed. We educate our Board members, executives, and other key employees about conflicts of interest and advise how to prevent and detect potential or actual conflicts of interest to safeguard from inappropriate external influence or impropriety.</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look to further strengthen our people infrastructure in 2022 through enhanced engagement surveys, values and behaviors programming, and formal talent reviews, with development planning.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make our annual reports on Form 10-K, quarterly reports on Form 10-Q, current reports on Form 8-K and amendments to these reports, as well as our other SEC filings, available on our website, free of charge, as soon as reasonably practicable after they are electronically filed with or furnished to the SEC. Our website address is www.sema4.com. The information contained on our website is not incorporated by reference in this document.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i w:val="1"/>
          <w:iCs w:val="1"/>
          <w:color w:val="auto"/>
        </w:rPr>
        <w:t>You should carefully review and consider the following risk factors and the other information contained in this Annual Report on Form 10-K as well as in our other filings with the SEC as well as in our other filings with the SEC before deciding whether to invest in our securities.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securities could decline, and you could lose all or part of your investment. This discussion does not address all of the risks that we face and we may face additional risks and uncertainties that are not presently known to us, or that we currently deem immaterial, which may also impair our business or financial condition. The following discussion should be read in conjunction with the consolidated financial statements and notes thereto included herein.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0" w:lineRule="exact"/>
        <w:rPr>
          <w:sz w:val="20"/>
          <w:szCs w:val="20"/>
          <w:color w:val="auto"/>
        </w:rPr>
      </w:pPr>
    </w:p>
    <w:p>
      <w:pPr>
        <w:ind w:right="400" w:firstLine="318"/>
        <w:spacing w:after="0" w:line="237" w:lineRule="auto"/>
        <w:rPr>
          <w:sz w:val="20"/>
          <w:szCs w:val="20"/>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following:</w:t>
      </w:r>
    </w:p>
    <w:p>
      <w:pPr>
        <w:spacing w:after="0" w:line="95"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ongoing COVID-19 pandemic has affected and may further materially and adversely affect our business and financial results.</w:t>
      </w:r>
    </w:p>
    <w:p>
      <w:pPr>
        <w:spacing w:after="0" w:line="13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provide products and services that are useful to users, we may not remain competitive, which could harm our business and operating results.</w:t>
      </w:r>
    </w:p>
    <w:p>
      <w:pPr>
        <w:spacing w:after="0" w:line="8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95"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have limited experience with the development and commercialization of our databases and our health information and genomic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comply with federal and state laboratory licensing requirements or standards, we could lose the ability to perform our tests or experience disruptions to our business.</w:t>
      </w:r>
    </w:p>
    <w:p>
      <w:pPr>
        <w:spacing w:after="0" w:line="10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0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95"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95"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Uncertainty in the development and commercialization of our enhanced or new tests or services could materially adversely affect our business, financial condition and results of operations.</w:t>
      </w:r>
    </w:p>
    <w:p>
      <w:pPr>
        <w:spacing w:after="0" w:line="10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9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results could be subject to significant fluctuation, which could increase the volatility of our stock and warrant prices and cause losses to our stockholders.</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additional products and services, commercialize new products and services or expand our operations and may have difficulties raising capital depending on financial market conditions.</w:t>
      </w:r>
    </w:p>
    <w:p>
      <w:pPr>
        <w:spacing w:after="0" w:line="101"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expect to make significant investments in our continued research and development of new products and services, which may not be successful.</w:t>
      </w:r>
    </w:p>
    <w:p>
      <w:pPr>
        <w:spacing w:after="0" w:line="158" w:lineRule="exact"/>
        <w:rPr>
          <w:rFonts w:ascii="Arial" w:cs="Arial" w:eastAsia="Arial" w:hAnsi="Arial"/>
          <w:sz w:val="15"/>
          <w:szCs w:val="15"/>
          <w:color w:val="auto"/>
        </w:rPr>
      </w:pPr>
    </w:p>
    <w:p>
      <w:pPr>
        <w:jc w:val="both"/>
        <w:ind w:left="640" w:hanging="316"/>
        <w:spacing w:after="0" w:line="25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 and we will incur increased costs and demands on management as a result of compliance with internal control requirements, which could harm our operating results.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third-party laboratories to perform certain elements of our service offerings.</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Future changes in FDA enforcement discretion for LDTs could subject our operations to much more significant regulatory requirements.</w:t>
      </w:r>
    </w:p>
    <w:p>
      <w:pPr>
        <w:spacing w:after="0" w:line="135"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9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the HIPAA security, privacy and breach notification regulations may increase our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uncertainty related to healthcare reform, pricing, coverage and reimbursement, which could reduce our revenue.</w:t>
      </w:r>
    </w:p>
    <w:p>
      <w:pPr>
        <w:spacing w:after="0" w:line="13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effectively protect our proprietary products, processes, and technologies, including the confidentiality of our trade secrets, could harm our competitive position.</w:t>
      </w:r>
    </w:p>
    <w:p>
      <w:pPr>
        <w:spacing w:after="0" w:line="87"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incur increased costs and demands on management as a result of compliance with laws and regulations applicable to public companies, which could harm our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has affected and may further materially and adversely affect our business and financial results.</w:t>
      </w:r>
    </w:p>
    <w:p>
      <w:pPr>
        <w:spacing w:after="0" w:line="389"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7"/>
          <w:szCs w:val="17"/>
          <w:color w:val="auto"/>
        </w:rPr>
        <w:t>The ongoing COVID-19 pandemic, together with related precautionary measures in response to the initial outbreak and resurgences, materially disrupted our business during certain periods in 2020 and 2021 and may continue to disrupt our business for an unknown period of time. Since the initial outbreak, the territories in which we market, sell, distribute and perform our tests and performs our health information and data science services continue to address the COVID-19 pandemic in varying ways, including stay-at-home orders, temporarily closing businesses, restricting gatherings, restricting travel, and mandating social distancing, face coverings and proof of vaccination. Despite recent progress in the administration of vaccines, the future impact and the level and nature of the disruption caused by the COVID-19 pandemic continues to be unpredictable, may be cyclical and long-lasting and may vary from location to location, and the emergence of new variant strains of COVID-19, including Delta and Omicron, in regions that have reopened have necessitated, and may in the future necessitate, renewed government restrictions. As a result, we experienced a significant impact to our 2020 and 2021 operating results, including our order volumes, revenues, margins, and cash utilization, among other measures and may experience further impacts in future periods depending on the evolution of the COVID-19 pandemic.</w:t>
      </w:r>
    </w:p>
    <w:p>
      <w:pPr>
        <w:spacing w:after="0" w:line="204"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7"/>
          <w:szCs w:val="17"/>
          <w:color w:val="auto"/>
        </w:rPr>
        <w:t>Throughout 2020 and 2021, both we and our partners undertook a number of precautionary measures in response to the virus, including requiring employees to work remotely, restricting travel and limiting interactions in person, and we expect to adjust our precautionary measures at our various locations based on local recovery levels, vaccination rates and applicable governmental regulations. For example, a portion of our sales force has recommenced field-based interactions, although access to healthcare providers remains impaired and the industry continues to resume normal activities. Our business could be negatively affected in the future if it takes excessive, ineffective or inadequate precautions</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ongoing COVID-19 pandemic has materially impacted our business in 2020 and 2021 and may continue to impact our business for an unknown period of time. Such impacts have included and may include the following:</w:t>
      </w:r>
    </w:p>
    <w:p>
      <w:pPr>
        <w:spacing w:after="0" w:line="154" w:lineRule="exact"/>
        <w:rPr>
          <w:sz w:val="20"/>
          <w:szCs w:val="20"/>
          <w:color w:val="auto"/>
        </w:rPr>
      </w:pPr>
    </w:p>
    <w:p>
      <w:pPr>
        <w:jc w:val="both"/>
        <w:ind w:left="640" w:hanging="316"/>
        <w:spacing w:after="0" w:line="255"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spacing w:after="0" w:line="14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Restrictions on travel, commerce and shipping may prevent patients and pathologists from shipping samples to our clinical laboratories;</w:t>
      </w:r>
    </w:p>
    <w:p>
      <w:pPr>
        <w:spacing w:after="0" w:line="188" w:lineRule="exact"/>
        <w:rPr>
          <w:rFonts w:ascii="Arial" w:cs="Arial" w:eastAsia="Arial" w:hAnsi="Arial"/>
          <w:sz w:val="17"/>
          <w:szCs w:val="17"/>
          <w:color w:val="auto"/>
        </w:rPr>
      </w:pPr>
    </w:p>
    <w:p>
      <w:pPr>
        <w:ind w:left="640" w:hanging="316"/>
        <w:spacing w:after="0" w:line="365" w:lineRule="auto"/>
        <w:tabs>
          <w:tab w:leader="none" w:pos="635" w:val="left"/>
        </w:tabs>
        <w:numPr>
          <w:ilvl w:val="0"/>
          <w:numId w:val="14"/>
        </w:numPr>
        <w:rPr>
          <w:rFonts w:ascii="Arial" w:cs="Arial" w:eastAsia="Arial" w:hAnsi="Arial"/>
          <w:sz w:val="15"/>
          <w:szCs w:val="15"/>
          <w:color w:val="auto"/>
        </w:rPr>
      </w:pPr>
      <w:r>
        <w:rPr>
          <w:rFonts w:ascii="Arial" w:cs="Arial" w:eastAsia="Arial" w:hAnsi="Arial"/>
          <w:sz w:val="15"/>
          <w:szCs w:val="15"/>
          <w:color w:val="auto"/>
        </w:rPr>
        <w:t>Illnesses, quarantines, financial hardships, restrictions on travel, commerce and shipping, or other consequences of the pandemic, may disrupt our supply chain or other business relationships, and we or other parties may assert rights under force majeure clauses to excuse performance;</w:t>
      </w:r>
    </w:p>
    <w:p>
      <w:pPr>
        <w:spacing w:after="0" w:line="84"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experienced, and for an extended period of time may continue to experience, reduced volumes at our clinical laboratories and we may need to suspend operations at some or all of our clinical laboratories;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16"/>
        <w:spacing w:after="0" w:line="365" w:lineRule="auto"/>
        <w:tabs>
          <w:tab w:leader="none" w:pos="635"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have taken, and may take additional, cost cutting measures, which may hinder our efforts to commercialize our products or delay the development of future products and services. Further, we might not realize all of the cost savings we expect to achieve as a result of those efforts;</w:t>
      </w:r>
    </w:p>
    <w:p>
      <w:pPr>
        <w:spacing w:after="0" w:line="84" w:lineRule="exact"/>
        <w:rPr>
          <w:rFonts w:ascii="Arial" w:cs="Arial" w:eastAsia="Arial" w:hAnsi="Arial"/>
          <w:sz w:val="15"/>
          <w:szCs w:val="15"/>
          <w:color w:val="auto"/>
        </w:rPr>
      </w:pPr>
    </w:p>
    <w:p>
      <w:pPr>
        <w:ind w:left="640" w:hanging="316"/>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and our partners have postponed or cancelled clinical studies, which may delay or prevent our launch of future products and services;</w:t>
      </w:r>
    </w:p>
    <w:p>
      <w:pPr>
        <w:spacing w:after="0" w:line="188"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Some or all of our workforce, much of which continues to work remotely in an effort to reduce the spread of COVID-19, may be infected by the virus or otherwise distracted;</w:t>
      </w:r>
    </w:p>
    <w:p>
      <w:pPr>
        <w:spacing w:after="0" w:line="140"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combination of factors, including infection from the virus, supply shortfalls, and inability to obtain or maintain equipment, could adversely affect our lab capacity and our ability to meet the demand for our testing services; and</w:t>
      </w:r>
    </w:p>
    <w:p>
      <w:pPr>
        <w:spacing w:after="0" w:line="15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inaccurately estimate the duration or severity of the COVID-19 pandemic, which could cause us to misalign our staffing, spending, activities and precautionary measures with current or future market conditions.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Despite our efforts, the ultimate impact of the COVID-19 pandemic, or the impact of the emergence of new strains of the virus and any future resurgences of COVID-19 or variant strains, depends on factors beyond our knowledge or control, including availability and distribution of effective medical treatments and vaccines,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3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Additionally, the economic consequences of the COVID-19 pandemic have, and may continue to,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common stock or other equity or equity-linked securities. If these market conditions persist when and if we need to raise capital, and if we are able to sell shares of our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spacing w:after="0" w:line="125" w:lineRule="exact"/>
        <w:rPr>
          <w:sz w:val="20"/>
          <w:szCs w:val="20"/>
          <w:color w:val="auto"/>
        </w:rPr>
      </w:pPr>
    </w:p>
    <w:p>
      <w:pPr>
        <w:jc w:val="both"/>
        <w:ind w:right="20"/>
        <w:spacing w:after="0" w:line="365" w:lineRule="auto"/>
        <w:rPr>
          <w:sz w:val="20"/>
          <w:szCs w:val="20"/>
          <w:color w:val="auto"/>
        </w:rPr>
      </w:pPr>
      <w:r>
        <w:rPr>
          <w:rFonts w:ascii="Arial" w:cs="Arial" w:eastAsia="Arial" w:hAnsi="Arial"/>
          <w:sz w:val="15"/>
          <w:szCs w:val="15"/>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7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or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2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2020, we received $5.4 million as part of the stimulus, comprised of $2.6 million received under the Provider Relief Fund, or PRF, distribution and $2.8 million received under the Employee Retention Credit, or ERC, distribution. In 2021, we received an additional $5.6 million under the PRF distribution. PRF distributions to healthcare providers are not loans and will not be required to be repaid; however, as a condition to receiving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w:t>
      </w:r>
    </w:p>
    <w:p>
      <w:pPr>
        <w:spacing w:after="0" w:line="1" w:lineRule="exact"/>
        <w:rPr>
          <w:sz w:val="20"/>
          <w:szCs w:val="20"/>
          <w:color w:val="auto"/>
        </w:rPr>
      </w:pPr>
    </w:p>
    <w:p>
      <w:pPr>
        <w:jc w:val="both"/>
        <w:ind w:firstLine="6"/>
        <w:spacing w:after="0" w:line="308" w:lineRule="auto"/>
        <w:tabs>
          <w:tab w:leader="none" w:pos="262" w:val="left"/>
        </w:tabs>
        <w:numPr>
          <w:ilvl w:val="0"/>
          <w:numId w:val="16"/>
        </w:numPr>
        <w:rPr>
          <w:rFonts w:ascii="Arial" w:cs="Arial" w:eastAsia="Arial" w:hAnsi="Arial"/>
          <w:sz w:val="15"/>
          <w:szCs w:val="15"/>
          <w:color w:val="auto"/>
        </w:rPr>
      </w:pPr>
      <w:r>
        <w:rPr>
          <w:rFonts w:ascii="Arial" w:cs="Arial" w:eastAsia="Arial" w:hAnsi="Arial"/>
          <w:sz w:val="15"/>
          <w:szCs w:val="15"/>
          <w:color w:val="auto"/>
        </w:rPr>
        <w:t>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ERC distribution and recorded the proceeds in other liabilities on the balance sheets as of December 31, 2021 and December 31, 2020.</w:t>
      </w:r>
    </w:p>
    <w:p>
      <w:pPr>
        <w:spacing w:after="0" w:line="12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companies or institutions may develop and market novel or improved technologies, which may make our technologies less competitive or obsolete.</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women’s health and oncology screening products, health information services, and analytics, and data science services, and other diagnostic products. These competitors include:</w:t>
      </w:r>
    </w:p>
    <w:p>
      <w:pPr>
        <w:spacing w:after="0" w:line="172" w:lineRule="exact"/>
        <w:rPr>
          <w:sz w:val="20"/>
          <w:szCs w:val="20"/>
          <w:color w:val="auto"/>
        </w:rPr>
      </w:pPr>
    </w:p>
    <w:p>
      <w:pPr>
        <w:ind w:left="64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7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women’s health and oncology,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acceptance for and sales of our tests and services, which could prevent us from increasing or sustaining our revenues or achieving sustained profitability.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provide products and services that are useful to users, we may not remain competitive, which could harm our business and operating results.</w:t>
      </w:r>
    </w:p>
    <w:p>
      <w:pPr>
        <w:spacing w:after="0" w:line="14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(such as the pending Acquisition on GeneDx discussed herein), joint ventures and partnerships, in order to enhance our current diagnostics and health information and data science technologies, and existing and new products and services based off these technologies.</w:t>
      </w:r>
    </w:p>
    <w:p>
      <w:pPr>
        <w:spacing w:after="0" w:line="1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w:t>
      </w:r>
    </w:p>
    <w:p>
      <w:pPr>
        <w:spacing w:after="0" w:line="17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health information and data science products and services, our operating results could be harmed.</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spacing w:after="0" w:line="16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or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6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5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payers as a result of such audits, and we could be adversely affected if we are required to repay other payers for alleged overpayments due to lack of compliance with their reimbursement policies. In addition, we have experienced, and may continue to experience, delays in reimbursement when we transition to being an in-network provider with a payer.</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experience with the development and commercialization of our databases and our health information and genomic platforms.</w:t>
      </w:r>
    </w:p>
    <w:p>
      <w:pPr>
        <w:spacing w:after="0" w:line="212"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limited experience with the development or commercialization of clinical or research products in connection with the databases we manage and to which we have access, including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or GxP, and data quality and integrity controls.</w:t>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Ethical, legal and social concerns related to the use of genomic medicine and health information analysis could reduce demand for our tests.</w:t>
      </w:r>
    </w:p>
    <w:p>
      <w:pPr>
        <w:spacing w:after="0" w:line="22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4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subject to Clinical Laboratory Improvement Amendments of 1988, or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spacing w:after="0" w:line="15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having laboratory licenses in New York, our clinical reference laboratories are approved on test-specific bases for the tests they run as laboratory-developed tests, or LDTs, by the New York State Department of Health, or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5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1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College of American Pathologists, or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our senior management team could adversely affect our business.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founder and CEO, Dr. Eric Schadt,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We do not carry key person insurance for any of our executives or employees. In addition, we do not have a long-term retention agreement in place with our CEO.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founder and CEO, Eric Schadt, and certain other of our employees have performed, and will continue to perform, duties for or on behalf of Mount Sinai.</w:t>
      </w:r>
    </w:p>
    <w:p>
      <w:pPr>
        <w:spacing w:after="0" w:line="15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founder CEO, Eric Schadt, and certain of our other employees continue to perform duties for or on behalf of the Mount Sinai Health System, which refer to together with its related entities as Mount Sinai. In the case of Dr. Schadt, in addition to serving as our CEO and as a director, Dr. Schadt also serves as the Dean for Precision Medicine and a professor at Icahn School of Medicine at Mount Sinai, or ISMMS. We expect Dr. Schadt to continue to devote a substantial amount of time to the obligations of managing a public company while maintaining certain duties for Mount Sinai. Though we do not expect Dr. Schadt’s role as a CEO and a director to conflict with his roles at Mount Sinai, there can be no guarantee that such conflicts will not occur in the future.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future growth effectively, which could make it difficult to execute our business strategy.</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4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International expansion of our business could expose us to business, regulatory, political, operational, financial and economic risks associated with doing business outside of the United States.</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151" w:lineRule="exact"/>
        <w:rPr>
          <w:sz w:val="20"/>
          <w:szCs w:val="20"/>
          <w:color w:val="auto"/>
        </w:rPr>
      </w:pPr>
    </w:p>
    <w:p>
      <w:pPr>
        <w:jc w:val="both"/>
        <w:ind w:left="640" w:hanging="316"/>
        <w:spacing w:after="0" w:line="255"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spacing w:after="0" w:line="14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approvals, permits and licenses;</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us, our collaborators or our distributors to obtain regulatory clearance, authorization or approval for the use of our products and services in various countries;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our intellectual property;</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repatriating foreign earned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 if we are not able to conduct our clinical diagnostic services locally;</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international regulations and license requirements that may restrict foreign investment in and operation of the internet, IT infrastructure, data centers and other sectors, and international transfers of data;</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7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Foreign Corrupt Practices Act of 1977, or FCPA, its books and records provisions, or its anti-bribery provisions or laws similar to the FCPA in other jurisdictions in which we may in the future operate, such as the United Kingdom’s Bribery Act of 2010 and anti-bribery requirements of member states in the European Union, or EU.</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revenue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U.S. or global economic conditions could adversely affect our business, financial condition or results of operations.</w:t>
      </w:r>
    </w:p>
    <w:p>
      <w:pPr>
        <w:spacing w:after="0" w:line="17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results of operations could be adversely affected by general conditions in the global economy and financial markets. A severe or prolonged economic downturn or increase in inflation rates could result in a variety of risks to our business, including weakened demand for our products and services and our ability to raise additional capital when needed on favorable terms, if at all. A weak declining or inflationary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5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1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spacing w:after="0" w:line="1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6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spacing w:after="0" w:line="15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products and services may never achieve significant commercial market acceptance.</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success depends on the market’s confidence that we can provide data-driven research and diagnostic products and services that improve clinical outcomes, lower healthcare costs and enable better product development by pharmaceutical and biotech, or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spacing w:after="0" w:line="1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and our collaborators may not succeed in achieving significant commercial market acceptance for our current or future products and services due to a number of factors, including:</w:t>
      </w:r>
    </w:p>
    <w:p>
      <w:pPr>
        <w:spacing w:after="0" w:line="154" w:lineRule="exact"/>
        <w:rPr>
          <w:sz w:val="20"/>
          <w:szCs w:val="20"/>
          <w:color w:val="auto"/>
        </w:rPr>
      </w:pPr>
    </w:p>
    <w:p>
      <w:pPr>
        <w:jc w:val="both"/>
        <w:ind w:left="640" w:hanging="316"/>
        <w:spacing w:after="0" w:line="25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demonstrate the utility of our platforms including Centrellis and Traversa,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spacing w:after="0" w:line="148"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117" w:lineRule="exact"/>
        <w:rPr>
          <w:rFonts w:ascii="Arial" w:cs="Arial" w:eastAsia="Arial" w:hAnsi="Arial"/>
          <w:sz w:val="17"/>
          <w:szCs w:val="17"/>
          <w:color w:val="auto"/>
        </w:rPr>
      </w:pPr>
    </w:p>
    <w:p>
      <w:pPr>
        <w:ind w:left="640" w:hanging="316"/>
        <w:spacing w:after="0" w:line="294"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130"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adoption of our platforms and related products and services by academic institutions, clinicians, patients, key opinion leaders, advocacy groups and Biopharma companies; and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our investments in product and services, and technological innovation and commercial growth.</w:t>
      </w:r>
    </w:p>
    <w:p>
      <w:pPr>
        <w:spacing w:after="0" w:line="17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Additionally, our customers and collaborators, including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62"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estimated the sizes of the markets for our current and future products and services, and these markets may be smaller than we estimate.</w:t>
      </w:r>
    </w:p>
    <w:p>
      <w:pPr>
        <w:spacing w:after="0" w:line="212"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3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relatively limited experience developing and commercializing products and services outside of the fields of women’s health and oncology diagnostics, and we may not be successful in our current or future efforts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spacing w:after="0" w:line="15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33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U.S. Food and Drug Administration, or the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spacing w:after="0" w:line="14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5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and services do not perform as expected, we may not realize the expected benefits of such products and services.</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9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62"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common stock, which could result in additional dilution of the percentage ownership of our stockholders and could cause the price of our common stock and warrants to decline.</w:t>
      </w:r>
    </w:p>
    <w:p>
      <w:pPr>
        <w:spacing w:after="0" w:line="3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353" w:lineRule="exact"/>
        <w:rPr>
          <w:sz w:val="20"/>
          <w:szCs w:val="20"/>
          <w:color w:val="auto"/>
        </w:rPr>
      </w:pPr>
    </w:p>
    <w:p>
      <w:pPr>
        <w:jc w:val="both"/>
        <w:spacing w:after="0" w:line="328" w:lineRule="auto"/>
        <w:rPr>
          <w:sz w:val="20"/>
          <w:szCs w:val="20"/>
          <w:color w:val="auto"/>
        </w:rPr>
      </w:pPr>
      <w:r>
        <w:rPr>
          <w:rFonts w:ascii="Arial" w:cs="Arial" w:eastAsia="Arial" w:hAnsi="Arial"/>
          <w:sz w:val="15"/>
          <w:szCs w:val="15"/>
          <w:b w:val="1"/>
          <w:bCs w:val="1"/>
          <w:i w:val="1"/>
          <w:iCs w:val="1"/>
          <w:color w:val="auto"/>
        </w:rPr>
        <w:t>We may seek to grow our business through acquisitions of complementary products or technologies, and the failure to manage acquisitions, or the failure to integrate them with our existing business, could have a material adverse effect on our business, financial condition and operating results.</w:t>
      </w:r>
    </w:p>
    <w:p>
      <w:pPr>
        <w:spacing w:after="0" w:line="8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217"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For example, we are exposed to these and other risks in connection with the pending Acquisition of GeneDx. See “—Risks Related to the Acquisition”. 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integrate any acquired products or technologies effectively may adversely affect our business, operating results and financial condition.</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4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112"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become profitable.</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Sema4 has incurred losses since Sema4 was formed and we expect to continue to generate significant operating losses for the foreseeable future. As of December 31, 2021 and December 31, 2020, we have an accumulated deficit of approximately $575.4 million and $330.1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operating results could be subject to significant fluctuation, which could increase the volatility of our stock and warrant prices and cause losses to our stockholders.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revenues and results of operations may fluctuate significantly, depending on a variety of factors, including the following:</w:t>
      </w:r>
    </w:p>
    <w:p>
      <w:pPr>
        <w:spacing w:after="0" w:line="177"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success in marketing and selling, and changes in demand for, our tests, and the level of reimbursement and collection obtained for such tests;</w:t>
      </w:r>
    </w:p>
    <w:p>
      <w:pPr>
        <w:spacing w:after="0" w:line="211"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success in collecting payments from third-party payors, patients and collaborative partners, variation in the timing of these payments and recognition of these payments as revenues;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pricing of our tests, including potential changes in CMS or other reimbursement rates;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5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22"/>
        </w:numPr>
        <w:rPr>
          <w:rFonts w:ascii="Arial" w:cs="Arial" w:eastAsia="Arial" w:hAnsi="Arial"/>
          <w:sz w:val="15"/>
          <w:szCs w:val="15"/>
          <w:color w:val="auto"/>
        </w:rPr>
      </w:pPr>
      <w:r>
        <w:rPr>
          <w:rFonts w:ascii="Arial" w:cs="Arial" w:eastAsia="Arial" w:hAnsi="Arial"/>
          <w:sz w:val="15"/>
          <w:szCs w:val="15"/>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amount and timing of our selling and marketing costs and our ability to manage costs and expenses and effectively implement our business;</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research and development activities, including the timing of clinical trials; and</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collect, use, and commercialize data in a changing regulatory environment at a time when the public is growing increasingly concerned about privacy.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could decline over time, and it may experience downward pressure on our operating margins in the future.</w:t>
      </w:r>
    </w:p>
    <w:p>
      <w:pPr>
        <w:spacing w:after="0" w:line="20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15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Due to these factors and the evolving nature of our business, our historical projected revenue growth rate and historical gross operating margins may not be indicative of our future performance.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Sema4 has incurred net losses and negative cash flows from operations since its inception, including net losses of $245.4 million, $241.3 million and $29.7 million for the years ended December 31, 2021, 2020 and 2019, respectively. As of December 31, 2021, we had an accumulated deficit of $575.4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w:t>
      </w:r>
    </w:p>
    <w:p>
      <w:pPr>
        <w:spacing w:after="0" w:line="137"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54"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our current and future products and services;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fund development efforts for our current and future products and services;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 our products and services into other disease indications and clinical applications;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particular, in connection with the pending Acquisition of GeneDx, we have entered into subscription agreements with certain institutional investors pursuant to which we have agreed to issue and sell to the investors, in private placements to close substantially concurrently with the closing of the Acquisition, an aggregate of 50 million shares of our common stock at $4.00 per share, for an aggregate gross purchase price of $200 million, before fees and expenses (which we refer to as the “Acquisition PIPE Investment”).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7"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rate of progress in establishing payer coverage and reimbursement arrangements with commercial third-party payors and government payers;</w:t>
      </w:r>
    </w:p>
    <w:p>
      <w:pPr>
        <w:spacing w:after="0" w:line="225" w:lineRule="exact"/>
        <w:rPr>
          <w:rFonts w:ascii="Arial" w:cs="Arial" w:eastAsia="Arial" w:hAnsi="Arial"/>
          <w:sz w:val="15"/>
          <w:szCs w:val="15"/>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Centrellis solution;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rate of progress in, and cost of research and development activities associated with, products and services in research and early development;</w:t>
      </w:r>
    </w:p>
    <w:p>
      <w:pPr>
        <w:spacing w:after="0" w:line="225" w:lineRule="exact"/>
        <w:rPr>
          <w:rFonts w:ascii="Arial" w:cs="Arial" w:eastAsia="Arial" w:hAnsi="Arial"/>
          <w:sz w:val="15"/>
          <w:szCs w:val="15"/>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our products and services.</w:t>
      </w:r>
    </w:p>
    <w:p>
      <w:pPr>
        <w:spacing w:after="0" w:line="20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like in the acquisition PIPE Investment,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make significant investments in our continued research and development of new products and services, which may not be successful.</w:t>
      </w:r>
    </w:p>
    <w:p>
      <w:pPr>
        <w:spacing w:after="0" w:line="21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spacing w:after="0" w:line="15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6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201" w:lineRule="exact"/>
        <w:rPr>
          <w:sz w:val="20"/>
          <w:szCs w:val="20"/>
          <w:color w:val="auto"/>
        </w:rPr>
      </w:pPr>
    </w:p>
    <w:p>
      <w:pPr>
        <w:ind w:right="20" w:firstLine="318"/>
        <w:spacing w:after="0" w:line="233" w:lineRule="auto"/>
        <w:rPr>
          <w:sz w:val="20"/>
          <w:szCs w:val="20"/>
          <w:color w:val="auto"/>
        </w:rPr>
      </w:pPr>
      <w:r>
        <w:rPr>
          <w:rFonts w:ascii="Arial" w:cs="Arial" w:eastAsia="Arial" w:hAnsi="Arial"/>
          <w:sz w:val="17"/>
          <w:szCs w:val="17"/>
          <w:color w:val="auto"/>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December 31, 2021.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51" w:lineRule="exact"/>
        <w:rPr>
          <w:sz w:val="20"/>
          <w:szCs w:val="20"/>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5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5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4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54"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However, we cannot guarantee that the steps we have taken or may subsequently take have been or will be sufficient to remediate the material weaknesses or ensure that our internal controls are effective. For a discussion of our remediation plan and actions, see “Item 9A. Controls and Procedures.” However,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noted above, as of December 31, 2021, the material weaknesses have not yet been fully remediated.</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Arial" w:cs="Arial" w:eastAsia="Arial" w:hAnsi="Arial"/>
          <w:sz w:val="15"/>
          <w:szCs w:val="15"/>
          <w:i w:val="1"/>
          <w:iCs w:val="1"/>
          <w:color w:val="auto"/>
        </w:rPr>
        <w:t>Risks</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to Being a Public Company—Our internal controls over financial reporting may not be effective and our independent registered public accounting firm may not be able to certify as to their effectiveness, which could have a significant and adverse effect on our business and reputation.</w:t>
      </w:r>
      <w:r>
        <w:rPr>
          <w:rFonts w:ascii="Arial" w:cs="Arial" w:eastAsia="Arial" w:hAnsi="Arial"/>
          <w:sz w:val="15"/>
          <w:szCs w:val="15"/>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may be limited.</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December 31, 2021, our total gross deferred tax assets were $160.5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stock-based compensation and other tax deductible temporary differences.</w:t>
      </w:r>
    </w:p>
    <w:p>
      <w:pPr>
        <w:spacing w:after="0" w:line="15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Furthermore, under Section 382 of the Internal Revenue Code of 1986, as amended, or the Internal Revenue Code, if a corporation undergoes an “ownership change,” the corporation’s ability to use its pre-change net operating loss carryforwards, or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the pending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Key Relationships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laboratories to perform certain elements of our service offerings.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customers and harm to our reputation. Furthermore, when these issues arise, we have had to expend time, management’s attention and other resources to address and remedy such issues.</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may not have sufficient alternative backup if one or more of the third-party laboratories that we contract with are unable to satisfy their obligations to us with sufficient performance, quality and timeliness, including as a result of the ongoing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In addition, certain third-party payors, including some state Medicaid payers,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Mount Sinai, a related party, and its clinicians for a portion of our test volume in connection with our diagnostic solutions and for data programs, and we have entered into certain other arrangements with Mount Sinai.</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rely on Mount Sinai, which is a related party, and its clinicians for a portion of our test volumes in connection with our diagnostic solutions and for a significant portion of the de-identified clinical records in our databases. In addition, we sublease certain facilities from Mount Sinai, we provide certain research and data services to Mount Sinai, and we and Mount Sinai have entered into certain collaborative and commercial arrangements. Furthermore, we may in the future enter into other contracts for services or other engagements with Mount Sinai.</w:t>
      </w:r>
    </w:p>
    <w:p>
      <w:pPr>
        <w:spacing w:after="0" w:line="15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13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ISMMS is one of our significant stockholders. ISMMS has entered into a support agreement in connection with the Acquisition, whereby ISMMS has agreed to, among other things, be bound by certain transfer restrictions. Following the expiration of these transfer restrictions, ISMMS may choose to dispose of some or all of the shares of our common stock held by it. Any disposal of shares of common stock by ISMMS, or the perception that these sales could occur, could cause the market price of our stock or warrants to decline.</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samples to our facilities in a timely and cost-efficient manner and if these delivery services are disrupted, our business could be harmed.</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and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increased compliance risks as a result of our rapid growth, including our dependence on our sales, marketing and billing efforts.</w:t>
      </w:r>
    </w:p>
    <w:p>
      <w:pPr>
        <w:spacing w:after="0" w:line="225"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41"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changes in FDA enforcement discretion for LDTs could subject our operations to much more significant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 xml:space="preserve">We currently offer a laboratory-develop test, or LDT, version of certain tests. The FDA has a policy of enforcement discretion with respect to, or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or CDRH, have expressed significant concerns regarding disparities between some LDTs and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200" w:lineRule="exact"/>
        <w:rPr>
          <w:sz w:val="20"/>
          <w:szCs w:val="20"/>
          <w:color w:val="auto"/>
        </w:rPr>
      </w:pPr>
    </w:p>
    <w:p>
      <w:pPr>
        <w:spacing w:after="0" w:line="35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Recently, the FDA has also taken a more active role in certain diagnostic areas, including the oversight of pharmacogenetic, or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properly licensed laboratory.</w:t>
      </w:r>
    </w:p>
    <w:p>
      <w:pPr>
        <w:spacing w:after="0" w:line="16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 xml:space="preserve">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request to down classify the device into Class II or Class I, which would not require a PMA. In the </w:t>
      </w:r>
      <w:r>
        <w:rPr>
          <w:rFonts w:ascii="Arial" w:cs="Arial" w:eastAsia="Arial" w:hAnsi="Arial"/>
          <w:sz w:val="15"/>
          <w:szCs w:val="15"/>
          <w:i w:val="1"/>
          <w:iCs w:val="1"/>
          <w:color w:val="auto"/>
        </w:rPr>
        <w:t xml:space="preserve">de novo </w:t>
      </w:r>
      <w:r>
        <w:rPr>
          <w:rFonts w:ascii="Arial" w:cs="Arial" w:eastAsia="Arial" w:hAnsi="Arial"/>
          <w:sz w:val="15"/>
          <w:szCs w:val="15"/>
          <w:color w:val="auto"/>
        </w:rPr>
        <w:t>process, the FDA must determine that general and special controls are sufficient to provide reasonable assurance of the safety and effectiveness of a</w:t>
      </w:r>
      <w:r>
        <w:rPr>
          <w:rFonts w:ascii="Arial" w:cs="Arial" w:eastAsia="Arial" w:hAnsi="Arial"/>
          <w:sz w:val="15"/>
          <w:szCs w:val="15"/>
          <w:i w:val="1"/>
          <w:iCs w:val="1"/>
          <w:color w:val="auto"/>
        </w:rPr>
        <w:t xml:space="preserve"> </w:t>
      </w:r>
      <w:r>
        <w:rPr>
          <w:rFonts w:ascii="Arial" w:cs="Arial" w:eastAsia="Arial" w:hAnsi="Arial"/>
          <w:sz w:val="15"/>
          <w:szCs w:val="15"/>
          <w:color w:val="auto"/>
        </w:rPr>
        <w:t>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The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pathway usually takes from six to 12 months, but for many applicants can take up to 18 months or more.</w:t>
      </w:r>
    </w:p>
    <w:p>
      <w:pPr>
        <w:spacing w:after="0" w:line="1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FDA can delay, limit or deny clearance, authorization or approval of a device for many reasons, including:</w:t>
      </w:r>
    </w:p>
    <w:p>
      <w:pPr>
        <w:spacing w:after="0" w:line="191"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that the products are safe or effective for their intended uses;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clinical trials;</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from preclinical studies, analytical studies and clinical trials may be insufficient to support clearance, authorization or approval, where required;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demonstrate that the clinical and other benefits of the device outweigh the risks;</w:t>
      </w:r>
    </w:p>
    <w:p>
      <w:pPr>
        <w:spacing w:after="0" w:line="177"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44" w:lineRule="exact"/>
        <w:rPr>
          <w:rFonts w:ascii="Arial" w:cs="Arial" w:eastAsia="Arial" w:hAnsi="Arial"/>
          <w:sz w:val="17"/>
          <w:szCs w:val="17"/>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may identify deficiencies in our marketing application;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may identify deficiencies in our or our collaborators’ manufacturing processes, facilities or analytical methods;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FDA or foreign regulatory authorities may audit clinical trial data and conclude that the data is not sufficiently reliable to support a PMA.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spacing w:after="0" w:line="15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authorization or approval of a PMA. The FDA requires every manufacturer to make this determination in the first instance, but the FDA may review any manufacturer’s decision. The FDA may not agree with our decisions regarding whether new clearances, authorizations or approvals are necessary.</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6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the FDA disagrees with our determination, which it may not review until we submit an annual report or the FDA conducts an inspection or other inquiry, and requires us to seek new clearances, authorizations or approvals for modifications to our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spacing w:after="0" w:line="14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54"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also required to comply with FDA regulations, including with respect to our labeling and promotion activities. In addition, advertising and marketing of our clinical products are subject to regulation by the Federal Trade Commission, or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such as the pending Acquisition of GeneDx, or products and services and our expansion outside of the U.S. may increase the potential of violating these laws, regulations or our internal policies and procedures.</w:t>
      </w:r>
    </w:p>
    <w:p>
      <w:pPr>
        <w:spacing w:after="0" w:line="14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5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our costs.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HIPAA privacy, security and breach notification regulations, including the expanded requirements under HITECH, establish comprehensive federal standards with respect to the uses and disclosures of protected health information, or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64" w:lineRule="exact"/>
        <w:rPr>
          <w:sz w:val="20"/>
          <w:szCs w:val="20"/>
          <w:color w:val="auto"/>
        </w:rPr>
      </w:pPr>
    </w:p>
    <w:p>
      <w:pPr>
        <w:ind w:left="640" w:hanging="316"/>
        <w:spacing w:after="0" w:line="294"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117" w:lineRule="exact"/>
        <w:rPr>
          <w:rFonts w:ascii="Arial" w:cs="Arial" w:eastAsia="Arial" w:hAnsi="Arial"/>
          <w:sz w:val="17"/>
          <w:szCs w:val="17"/>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contents of notices of privacy practices for PHI;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deidentification of PHI;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and/or residents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5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activities may subject it to risks under federal and state laws prohibiting ‘kickbacks’ and false or fraudulent claims.</w:t>
      </w:r>
    </w:p>
    <w:p>
      <w:pPr>
        <w:spacing w:after="0" w:line="17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6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2018, Congress passed the Eliminating Kickbacks in Recovery Act, or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healthcare industry, including compensating employees on a percentage basis,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one court has addressed the application of EKRA. That case was decided by the United States District Court of Hawaii and involved a lawsuit between a laboratory and an employee. The Court ruled that the commission-based compensation provisions of the laboratory employee’s contract did not violate EKRA. Although this may be a favorable interpretation of EKRA for laboratory compensation structures, we cannot be assured that courts in our jurisdiction will reach the same conclusion or that the decision will not be overturned if there is an appeal.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spacing w:after="0" w:line="15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or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4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5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7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41" w:lineRule="exact"/>
        <w:rPr>
          <w:sz w:val="20"/>
          <w:szCs w:val="20"/>
          <w:color w:val="auto"/>
        </w:rPr>
      </w:pPr>
    </w:p>
    <w:p>
      <w:pPr>
        <w:ind w:left="64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5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32"/>
        </w:numPr>
        <w:rPr>
          <w:rFonts w:ascii="Arial" w:cs="Arial" w:eastAsia="Arial" w:hAnsi="Arial"/>
          <w:sz w:val="15"/>
          <w:szCs w:val="15"/>
          <w:color w:val="auto"/>
        </w:rPr>
      </w:pPr>
      <w:r>
        <w:rPr>
          <w:rFonts w:ascii="Arial" w:cs="Arial" w:eastAsia="Arial" w:hAnsi="Arial"/>
          <w:sz w:val="15"/>
          <w:szCs w:val="15"/>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71"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48"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44" w:lineRule="exact"/>
        <w:rPr>
          <w:rFonts w:ascii="Arial" w:cs="Arial" w:eastAsia="Arial" w:hAnsi="Arial"/>
          <w:sz w:val="17"/>
          <w:szCs w:val="17"/>
          <w:color w:val="auto"/>
        </w:rPr>
      </w:pPr>
    </w:p>
    <w:p>
      <w:pPr>
        <w:jc w:val="both"/>
        <w:ind w:left="640" w:hanging="316"/>
        <w:spacing w:after="0" w:line="252"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facility, item or service for which payment may be made, in whole or in part, under a federal healthcare program;</w:t>
      </w:r>
    </w:p>
    <w:p>
      <w:pPr>
        <w:spacing w:after="0" w:line="191" w:lineRule="exact"/>
        <w:rPr>
          <w:sz w:val="20"/>
          <w:szCs w:val="20"/>
          <w:color w:val="auto"/>
        </w:rPr>
      </w:pPr>
    </w:p>
    <w:p>
      <w:pPr>
        <w:ind w:left="64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140"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5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54"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31"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48"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40"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50"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33"/>
        </w:numPr>
        <w:rPr>
          <w:rFonts w:ascii="Arial" w:cs="Arial" w:eastAsia="Arial" w:hAnsi="Arial"/>
          <w:sz w:val="15"/>
          <w:szCs w:val="15"/>
          <w:color w:val="auto"/>
        </w:rPr>
      </w:pPr>
      <w:r>
        <w:rPr>
          <w:rFonts w:ascii="Arial" w:cs="Arial" w:eastAsia="Arial" w:hAnsi="Arial"/>
          <w:sz w:val="15"/>
          <w:szCs w:val="15"/>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84" w:lineRule="exact"/>
        <w:rPr>
          <w:rFonts w:ascii="Arial" w:cs="Arial" w:eastAsia="Arial" w:hAnsi="Arial"/>
          <w:sz w:val="15"/>
          <w:szCs w:val="15"/>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40" w:lineRule="exact"/>
        <w:rPr>
          <w:rFonts w:ascii="Arial" w:cs="Arial" w:eastAsia="Arial" w:hAnsi="Arial"/>
          <w:sz w:val="18"/>
          <w:szCs w:val="18"/>
          <w:color w:val="auto"/>
        </w:rPr>
      </w:pPr>
    </w:p>
    <w:p>
      <w:pPr>
        <w:ind w:left="640" w:right="20" w:hanging="316"/>
        <w:spacing w:after="0" w:line="365" w:lineRule="auto"/>
        <w:tabs>
          <w:tab w:leader="none" w:pos="635" w:val="left"/>
        </w:tabs>
        <w:numPr>
          <w:ilvl w:val="0"/>
          <w:numId w:val="33"/>
        </w:numPr>
        <w:rPr>
          <w:rFonts w:ascii="Arial" w:cs="Arial" w:eastAsia="Arial" w:hAnsi="Arial"/>
          <w:sz w:val="15"/>
          <w:szCs w:val="15"/>
          <w:color w:val="auto"/>
        </w:rPr>
      </w:pPr>
      <w:r>
        <w:rPr>
          <w:rFonts w:ascii="Arial" w:cs="Arial" w:eastAsia="Arial" w:hAnsi="Arial"/>
          <w:sz w:val="15"/>
          <w:szCs w:val="15"/>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us in the countries in which we operate or may operate in the future; and</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4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uncertainty related to healthcare reform, pricing, coverage and reimbursement, which could reduce our revenue.</w:t>
      </w:r>
    </w:p>
    <w:p>
      <w:pPr>
        <w:spacing w:after="0" w:line="19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Healthcare reform laws, including the Patient Protection and Affordable Care Act or ACA, and the Protecting Access to Medicare Act of 2014, or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33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1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Coverage of our screening products that we may develop may also depend, in whole or in part, on whether payers determine, or courts and/or regulatory authorities determine, coverage is required under applicable federal or state laws mandating coverage of certain cancer screening services.</w:t>
      </w:r>
    </w:p>
    <w:p>
      <w:pPr>
        <w:spacing w:after="0" w:line="7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payers may disagree about how these 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spacing w:after="0" w:line="15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Outside of the U.S., we would largely depend on public or government-controlled payers for coverage of our oncology tests. As compared to many more routine diagnostic tests, our oncology tests are more complicated, expensive and are performed in a central, specialized lab. In order to accommodate the unique characteristics of our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payers covering the test or the number of orders placed. Public payers could condition reimbursement of our tests upon performance of our tests locally or, even in laboratories owned or operated by the payers.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payers or patients.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4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5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Errors, defects, or mistakes in our products or services, and operations could harm our reputation, decrease market acceptance of our products or services.</w:t>
      </w:r>
    </w:p>
    <w:p>
      <w:pPr>
        <w:spacing w:after="0" w:line="15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1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increasingly complex taxation rules and practices, which may affect how we conduct our business and our results of operations.</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Trade Secrets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inability to effectively protect our proprietary products, processes, and technologies, including the confidentiality of our trade secrets, could harm our competitive position.</w:t>
      </w:r>
    </w:p>
    <w:p>
      <w:pPr>
        <w:spacing w:after="0" w:line="1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5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we may obtain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we lose, we may lose some of our intellectual property rights. Furthermore, these lawsuits may divert the attention of our management and technical personnel.</w:t>
      </w:r>
    </w:p>
    <w:p>
      <w:pPr>
        <w:spacing w:after="0" w:line="15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inability to effectively protect our proprietary technologies under certain jurisdictions and legal regimes could harm our competitive position.</w:t>
      </w:r>
    </w:p>
    <w:p>
      <w:pPr>
        <w:spacing w:after="0" w:line="21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of these factors could adversely affect our ability to obtain commercially relevant or competitively advantageous patent protection for our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our business.</w:t>
      </w:r>
    </w:p>
    <w:p>
      <w:pPr>
        <w:spacing w:after="0" w:line="17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spacing w:after="0" w:line="13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and Myriad </w:t>
      </w:r>
      <w:r>
        <w:rPr>
          <w:rFonts w:ascii="Arial" w:cs="Arial" w:eastAsia="Arial" w:hAnsi="Arial"/>
          <w:sz w:val="18"/>
          <w:szCs w:val="18"/>
          <w:color w:val="auto"/>
        </w:rPr>
        <w:t>decisions,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subsequent case law, affect the legal concept of subject matter eligibility by seemingly narrowing the scope of the statute defining patentable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5"/>
          <w:szCs w:val="15"/>
          <w:i w:val="1"/>
          <w:iCs w:val="1"/>
          <w:color w:val="auto"/>
        </w:rPr>
        <w:t>Mayo, Association for Molecular Pathology v. Myriad Genetics, Inc.</w:t>
      </w:r>
      <w:r>
        <w:rPr>
          <w:rFonts w:ascii="Arial" w:cs="Arial" w:eastAsia="Arial" w:hAnsi="Arial"/>
          <w:sz w:val="15"/>
          <w:szCs w:val="15"/>
          <w:color w:val="auto"/>
        </w:rPr>
        <w:t xml:space="preserve">, and </w:t>
      </w:r>
      <w:r>
        <w:rPr>
          <w:rFonts w:ascii="Arial" w:cs="Arial" w:eastAsia="Arial" w:hAnsi="Arial"/>
          <w:sz w:val="15"/>
          <w:szCs w:val="15"/>
          <w:i w:val="1"/>
          <w:iCs w:val="1"/>
          <w:color w:val="auto"/>
        </w:rPr>
        <w:t>Alice</w:t>
      </w:r>
      <w:r>
        <w:rPr>
          <w:rFonts w:ascii="Arial" w:cs="Arial" w:eastAsia="Arial" w:hAnsi="Arial"/>
          <w:sz w:val="15"/>
          <w:szCs w:val="15"/>
          <w:color w:val="auto"/>
        </w:rPr>
        <w:t xml:space="preserve"> </w:t>
      </w:r>
      <w:r>
        <w:rPr>
          <w:rFonts w:ascii="Arial" w:cs="Arial" w:eastAsia="Arial" w:hAnsi="Arial"/>
          <w:sz w:val="15"/>
          <w:szCs w:val="15"/>
          <w:i w:val="1"/>
          <w:iCs w:val="1"/>
          <w:color w:val="auto"/>
        </w:rPr>
        <w:t>Corporation Pty. Ltd. v. CLS Bank International</w:t>
      </w:r>
      <w:r>
        <w:rPr>
          <w:rFonts w:ascii="Arial" w:cs="Arial" w:eastAsia="Arial" w:hAnsi="Arial"/>
          <w:sz w:val="15"/>
          <w:szCs w:val="15"/>
          <w:color w:val="auto"/>
        </w:rPr>
        <w:t>, and others. The guidance indicates that claims directed to a law of nature, a natural phenomenon, or an</w:t>
      </w:r>
      <w:r>
        <w:rPr>
          <w:rFonts w:ascii="Arial" w:cs="Arial" w:eastAsia="Arial" w:hAnsi="Arial"/>
          <w:sz w:val="15"/>
          <w:szCs w:val="15"/>
          <w:i w:val="1"/>
          <w:iCs w:val="1"/>
          <w:color w:val="auto"/>
        </w:rPr>
        <w:t xml:space="preserve"> </w:t>
      </w:r>
      <w:r>
        <w:rPr>
          <w:rFonts w:ascii="Arial" w:cs="Arial" w:eastAsia="Arial" w:hAnsi="Arial"/>
          <w:sz w:val="15"/>
          <w:szCs w:val="15"/>
          <w:color w:val="auto"/>
        </w:rPr>
        <w:t>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2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 — which substantially revised the U.S. patent system —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4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5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5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Because the U.S. Patent &amp; Trademark Office, or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33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2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strategic collaborative and licensing arrangements with third parties to develop critical intellectual property. We may not be able to successfully establish and maintain such intellectual property.</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4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and Information Technology</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3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8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secure processing, storage, maintenance and transmission of this critical information are vital to our operations and business strategy, and we devote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p>
    <w:p>
      <w:pPr>
        <w:spacing w:after="0" w:line="1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our business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harm. Penalties for unfair or deceptive acts or practices under the FTC Act or state Unfair and Deceptive Acts and Practices, or UDAP, statutes may also vary significantly.</w:t>
      </w:r>
    </w:p>
    <w:p>
      <w:pPr>
        <w:spacing w:after="0" w:line="15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4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112"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4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our scientific computing and information technology and management systems and any failure of these systems could harm our business.</w:t>
      </w:r>
    </w:p>
    <w:p>
      <w:pPr>
        <w:spacing w:after="0" w:line="22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6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4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payers,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ability to transfer data stored outside of the United States could be limited by international regulations or other action by foreign governments, which could adversely affect our business.</w:t>
      </w:r>
    </w:p>
    <w:p>
      <w:pPr>
        <w:spacing w:after="0" w:line="1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5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As a public company, we incur significant legal, accounting and other expenses, including costs associated with public company reporting requirements. In addition, the Sarbanes-Oxley Act of 2002,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or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meet the expectations of investors, stockholders or financial analysts, the market price of our securities may decline.</w:t>
      </w:r>
    </w:p>
    <w:p>
      <w:pPr>
        <w:spacing w:after="0" w:line="17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77"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8" w:lineRule="exact"/>
        <w:rPr>
          <w:rFonts w:ascii="Arial" w:cs="Arial" w:eastAsia="Arial" w:hAnsi="Arial"/>
          <w:sz w:val="17"/>
          <w:szCs w:val="17"/>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202" w:lineRule="exact"/>
        <w:rPr>
          <w:rFonts w:ascii="Arial" w:cs="Arial" w:eastAsia="Arial" w:hAnsi="Arial"/>
          <w:sz w:val="17"/>
          <w:szCs w:val="17"/>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 (including the potential issuance of shares of common stock in connection with the pending Acquisition of GeneDx and the Acquisition PIPE Investment);</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complete the Acquisition due to the failure to satisfy the conditions to the consummation of the Acquisition, including receipt of the required stockholder approval or the required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that the proposed Acquisition disrupts our current plans and operations or affects our ability to retain or recruit key employees;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related to the Acquisition diverting management’s or employees’ attention from ongoing business operations;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of the pending Acquisition on our business relationships (including, without limitation customers, strategic partners, collaborators and suppliers), operating results and business generally;</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of the costs, fees, expenses and charges related to the Acquisition;</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sales of substantial amounts of common stock by our directors, officers or significant stockholders or the perception that such sales could occur;</w:t>
      </w:r>
    </w:p>
    <w:p>
      <w:pPr>
        <w:spacing w:after="0" w:line="225" w:lineRule="exact"/>
        <w:rPr>
          <w:rFonts w:ascii="Arial" w:cs="Arial" w:eastAsia="Arial" w:hAnsi="Arial"/>
          <w:sz w:val="15"/>
          <w:szCs w:val="15"/>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realization of any of the risk factors described herein;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77"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inflation and interest rates, fuel prices, international currency fluctuations and acts of war or terrorism.</w:t>
      </w:r>
    </w:p>
    <w:p>
      <w:pPr>
        <w:spacing w:after="0" w:line="1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reports about us, our business, or our market, or if they change their recommendations regarding our common stock adversely, then the price and trading volume of our common could decline.</w:t>
      </w:r>
    </w:p>
    <w:p>
      <w:pPr>
        <w:spacing w:after="0" w:line="14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trading market for our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common stock would likely decline. If any analyst who covers us were to cease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coverage of us or fail to regularly publish reports on us, we could lose visibility in the financial markets, which could cause our stock price or trading volume to decline.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4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Restated Bylaws, as well as provisions of Delaware law, could impair a takeover attempt.</w:t>
      </w:r>
    </w:p>
    <w:p>
      <w:pPr>
        <w:spacing w:after="0" w:line="15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Amended and Restated Certificate of Incorporation (which we refer to as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06" w:lineRule="exact"/>
        <w:rPr>
          <w:sz w:val="20"/>
          <w:szCs w:val="20"/>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5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4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Charter must be approved by holders of at least two-thirds of our common stock; and</w:t>
      </w:r>
    </w:p>
    <w:p>
      <w:pPr>
        <w:spacing w:after="0" w:line="14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spacing w:after="0" w:line="15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5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12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Charter provides that, subject to limited exceptions, the Court of Chancery of the State of Delaware and federal court within the State of Delaware will be exclusive forums for any:</w:t>
      </w:r>
    </w:p>
    <w:p>
      <w:pPr>
        <w:spacing w:after="0" w:line="154"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4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action asserting a claim against the us or any of our directors, officers, stockholders, employees or agents arising pursuant to any provision of the General Corporation Law, our Charter or our Restated Bylaws (which we refer to as our “Bylaws”) or as to which the General Corporation Law confers jurisdiction on the Court of Chancery of the State of Delaware:</w:t>
      </w:r>
    </w:p>
    <w:p>
      <w:pPr>
        <w:spacing w:after="0" w:line="161"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our Charter or our Bylaws; or</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4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our Bylaws and the choice of forum provision in our Charter.</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stockholders will not be deemed to have waived our compliance with the federal securities laws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5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4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the Former Sponsor, or its permitted transferees.</w:t>
      </w:r>
    </w:p>
    <w:p>
      <w:pPr>
        <w:spacing w:after="0" w:line="3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warrants are exercisable for our common stock, which will increase the number of shares eligible for future resale in the public market and result in dilution to our stockholders.</w:t>
      </w:r>
    </w:p>
    <w:p>
      <w:pPr>
        <w:spacing w:after="0" w:line="15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of December 31, 2021, our public warrants are exercisable for 14,758,305 shares of common stock at $11.50 per share. Our private warrants are exercisable for 7,236,667 shares of common stock at $11.50 per share. The additional shares of our common stock issuable upon exercise of our warrants will result in dilution to the then existing holders of our common stock and increase the number of shares eligible for resale in the public market. Sales of substantial numbers of such shares in the public market could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addition, the assumptions used in preparing the pro forma financial information may not prove to be accurate and other factors may affect our financial condition or results of operations. Any potential decline in our financial condition or results of operations may cause significant variations in our stock price.</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Included on our balance sheet as of December 31, 2021 are derivative liabilities related to our warrants. Accounting Standards Codification 815, Derivatives and Hedging, or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resales of our common stock could cause the market price of our common stock to drop significantly, even if our business is doing well.</w:t>
      </w:r>
    </w:p>
    <w:p>
      <w:pPr>
        <w:spacing w:after="0" w:line="22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Sales of a significant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Immediately after the closing of our July 2021 business combination: (i) former holders of Legacy Sema4 common stock owned approximately 64.89% of our total outstanding common stock, (ii) holders of public shares owned 18.43% of our total outstanding common stock, (iii) the Former Sponsor and certain of CMLS’s other initial stockholders owned 4.61% of our total outstanding common stock and (iv) the Merger PIPE Investors owned approximately 12.07% of our total outstanding shares of common stock.</w:t>
      </w:r>
    </w:p>
    <w:p>
      <w:pPr>
        <w:spacing w:after="0" w:line="15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Although the Former Sponsor and certain of our stockholders were subject to certain lock-up restrictions regarding the transfer of our common stock following the consummation of the business combination, these lock-up restrictions expired on January 18, 2022. However, certain of our existing stockholders have also entered into support agreements in connection with the Acquisition, whereby these stockholders have agreed to, among other things, be bound by certain transfer restrictions. Furthermore, we have filed a registration statement on Form S-1 related to the offer and sale from time to time by the selling securityholders named in the prospectus that forms a part of that registration statement of up to 236,223,401 shares of common stock and 7,236,667 warrants, which registration statement has been declared effective by the SEC. Because the business combination lock-up restrictions have expired and the registration statement is available for use, and as the transfer restrictions under the support agreement end, the market price of our common stock could decline if the holders of our common stock sell them or are perceived by the market as intending to sell them.</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There is no guarantee that the public warrants will ever be in the money, and they may expire worthless and the terms of our public warrants may be amended.</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exercise price for the public warrants is $11.50 per share of common stock. There is no guarantee that the public warrants will ever be in the money prior to their expiration, and as such, the public warrants may expire worthless.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Acquisition</w:t>
      </w:r>
    </w:p>
    <w:p>
      <w:pPr>
        <w:spacing w:after="0" w:line="2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b w:val="1"/>
          <w:bCs w:val="1"/>
          <w:i w:val="1"/>
          <w:iCs w:val="1"/>
          <w:color w:val="auto"/>
        </w:rPr>
        <w:t>The Acquisition is subject to closing conditions, including governmental, regulatory and stockholder approvals, as well as other uncertainties and there can be no assurances as to whether and when it may be completed. Failure to complete the Acquisition could negatively impact our stock price, future business and financial results.</w:t>
      </w:r>
    </w:p>
    <w:p>
      <w:pPr>
        <w:spacing w:after="0" w:line="1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can be no assurance that the proposed Acquisition of GeneDx will occur. Consummation of the Acquisition is subject to certain customary conditions, including, without limitation: (i) the approval by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stockholders of the issuance of shares of common stock in connection with the Acquisition and a related amendment to our Charter; (ii) the expiration or early termination of the waiting period applicable to the consummation of the Acquisition under the Hart-Scott-Rodino Antitrust Improvements Act of 1976, as amended; (iii) the absence of any legal requirement that prevents or makes illegal the consummation of transactions contemplated by the Merger Agreement;</w:t>
      </w:r>
    </w:p>
    <w:p>
      <w:pPr>
        <w:spacing w:after="0" w:line="1" w:lineRule="exact"/>
        <w:rPr>
          <w:sz w:val="20"/>
          <w:szCs w:val="20"/>
          <w:color w:val="auto"/>
        </w:rPr>
      </w:pPr>
    </w:p>
    <w:p>
      <w:pPr>
        <w:jc w:val="both"/>
        <w:ind w:firstLine="6"/>
        <w:spacing w:after="0" w:line="248" w:lineRule="auto"/>
        <w:tabs>
          <w:tab w:leader="none" w:pos="30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accuracy of each party’s representations and warranties (subject to certain qualifications); (v) each party’s performance in all material respects of its obligations contained in the Merger Agreement; and (vi) the absence of a material adverse effect on each of GeneDx and our company since the date of the Merger Agreement.</w:t>
      </w:r>
    </w:p>
    <w:p>
      <w:pPr>
        <w:spacing w:after="0" w:line="16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While we believe we will receive the requisite approvals, there can be no assurance that these and other conditions to closing will be satisfied at all or satisfied on the proposed terms and schedules as contemplated by the parties. Satisfaction of the closing conditions may delay the consummation of the Acquisition, and if certain closing conditions are not satisfied prior to the end date specified in the Merger Agreement, the parties will not be obligated to complete the Acquisition.</w:t>
      </w:r>
    </w:p>
    <w:p>
      <w:pPr>
        <w:spacing w:after="0" w:line="15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the Acquisition is not completed for any reason, we will have incurred substantial expenses. We have incurred substantial legal, accounting and financial advisory fees that are payable by us whether or not the Acquisition is completed, and our management has devoted considerable time and effort in connection with the pending Acquisition. In particular, the Merger Agreement contains specified termination rights for each of the parties. A failed acquisition could materially adversely affect our business, operating results or financial condition. In addition, the trading price of our securities could be adversely affected to the extent that the current price reflects an assumption that the Acquisition will be completed.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subject to business uncertainties while the Acquisition is pending.</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Uncertainty about the effect of the pending Acquisition on employees and third parties may have an adverse effect on us. These uncertainties may impair our ability to retain and motivate key personnel and could cause third parties that deal with any of us or them to defer entering into contracts or making other decisions or seek to change existing business relationships. If key employees depart because of uncertainty about their future roles and the potential complexities of the Acquisition, our business could be harmed.</w:t>
      </w:r>
    </w:p>
    <w:p>
      <w:pPr>
        <w:spacing w:after="0" w:line="15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may be the target of transaction related lawsuits which could result in substantial costs and may delay or prevent the Acquisition from being completed.</w:t>
      </w:r>
    </w:p>
    <w:p>
      <w:pPr>
        <w:spacing w:after="0" w:line="141"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18"/>
          <w:szCs w:val="18"/>
          <w:color w:val="auto"/>
        </w:rPr>
        <w:t>Securities class action lawsuits and derivative lawsuits are often brought against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our liquidity and financial condition. Additionally, if a plaintiff is successful in obtaining an injunction prohibiting completion of the Acquisition, then that injunction may delay or prevent the Acquisition from being completed, which may adversely affect our business, financial condition and results of operation. There can be no assurance that complaints will not be filed with respect to the Acquisition.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Our corporate headquarter is located at 333 Ludlow Street, North Tower, 8th Floor, Stamford, Connecticut 06902. Material lease agreements include offices and laboratory facilities as shown in the table below. We believe that our current facilities are suitable and adequate to meet our current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280" w:type="dxa"/>
            <w:vAlign w:val="bottom"/>
          </w:tcPr>
          <w:p>
            <w:pPr>
              <w:jc w:val="center"/>
              <w:ind w:left="179"/>
              <w:spacing w:after="0"/>
              <w:rPr>
                <w:sz w:val="20"/>
                <w:szCs w:val="20"/>
                <w:color w:val="auto"/>
              </w:rPr>
            </w:pPr>
            <w:r>
              <w:rPr>
                <w:rFonts w:ascii="Arial" w:cs="Arial" w:eastAsia="Arial" w:hAnsi="Arial"/>
                <w:sz w:val="18"/>
                <w:szCs w:val="18"/>
                <w:b w:val="1"/>
                <w:bCs w:val="1"/>
                <w:color w:val="auto"/>
                <w:w w:val="87"/>
              </w:rPr>
              <w:t>Properties</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2380" w:type="dxa"/>
            <w:vAlign w:val="bottom"/>
          </w:tcPr>
          <w:p>
            <w:pPr>
              <w:jc w:val="center"/>
              <w:ind w:left="179"/>
              <w:spacing w:after="0"/>
              <w:rPr>
                <w:sz w:val="20"/>
                <w:szCs w:val="20"/>
                <w:color w:val="auto"/>
              </w:rPr>
            </w:pPr>
            <w:r>
              <w:rPr>
                <w:rFonts w:ascii="Arial" w:cs="Arial" w:eastAsia="Arial" w:hAnsi="Arial"/>
                <w:sz w:val="18"/>
                <w:szCs w:val="18"/>
                <w:b w:val="1"/>
                <w:bCs w:val="1"/>
                <w:color w:val="auto"/>
                <w:w w:val="82"/>
              </w:rPr>
              <w:t>Space</w:t>
            </w:r>
          </w:p>
        </w:tc>
      </w:tr>
      <w:tr>
        <w:trPr>
          <w:trHeight w:val="213"/>
        </w:trPr>
        <w:tc>
          <w:tcPr>
            <w:tcW w:w="42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0"/>
              </w:rPr>
              <w:t>Stamford, CT Corporate Headquarter</w:t>
            </w:r>
          </w:p>
        </w:tc>
        <w:tc>
          <w:tcPr>
            <w:tcW w:w="26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0"/>
              </w:rPr>
              <w:t>Through 2033</w:t>
            </w:r>
          </w:p>
        </w:tc>
        <w:tc>
          <w:tcPr>
            <w:tcW w:w="23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0"/>
              </w:rPr>
              <w:t>90,000 sq.ft.</w:t>
            </w:r>
          </w:p>
        </w:tc>
      </w:tr>
      <w:tr>
        <w:trPr>
          <w:trHeight w:val="209"/>
        </w:trPr>
        <w:tc>
          <w:tcPr>
            <w:tcW w:w="4280" w:type="dxa"/>
            <w:vAlign w:val="bottom"/>
          </w:tcPr>
          <w:p>
            <w:pPr>
              <w:jc w:val="center"/>
              <w:ind w:left="219"/>
              <w:spacing w:after="0"/>
              <w:rPr>
                <w:sz w:val="20"/>
                <w:szCs w:val="20"/>
                <w:color w:val="auto"/>
              </w:rPr>
            </w:pPr>
            <w:r>
              <w:rPr>
                <w:rFonts w:ascii="Arial" w:cs="Arial" w:eastAsia="Arial" w:hAnsi="Arial"/>
                <w:sz w:val="16"/>
                <w:szCs w:val="16"/>
                <w:color w:val="auto"/>
                <w:w w:val="93"/>
              </w:rPr>
              <w:t>Branford, CT Laboratory</w:t>
            </w:r>
          </w:p>
        </w:tc>
        <w:tc>
          <w:tcPr>
            <w:tcW w:w="2640" w:type="dxa"/>
            <w:vAlign w:val="bottom"/>
          </w:tcPr>
          <w:p>
            <w:pPr>
              <w:jc w:val="center"/>
              <w:ind w:right="19"/>
              <w:spacing w:after="0"/>
              <w:rPr>
                <w:sz w:val="20"/>
                <w:szCs w:val="20"/>
                <w:color w:val="auto"/>
              </w:rPr>
            </w:pPr>
            <w:r>
              <w:rPr>
                <w:rFonts w:ascii="Arial" w:cs="Arial" w:eastAsia="Arial" w:hAnsi="Arial"/>
                <w:sz w:val="16"/>
                <w:szCs w:val="16"/>
                <w:color w:val="auto"/>
                <w:w w:val="90"/>
              </w:rPr>
              <w:t>Through 2029</w:t>
            </w:r>
          </w:p>
        </w:tc>
        <w:tc>
          <w:tcPr>
            <w:tcW w:w="2380" w:type="dxa"/>
            <w:vAlign w:val="bottom"/>
          </w:tcPr>
          <w:p>
            <w:pPr>
              <w:jc w:val="center"/>
              <w:ind w:left="179"/>
              <w:spacing w:after="0"/>
              <w:rPr>
                <w:sz w:val="20"/>
                <w:szCs w:val="20"/>
                <w:color w:val="auto"/>
              </w:rPr>
            </w:pPr>
            <w:r>
              <w:rPr>
                <w:rFonts w:ascii="Arial" w:cs="Arial" w:eastAsia="Arial" w:hAnsi="Arial"/>
                <w:sz w:val="16"/>
                <w:szCs w:val="16"/>
                <w:color w:val="auto"/>
                <w:w w:val="90"/>
              </w:rPr>
              <w:t>40,000 sq.ft.</w:t>
            </w:r>
          </w:p>
        </w:tc>
      </w:tr>
      <w:tr>
        <w:trPr>
          <w:trHeight w:val="214"/>
        </w:trPr>
        <w:tc>
          <w:tcPr>
            <w:tcW w:w="42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1"/>
              </w:rPr>
              <w:t>Stamford, CT Laboratory</w:t>
            </w:r>
          </w:p>
        </w:tc>
        <w:tc>
          <w:tcPr>
            <w:tcW w:w="26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0"/>
              </w:rPr>
              <w:t>Through 2046</w:t>
            </w:r>
          </w:p>
        </w:tc>
        <w:tc>
          <w:tcPr>
            <w:tcW w:w="23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0"/>
              </w:rPr>
              <w:t>67,000 sq.ft.</w:t>
            </w:r>
          </w:p>
        </w:tc>
      </w:tr>
      <w:tr>
        <w:trPr>
          <w:trHeight w:val="207"/>
        </w:trPr>
        <w:tc>
          <w:tcPr>
            <w:tcW w:w="4280" w:type="dxa"/>
            <w:vAlign w:val="bottom"/>
          </w:tcPr>
          <w:p>
            <w:pPr>
              <w:jc w:val="center"/>
              <w:ind w:left="179"/>
              <w:spacing w:after="0"/>
              <w:rPr>
                <w:sz w:val="20"/>
                <w:szCs w:val="20"/>
                <w:color w:val="auto"/>
              </w:rPr>
            </w:pPr>
            <w:r>
              <w:rPr>
                <w:rFonts w:ascii="Arial" w:cs="Arial" w:eastAsia="Arial" w:hAnsi="Arial"/>
                <w:sz w:val="16"/>
                <w:szCs w:val="16"/>
                <w:color w:val="auto"/>
                <w:w w:val="96"/>
              </w:rPr>
              <w:t>New York, NY Office</w:t>
            </w:r>
          </w:p>
        </w:tc>
        <w:tc>
          <w:tcPr>
            <w:tcW w:w="2640" w:type="dxa"/>
            <w:vAlign w:val="bottom"/>
          </w:tcPr>
          <w:p>
            <w:pPr>
              <w:jc w:val="center"/>
              <w:ind w:right="19"/>
              <w:spacing w:after="0"/>
              <w:rPr>
                <w:sz w:val="20"/>
                <w:szCs w:val="20"/>
                <w:color w:val="auto"/>
              </w:rPr>
            </w:pPr>
            <w:r>
              <w:rPr>
                <w:rFonts w:ascii="Arial" w:cs="Arial" w:eastAsia="Arial" w:hAnsi="Arial"/>
                <w:sz w:val="16"/>
                <w:szCs w:val="16"/>
                <w:color w:val="auto"/>
                <w:w w:val="90"/>
              </w:rPr>
              <w:t>Through 2022</w:t>
            </w:r>
          </w:p>
        </w:tc>
        <w:tc>
          <w:tcPr>
            <w:tcW w:w="2380" w:type="dxa"/>
            <w:vAlign w:val="bottom"/>
          </w:tcPr>
          <w:p>
            <w:pPr>
              <w:jc w:val="center"/>
              <w:ind w:left="179"/>
              <w:spacing w:after="0"/>
              <w:rPr>
                <w:sz w:val="20"/>
                <w:szCs w:val="20"/>
                <w:color w:val="auto"/>
              </w:rPr>
            </w:pPr>
            <w:r>
              <w:rPr>
                <w:rFonts w:ascii="Arial" w:cs="Arial" w:eastAsia="Arial" w:hAnsi="Arial"/>
                <w:sz w:val="16"/>
                <w:szCs w:val="16"/>
                <w:color w:val="auto"/>
                <w:w w:val="90"/>
              </w:rPr>
              <w:t>15,000 sq.ft.</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and our subsidiary, are currently not a party to, and our property is not currently the subject of, any material pending legal proceedings; however, we may become involved in various claims and legal actions arising in the ordinary course of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Since July 23, 2021, our Class A common stock and public warrants have been listed on the Nasdaq Global Select Market under the symbols “SMFR” and “SMFRW”, respectively. Prior to our business combination, CMLS’s Class A common stock, CMLS’s public warrants, and CMLS’s public units were listed on the Nasdaq Capital Market under the symbols “CMLF”, “CMFLW”, and “CMLFU” respectively.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Holders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March 7, 2022, there were 77 record holders of our Class A common stock and 5 record holders of our public warrants, based upon information received from our transfer agent. However, this number does not reflect beneficial owners whose shares were held of record by nominees or broker dealers. We believe a substantially greater number of beneficial owners hold shares of our Class A common stock or public warrants through brokers, banks, or other nominees.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have never paid any cash dividends on our capital stock. We anticipate that we will retain earnings, if any, to support operations and to finance the growth and development of our business. In addition, the terms of the revolving credit facility with Silicon Valley Bank, or SVB, precludes us from paying cash dividends without the prior written consent of SVB. Therefore, we do not expect to pay cash dividends for the foreseeable future.</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 of Unregistered Securities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on Form 10-K.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1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were established out of Icahn School of Medicine at Mount Sinai or ISMMS, and commenced operations in June 2017 as a commercial entity that could effectively engage diverse patient populations and health care institutions at scale. We have since established and deployed our comprehensive and integrated genomic and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data platform and established a mature diagnostic testing business. We now maintain a database that includes more than 12 million de-identified individual clinical records, many with genomic profiles. We also manage a data asset over 47 petabytes in size, that has been expanding at more than 1 petabyte per month with an accelerating growth rate.</w:t>
      </w:r>
    </w:p>
    <w:p>
      <w:pPr>
        <w:spacing w:after="0" w:line="16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Currently, we derive the majority of our revenue from our diagnostic test solutions. Our diagnostic business generates revenue and engages with healthcare professionals working with patients primarily through our Women’s Health and Oncology solutions.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Women’s Health solutions sequence and analyze an industry-leading number of genes and use interpretive information tools to translate raw sequencing and clinical data efficiently and accurately into digestible clinical reports that guide decision-making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the risk of cancer or informs on cancer treatment. We believe our Signal Whole Exome and Transcriptome solution is one of the most comprehensive molecular profiling solutions from a commercial entity to receive New York State approval. Beginning in May of 2020, we also expanded our diagnostic testing services to include testing for the presence of COVID-19, which we intend to discontinue by March 31, 2022.</w:t>
      </w:r>
    </w:p>
    <w:p>
      <w:pPr>
        <w:spacing w:after="0" w:line="14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also expanded beyond diagnostic testing to enter into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97" w:lineRule="exact"/>
        <w:rPr>
          <w:sz w:val="20"/>
          <w:szCs w:val="20"/>
          <w:color w:val="auto"/>
        </w:rPr>
      </w:pPr>
    </w:p>
    <w:p>
      <w:pPr>
        <w:jc w:val="both"/>
        <w:ind w:firstLine="318"/>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Arial" w:cs="Arial" w:eastAsia="Arial" w:hAnsi="Arial"/>
          <w:sz w:val="18"/>
          <w:szCs w:val="18"/>
          <w:i w:val="1"/>
          <w:iCs w:val="1"/>
          <w:color w:val="auto"/>
        </w:rPr>
        <w:t>“</w:t>
      </w:r>
      <w:hyperlink w:anchor="page31">
        <w:r>
          <w:rPr>
            <w:rFonts w:ascii="Arial" w:cs="Arial" w:eastAsia="Arial" w:hAnsi="Arial"/>
            <w:sz w:val="18"/>
            <w:szCs w:val="18"/>
            <w:i w:val="1"/>
            <w:iCs w:val="1"/>
            <w:u w:val="single" w:color="auto"/>
            <w:color w:val="0000FF"/>
          </w:rPr>
          <w:t>Item 1A. Risk Factors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resulted tests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historically reported both accessioned and resulted tests as important factors impacting our performance. A test is resulted once the appropriate workflow is completed and details are provided to the ordered patients or healthcare professional for reviews, which corresponds to the timing of our revenue recognition. We believe the number of resulted tests in any period is more important and useful to our investors because it directly correlates with long-term patient relationships and the size of our genomic database. Therefore, we do not plan to report the number of accessioned tests.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seeking to leverage and deploy our Centrellis and Traversa platforms to develop a pipeline of future disease-specific research and diagnostic and therapeutic products and services. We have limited experience in the development or commercialization of clinical or research products in connection with our database and our Centrellis platform.</w:t>
      </w:r>
    </w:p>
    <w:p>
      <w:pPr>
        <w:spacing w:after="0" w:line="16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5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8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consolidated financial statements and the related notes and other financial information included elsewhere in this report.</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is a key indicator that we use to assess the operational efficiency of our business. Once the appropriate workflow is completed, the test is resulted and details are provided to ordered patients or healthcare professionals for reviews.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During the year ended December 31, 2021, we resulted 709,942 tests in our laboratories, 418,053 tests of which were for COVID-19, compared to the period ended December 31, 2020, in which we resulted approximately 540,407 tests in our laboratories, 332,764 of which were for COVID-19. This 31% increase in resulted volume from 2020 to 2021 largely resulted from newly entered service agreements for COVID-19 testing as well as an increase in non-COVID-19 institutional testing. During the year ended December 31, 2019, we resulted approximately 155,497 tests in our laboratories, none of which were for COVID-19. The 248% increase in resulted volume from 2019 to 2020 largely resulted from newly entered service agreements for COVID-19 testing, offset by a slowdown in the base diagnostic business during the beginning of the COVID-19 pandemic given that many of our customers, including hospitals and clinics, had suspended non-emergency appointments and services.</w:t>
      </w:r>
    </w:p>
    <w:p>
      <w:pPr>
        <w:spacing w:after="0" w:line="15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discussed above, we no longer report the number of accessioned tests as a key performance indicator because the number of resulted tests more directly correlates with long-term patient relationships and the size of our genomic database.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ongoing COVID-19 pandemic has had, and continues to have, an extensive impact on the global health and economic environments since the initial outbreak in March 2020.</w:t>
      </w:r>
    </w:p>
    <w:p>
      <w:pPr>
        <w:spacing w:after="0" w:line="12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Beginning in April 2020, our diagnostic test volumes decreased significantly as compared to the prior year as a result of the COVID-19 pandemic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2020 and further increased in 2021. To support the rapid expansion of COVID-19 test volumes, we increased our workforce through both temporary contractors and employees. In addition, while most of our revenues from genetic testing rely upon reimbursements from third 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w:t>
      </w:r>
    </w:p>
    <w:p>
      <w:pPr>
        <w:spacing w:after="0" w:line="10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As part of our response to the ongoing COVID-19 pandemic, we have implemented various strategies to mitigate operating risks, reduce costs and improve cash collections. We have made significant advance purchases of test-related inventory in order to reduce the risk of potential business interruptions related to supply chain disruption. We also contracted with third-party vendors to collect and test COVID-19 samples to reduce operating risks related to employee health. Temporary COVID-19 austerity measures included cancellation of the 2020 annual merit compensation increase, temporary salary reductions from May through July 2020 and deferral of the 401(k) employer match from May through December 2020. The employer match was reinstated in January 2021, and the deferred portion was funded on March 9, 2021. To support our sales employees with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spacing w:after="0" w:line="10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conditions improve, we are focused on overhauling our revenue cycle, and as part of transformational activities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spacing w:after="0" w:line="13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While test volumes have since improved, we continue to experience changes in the mix of tests due to the impact of the COVID-19 and its variants. We anticipate that demand for COVID-19 tests will decrease as vaccines continue to be developed and deployed to the general population. For this reason, we announced in December 2021 that we had decided to discontinue COVID-19 testing services by March 31, 2022 and began notifying our COVID-19 testing solutions customers of this decision. We intend to dedicate all of our efforts and resources to our core mission to transform healthcare by using artificial intelligence to enable the delivery of precision medicine as the standard of care, and do not expect declines for our other revenue streams during 2022. The full extent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COVID-19 pandemic will directly or indirectly impact our business, results of operations and financial condition will depend on future developments that are highly uncertain and cannot be accurately predicted, including new information that may emerge concerning COVID-19 or its variants, the actions taken to contain it or treat it and the economic impact on local, regional, national and international markets and supply chains. Therefore, the COVID-19 pandemic could continue to have a material impact on our results of operations, cash flows and financial condition for the foreseeable future.</w:t>
      </w:r>
    </w:p>
    <w:p>
      <w:pPr>
        <w:spacing w:after="0" w:line="9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March 2020, the Coronavirus Aid, Relief and Economic Security Act, or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or PRF, distribution and $2.8 million received under the Employee Retention Credit, or ERC, distribution. During 2021, we received an additional $5.6 million under the PRF distribution.</w:t>
      </w:r>
    </w:p>
    <w:p>
      <w:pPr>
        <w:spacing w:after="0" w:line="12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distributions in other income (expense), net in the statements of operations and comprehensive loss during the periods in which we received the distributions.</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consolidated balance sheets as of December 31, 2021 and 2020.</w:t>
      </w:r>
    </w:p>
    <w:p>
      <w:pPr>
        <w:spacing w:after="0" w:line="143" w:lineRule="exact"/>
        <w:rPr>
          <w:sz w:val="20"/>
          <w:szCs w:val="20"/>
          <w:color w:val="auto"/>
        </w:rPr>
      </w:pPr>
    </w:p>
    <w:p>
      <w:pPr>
        <w:ind w:right="540" w:firstLine="318"/>
        <w:spacing w:after="0" w:line="449" w:lineRule="auto"/>
        <w:rPr>
          <w:sz w:val="20"/>
          <w:szCs w:val="20"/>
          <w:color w:val="auto"/>
        </w:rPr>
      </w:pPr>
      <w:r>
        <w:rPr>
          <w:rFonts w:ascii="Arial" w:cs="Arial" w:eastAsia="Arial" w:hAnsi="Arial"/>
          <w:sz w:val="18"/>
          <w:szCs w:val="18"/>
          <w:color w:val="auto"/>
        </w:rPr>
        <w:t xml:space="preserve">At this time, we are not certain of the availability, extent or impact of any future relief provided under the CARES Act or other stimulus initiatives. </w:t>
      </w:r>
      <w:r>
        <w:rPr>
          <w:rFonts w:ascii="Arial" w:cs="Arial" w:eastAsia="Arial" w:hAnsi="Arial"/>
          <w:sz w:val="18"/>
          <w:szCs w:val="18"/>
          <w:b w:val="1"/>
          <w:bCs w:val="1"/>
          <w:color w:val="auto"/>
        </w:rPr>
        <w:t>Recent Developments</w:t>
      </w:r>
    </w:p>
    <w:p>
      <w:pPr>
        <w:spacing w:after="0" w:line="4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In January 2022, we and our wholly-owned subsidiaries, Orion Merger Sub I, Inc., or Merger Sub I, and Orion Merger Sub II, LLC, or Merger Sub II, entered into an Agreement and Plan of Merger and Reorganization, or the Merger Agreement, with GeneDx, Inc., a New Jersey corporation, or GeneDx, and a wholly-owned subsidiary of OPKO Health, Inc., or OPKO, GeneDx Holding 2, Inc., or Holdco, and OPKO to acquire 100% of GeneDx (which we refer to as the “Acquisition”). Subject to the terms and conditions of the Merger Agreement, we will pay consideration to OPKO for the Acquisition of (i) $150 million in cash at the closing of the Acquisition, subject to certain adjustments as provided in the Merger Agreement, (ii) 80 million shares of our Class A common stock to be issued at the closing of the Acquisition and (iii) up to $150 million payable following the closing of the Acquisition, if certain revenue-based milestones are achieved for each of the fiscal years ending December 31, 2022 and December 31, 2023. These milestone payments, if and to the extent earned under the terms of the Merger Agreement, will be satisfied through the payment and/or issuance of a combination of cash and shares of our Class A common stock (valued at $4.86 per share), with such mix to be determined in our sole discretion.</w:t>
      </w:r>
    </w:p>
    <w:p>
      <w:pPr>
        <w:spacing w:after="0" w:line="306" w:lineRule="exact"/>
        <w:rPr>
          <w:sz w:val="20"/>
          <w:szCs w:val="20"/>
          <w:color w:val="auto"/>
        </w:rPr>
      </w:pPr>
    </w:p>
    <w:p>
      <w:pPr>
        <w:ind w:right="60" w:firstLine="318"/>
        <w:spacing w:after="0" w:line="237" w:lineRule="auto"/>
        <w:rPr>
          <w:sz w:val="20"/>
          <w:szCs w:val="20"/>
          <w:color w:val="auto"/>
        </w:rPr>
      </w:pPr>
      <w:r>
        <w:rPr>
          <w:rFonts w:ascii="Arial" w:cs="Arial" w:eastAsia="Arial" w:hAnsi="Arial"/>
          <w:sz w:val="17"/>
          <w:szCs w:val="17"/>
          <w:color w:val="auto"/>
        </w:rPr>
        <w:t>The completion of the Acquisition is subject to a number of closing conditions (which, as of the date of this report, have not been met), including certain regulatory and other third party approvals, the consummation of a pre-closing restructuring and certain approvals of our stockholders related to the Acquisition). The Acquisition is expected to close in the first half of 2022. If this pending Acquisition is consummated, consistent with our business model, we expect to leverage the combined health information database of Sema4 and GeneDx to partner with additional health systems and biopharma companies to transform patient care and therapeutic development and enable precision medicine for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Concurrently with the execution of the Merger Agreement, we entered into subscription agreements with certain institutional investors, pursuant to, and on the terms and subject to the conditions of which, these investors have collectively subscribed for 50 million shares of our Class A common stock for an aggregate purchase price equal to $200 million (which we refer to as the “Acquisition PIPE Investment”). The Acquisition PIPE Investment will be consummated substantially concurrently with the closing of the Acquisition.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1"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7"/>
          <w:szCs w:val="17"/>
          <w:color w:val="auto"/>
        </w:rPr>
        <w:t>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 As discussed above, in December 2021, we announced that we decided to discontinue COVID-19 testing services by March 31, 2022 and begun notifying its COVID-19 testing solutions customers of this decision.</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 revenue when control of the promised goods or services is transferred to the customer in an amount that reflects the consideration which we expect to be entitled to in exchange for those goods or services.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primarily generate revenue from performing diagnostic testing services for three groups of customers: healthcare professionals working with patients with third-party insurance coverage or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spacing w:after="0" w:line="9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generate revenue from providing diagnostic testing and related data aggregation reporting services under both short-term and long-term project-based collaboration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1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5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51"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related to medical education. Selling and marketing costs are expensed as incurred.</w:t>
      </w:r>
    </w:p>
    <w:p>
      <w:pPr>
        <w:spacing w:after="0" w:line="21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51"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Related party expenses primarily consist of amounts incurred in connection with transactions occurred with ISMMS for expenses under our transition services agreement, or TSA, with ISMMS which expired at the end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first quarter of 2021, and other service agreements. Additional information can be found in our consolidated financial statements in Note 7, </w:t>
      </w:r>
      <w:r>
        <w:rPr>
          <w:rFonts w:ascii="Arial" w:cs="Arial" w:eastAsia="Arial" w:hAnsi="Arial"/>
          <w:sz w:val="18"/>
          <w:szCs w:val="18"/>
          <w:i w:val="1"/>
          <w:iCs w:val="1"/>
          <w:color w:val="auto"/>
        </w:rPr>
        <w:t>“Related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included within this Annual Report.</w:t>
      </w:r>
    </w:p>
    <w:p>
      <w:pPr>
        <w:spacing w:after="0" w:line="14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generally expect related party expenses to decrease as we establish our own internal and external resources to fulfill the administrative and other services we have historically procured from ISMMS.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income primarily consists of interest earned on money market funds.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4"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Interest expense consists of interest costs related to our capital leases and our long-term debt arrangements, including unused line fee and the amortization of deferred transaction costs related to the loan and security agreement entered into with Silicon Valley Bank to provide a $125 million revolving credit facility described elsewhere in this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Other income, net primarily consists of funding received under the CARES Act. We recognized $2.6 million of the $5.4 million of funding received under the CARES Act as other income, net on the statements of operations and comprehensive loss during the year ended December 31, 2020. We recognized $5.6 million of additional funding received under the CARES Act during the year ended December 31, 2021 and the amount is included in other income, net for the year ended December 31, 2021. In addition, the loss incurred due to early payment penalties recognized upon extinguishment of debt of $0.3 million is included in other income, net.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 discussion regarding our financial condition and results of consolidated operations for the year ended December 31, 2021 compared to the year ended December 31, 2020 and for the year ended December 31, 2020 compared to the year ended December 31, 2019 is presented below.</w:t>
      </w:r>
    </w:p>
    <w:p>
      <w:pPr>
        <w:spacing w:after="0" w:line="91"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Certain expenses were previously misclassified as cost of services and they are now reported as selling and marketing. The adjustment is reflected in the amounts reported below for years ended December 31, 2021, 2020 and 2019. Refer to Note 2, “Summary of Significant Accounting Policies” to our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60" w:type="dxa"/>
            <w:vAlign w:val="bottom"/>
            <w:gridSpan w:val="4"/>
          </w:tcPr>
          <w:p>
            <w:pPr>
              <w:jc w:val="right"/>
              <w:ind w:right="72"/>
              <w:spacing w:after="0"/>
              <w:rPr>
                <w:sz w:val="20"/>
                <w:szCs w:val="20"/>
                <w:color w:val="auto"/>
              </w:rPr>
            </w:pPr>
            <w:r>
              <w:rPr>
                <w:rFonts w:ascii="Arial" w:cs="Arial" w:eastAsia="Arial" w:hAnsi="Arial"/>
                <w:sz w:val="18"/>
                <w:szCs w:val="18"/>
                <w:b w:val="1"/>
                <w:bCs w:val="1"/>
                <w:color w:val="auto"/>
                <w:w w:val="87"/>
              </w:rPr>
              <w:t>Comparison of the Years Ended December 31, 2021 and 2020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180" w:type="dxa"/>
            <w:vAlign w:val="bottom"/>
          </w:tcPr>
          <w:p>
            <w:pPr>
              <w:spacing w:after="0"/>
              <w:rPr>
                <w:sz w:val="24"/>
                <w:szCs w:val="24"/>
                <w:color w:val="auto"/>
              </w:rPr>
            </w:pPr>
          </w:p>
        </w:tc>
        <w:tc>
          <w:tcPr>
            <w:tcW w:w="5880" w:type="dxa"/>
            <w:vAlign w:val="bottom"/>
            <w:gridSpan w:val="6"/>
          </w:tcPr>
          <w:p>
            <w:pPr>
              <w:ind w:left="140"/>
              <w:spacing w:after="0"/>
              <w:rPr>
                <w:sz w:val="20"/>
                <w:szCs w:val="20"/>
                <w:color w:val="auto"/>
              </w:rPr>
            </w:pPr>
            <w:r>
              <w:rPr>
                <w:rFonts w:ascii="Arial" w:cs="Arial" w:eastAsia="Arial" w:hAnsi="Arial"/>
                <w:sz w:val="18"/>
                <w:szCs w:val="18"/>
                <w:color w:val="auto"/>
                <w:w w:val="89"/>
              </w:rPr>
              <w:t>The following table sets forth our results of operations for the periods presented: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right"/>
              <w:ind w:right="612"/>
              <w:spacing w:after="0"/>
              <w:rPr>
                <w:sz w:val="20"/>
                <w:szCs w:val="20"/>
                <w:color w:val="auto"/>
              </w:rPr>
            </w:pPr>
            <w:r>
              <w:rPr>
                <w:rFonts w:ascii="Arial" w:cs="Arial" w:eastAsia="Arial" w:hAnsi="Arial"/>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1"/>
              </w:rPr>
              <w:t>2020 (Restated)</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5"/>
          </w:tcPr>
          <w:p>
            <w:pPr>
              <w:jc w:val="right"/>
              <w:ind w:right="115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4340" w:type="dxa"/>
            <w:vAlign w:val="bottom"/>
            <w:gridSpan w:val="2"/>
          </w:tcPr>
          <w:p>
            <w:pPr>
              <w:ind w:left="180"/>
              <w:spacing w:after="0"/>
              <w:rPr>
                <w:sz w:val="20"/>
                <w:szCs w:val="20"/>
                <w:color w:val="auto"/>
              </w:rPr>
            </w:pPr>
            <w:r>
              <w:rPr>
                <w:rFonts w:ascii="Arial" w:cs="Arial" w:eastAsia="Arial" w:hAnsi="Arial"/>
                <w:sz w:val="18"/>
                <w:szCs w:val="18"/>
                <w:color w:val="auto"/>
              </w:rPr>
              <w:t>Diagnostic test revenue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6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175,351</w:t>
            </w: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434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434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Gross (loss) profit</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112,738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63,183</w:t>
            </w: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Related party expenses</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55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3"/>
              </w:rPr>
              <w:t>Change in fair market value of warrant and earn-out contingent liabilities</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434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4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other income (expense),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(245,390)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6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(245,390)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45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gridSpan w:val="5"/>
          </w:tcPr>
          <w:p>
            <w:pPr>
              <w:ind w:left="18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gridSpan w:val="3"/>
          </w:tcPr>
          <w:p>
            <w:pPr>
              <w:jc w:val="right"/>
              <w:ind w:right="753"/>
              <w:spacing w:after="0"/>
              <w:rPr>
                <w:sz w:val="20"/>
                <w:szCs w:val="20"/>
                <w:color w:val="auto"/>
              </w:rPr>
            </w:pPr>
            <w:r>
              <w:rPr>
                <w:rFonts w:ascii="Arial" w:cs="Arial" w:eastAsia="Arial" w:hAnsi="Arial"/>
                <w:sz w:val="14"/>
                <w:szCs w:val="14"/>
                <w:b w:val="1"/>
                <w:bCs w:val="1"/>
                <w:color w:val="auto"/>
                <w:w w:val="91"/>
              </w:rPr>
              <w:t>2020 to 2021</w:t>
            </w:r>
          </w:p>
        </w:tc>
        <w:tc>
          <w:tcPr>
            <w:tcW w:w="10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gridSpan w:val="6"/>
          </w:tcPr>
          <w:p>
            <w:pPr>
              <w:ind w:left="200"/>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29,749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3,124</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179,322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32,873</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 increased by $32.9 million, or 18%, to $212.2 million for the year ended December 31, 2021, from $179.3 million for the year ended December 31, 2020.</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Diagnostic test revenue increased by $29.7 million, or 17%, to $205.1 million for the year ended December 31, 2021, from $175.4 million for the year ended December 31, 2020. The increase was primarily attributable to a 135% increase in oncology test volumes, a 38% increase in women’s health test volumes and an overall increase in volumes of 31%, partially offset by the change in the mix of tests performed and reduced reimbursement rates. COVID-19 testing was introduced in May of 2020, which had a lower impact on total test volume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2020, compared to the year ended December 31, 2021 (with COVID-19 test volumes growing 26% year over year) .</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revenue increased by $3.1 million, or 79%, to $7.1 million for the year ended December 31, 2021, from $4.0 million for the year ended December 31, 2020. The increase was primarily attributable to growth in collaboration service activities due to the execution of third-party contracts which generated $3.7 million more in revenues in 2021 compared to 2020. This was partially offset by reduced revenues recognized related to an existing third-party contract by $0.8 million.</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(2020 amount restated)</w:t>
      </w:r>
    </w:p>
    <w:p>
      <w:pPr>
        <w:spacing w:after="0" w:line="194" w:lineRule="exact"/>
        <w:rPr>
          <w:sz w:val="20"/>
          <w:szCs w:val="20"/>
          <w:color w:val="auto"/>
        </w:rPr>
      </w:pPr>
    </w:p>
    <w:tbl>
      <w:tblPr>
        <w:tblLayout w:type="fixed"/>
        <w:tblInd w:w="184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left="345"/>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tcBorders>
              <w:bottom w:val="single" w:sz="8" w:color="auto"/>
            </w:tcBorders>
          </w:tcPr>
          <w:p>
            <w:pPr>
              <w:spacing w:after="0"/>
              <w:rPr>
                <w:sz w:val="16"/>
                <w:szCs w:val="16"/>
                <w:color w:val="auto"/>
              </w:rPr>
            </w:pPr>
          </w:p>
        </w:tc>
      </w:tr>
      <w:tr>
        <w:trPr>
          <w:trHeight w:val="185"/>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left="345"/>
              <w:spacing w:after="0"/>
              <w:rPr>
                <w:sz w:val="20"/>
                <w:szCs w:val="20"/>
                <w:color w:val="auto"/>
              </w:rPr>
            </w:pPr>
            <w:r>
              <w:rPr>
                <w:rFonts w:ascii="Arial" w:cs="Arial" w:eastAsia="Arial" w:hAnsi="Arial"/>
                <w:sz w:val="14"/>
                <w:szCs w:val="14"/>
                <w:b w:val="1"/>
                <w:bCs w:val="1"/>
                <w:color w:val="auto"/>
                <w:w w:val="91"/>
              </w:rPr>
              <w:t>2020 to 2021</w:t>
            </w:r>
          </w:p>
        </w:tc>
        <w:tc>
          <w:tcPr>
            <w:tcW w:w="740" w:type="dxa"/>
            <w:vAlign w:val="bottom"/>
            <w:tcBorders>
              <w:bottom w:val="single" w:sz="8" w:color="auto"/>
            </w:tcBorders>
          </w:tcPr>
          <w:p>
            <w:pPr>
              <w:spacing w:after="0"/>
              <w:rPr>
                <w:sz w:val="16"/>
                <w:szCs w:val="16"/>
                <w:color w:val="auto"/>
              </w:rPr>
            </w:pPr>
          </w:p>
        </w:tc>
      </w:tr>
      <w:tr>
        <w:trPr>
          <w:trHeight w:val="179"/>
        </w:trPr>
        <w:tc>
          <w:tcPr>
            <w:tcW w:w="2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0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3"/>
          </w:tcPr>
          <w:p>
            <w:pPr>
              <w:jc w:val="right"/>
              <w:ind w:right="945"/>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r>
      <w:tr>
        <w:trPr>
          <w:trHeight w:val="22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228,797</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175,296</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525"/>
              <w:spacing w:after="0"/>
              <w:rPr>
                <w:sz w:val="20"/>
                <w:szCs w:val="20"/>
                <w:color w:val="auto"/>
              </w:rPr>
            </w:pPr>
            <w:r>
              <w:rPr>
                <w:rFonts w:ascii="Arial" w:cs="Arial" w:eastAsia="Arial" w:hAnsi="Arial"/>
                <w:sz w:val="18"/>
                <w:szCs w:val="18"/>
                <w:color w:val="auto"/>
              </w:rPr>
              <w:t>53,501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bl>
    <w:p>
      <w:pPr>
        <w:spacing w:after="0" w:line="25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Cost of services increased by $53.5 million, or 31%, to $228.8 million for the year ended December 31, 2021, from $175.3 million for the year ended December 31, 2020. The increase was primarily driven by the following cost components: a $9.7 million increase in stock-based compensation expense primarily driven by the increase in fair value of the liability-classified awards until July 22, 2021, the closing date of our business combination, or the Closing Date and an increase in the number of stock-based compensation awards granted; a $7.9 million increase in personnel-related expenses driven by an increase in average headcount; a $8.2 million increase in consulting and outside service costs driven by temporary hires contracted to perform COVID-19 testing activities; a $5.0 million increase in logistical expenses and other lab services as a result of an increase in operations; a $9.6 million increase in reagents and laboratory supplies expense due primarily to the 32% increase in volumes; a $2.4 million increase in software expenses due to increased cloud storage and expanded computing capacity requirements from New York City to Stamford, Connecticut for testing data; a $2.1 million increase in the inventory obsolescence reserve for expiring COVID-19 and certain carrier screening testing kits; a $2.2 million increase in occupancy expenses; a $5.1 million increase in depreciation expenses in connection with our laboratory move at the end of 2020, with production activities commencing at the Stamford facility in the first quarter of 2021 and a $1.3 million increase in equipment maintenance and general office expenses.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345"/>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tcBorders>
              <w:bottom w:val="single" w:sz="8" w:color="auto"/>
            </w:tcBorders>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365"/>
              <w:spacing w:after="0"/>
              <w:rPr>
                <w:sz w:val="20"/>
                <w:szCs w:val="20"/>
                <w:color w:val="auto"/>
              </w:rPr>
            </w:pPr>
            <w:r>
              <w:rPr>
                <w:rFonts w:ascii="Arial" w:cs="Arial" w:eastAsia="Arial" w:hAnsi="Arial"/>
                <w:sz w:val="14"/>
                <w:szCs w:val="14"/>
                <w:b w:val="1"/>
                <w:bCs w:val="1"/>
                <w:color w:val="auto"/>
                <w:w w:val="91"/>
              </w:rPr>
              <w:t>2020 to 2021</w:t>
            </w:r>
          </w:p>
        </w:tc>
        <w:tc>
          <w:tcPr>
            <w:tcW w:w="740" w:type="dxa"/>
            <w:vAlign w:val="bottom"/>
            <w:tcBorders>
              <w:bottom w:val="single" w:sz="8" w:color="auto"/>
            </w:tcBorders>
          </w:tcPr>
          <w:p>
            <w:pPr>
              <w:spacing w:after="0"/>
              <w:rPr>
                <w:sz w:val="16"/>
                <w:szCs w:val="16"/>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6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60" w:type="dxa"/>
            <w:vAlign w:val="bottom"/>
            <w:gridSpan w:val="3"/>
          </w:tcPr>
          <w:p>
            <w:pPr>
              <w:ind w:left="260"/>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105,162</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72,700</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25"/>
              <w:spacing w:after="0"/>
              <w:rPr>
                <w:sz w:val="20"/>
                <w:szCs w:val="20"/>
                <w:color w:val="auto"/>
              </w:rPr>
            </w:pPr>
            <w:r>
              <w:rPr>
                <w:rFonts w:ascii="Arial" w:cs="Arial" w:eastAsia="Arial" w:hAnsi="Arial"/>
                <w:sz w:val="18"/>
                <w:szCs w:val="18"/>
                <w:color w:val="auto"/>
              </w:rPr>
              <w:t>32,462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bl>
    <w:p>
      <w:pPr>
        <w:spacing w:after="0" w:line="25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Research and development expenses increased by $32.5 million, or 45%, to $105.2 million for the year ended December 31, 2021, from $72.7 million for the year ended December 31, 2020. The increase was primarily attributable to the following cost components: a $20.5 million increase in stock-based compensation expense driven by the increase in fair value of the liability-classified awards until the Closing Date and an increase in the number of stock-based compensation awards granted; a $0.9 million increase in software expenses due to increased cloud storage; a $0.3 million increase in personnel-related expenses driven by an increase in average headcount a $4.8 million increase in depreciation expenses; a $3.6 million increase in expenses for reagents, laboratory supplies and laboratory software for research and development; and a $2.2 million increase in consulting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(2020 amount restated)</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345"/>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tcBorders>
              <w:bottom w:val="single" w:sz="8" w:color="auto"/>
            </w:tcBorders>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365"/>
              <w:spacing w:after="0"/>
              <w:rPr>
                <w:sz w:val="20"/>
                <w:szCs w:val="20"/>
                <w:color w:val="auto"/>
              </w:rPr>
            </w:pPr>
            <w:r>
              <w:rPr>
                <w:rFonts w:ascii="Arial" w:cs="Arial" w:eastAsia="Arial" w:hAnsi="Arial"/>
                <w:sz w:val="14"/>
                <w:szCs w:val="14"/>
                <w:b w:val="1"/>
                <w:bCs w:val="1"/>
                <w:color w:val="auto"/>
                <w:w w:val="91"/>
              </w:rPr>
              <w:t>2020 to 2021</w:t>
            </w:r>
          </w:p>
        </w:tc>
        <w:tc>
          <w:tcPr>
            <w:tcW w:w="740" w:type="dxa"/>
            <w:vAlign w:val="bottom"/>
            <w:tcBorders>
              <w:bottom w:val="single" w:sz="8" w:color="auto"/>
            </w:tcBorders>
          </w:tcPr>
          <w:p>
            <w:pPr>
              <w:spacing w:after="0"/>
              <w:rPr>
                <w:sz w:val="16"/>
                <w:szCs w:val="16"/>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6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60" w:type="dxa"/>
            <w:vAlign w:val="bottom"/>
            <w:gridSpan w:val="3"/>
          </w:tcPr>
          <w:p>
            <w:pPr>
              <w:ind w:left="260"/>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112,738</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63,183</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25"/>
              <w:spacing w:after="0"/>
              <w:rPr>
                <w:sz w:val="20"/>
                <w:szCs w:val="20"/>
                <w:color w:val="auto"/>
              </w:rPr>
            </w:pPr>
            <w:r>
              <w:rPr>
                <w:rFonts w:ascii="Arial" w:cs="Arial" w:eastAsia="Arial" w:hAnsi="Arial"/>
                <w:sz w:val="18"/>
                <w:szCs w:val="18"/>
                <w:color w:val="auto"/>
              </w:rPr>
              <w:t>49,555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bl>
    <w:p>
      <w:pPr>
        <w:spacing w:after="0" w:line="2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Selling and marketing expenses increased by $49.6 million, or 78%, to $112.7 million for the year ended December 31, 2021, from $63.2 million for the year ended December 31, 2020. The increase was primarily attributable to the following cost components: an $17.3 million increase in stock-based compensation expense driven by the increase in fair value of the liability-classified awards until the Closing Date and an increase in the number of stock-based compensation awards granted; a $19.6 million increase in personnel-related expenses driven by increased headcount; a $4.1 million increase in consulting service expenses mainly to support revenue cycle transformation initiatives; a $3.2 million increase in information technology-related expenses; a $1.8 million increase in other administrative and office expenses; a $2.0 million increase in travel and business expenses due to the lifting of COVID-19 travel restrictions and a $1.5 million increase in counseling services.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left="385"/>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tcBorders>
              <w:bottom w:val="single" w:sz="8" w:color="auto"/>
            </w:tcBorders>
          </w:tcPr>
          <w:p>
            <w:pPr>
              <w:spacing w:after="0"/>
              <w:rPr>
                <w:sz w:val="16"/>
                <w:szCs w:val="16"/>
                <w:color w:val="auto"/>
              </w:rPr>
            </w:pPr>
          </w:p>
        </w:tc>
      </w:tr>
      <w:tr>
        <w:trPr>
          <w:trHeight w:val="185"/>
        </w:trPr>
        <w:tc>
          <w:tcPr>
            <w:tcW w:w="3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left="405"/>
              <w:spacing w:after="0"/>
              <w:rPr>
                <w:sz w:val="20"/>
                <w:szCs w:val="20"/>
                <w:color w:val="auto"/>
              </w:rPr>
            </w:pPr>
            <w:r>
              <w:rPr>
                <w:rFonts w:ascii="Arial" w:cs="Arial" w:eastAsia="Arial" w:hAnsi="Arial"/>
                <w:sz w:val="14"/>
                <w:szCs w:val="14"/>
                <w:b w:val="1"/>
                <w:bCs w:val="1"/>
                <w:color w:val="auto"/>
                <w:w w:val="91"/>
              </w:rPr>
              <w:t>2020 to 2021</w:t>
            </w:r>
          </w:p>
        </w:tc>
        <w:tc>
          <w:tcPr>
            <w:tcW w:w="740" w:type="dxa"/>
            <w:vAlign w:val="bottom"/>
            <w:tcBorders>
              <w:bottom w:val="single" w:sz="8" w:color="auto"/>
            </w:tcBorders>
          </w:tcPr>
          <w:p>
            <w:pPr>
              <w:spacing w:after="0"/>
              <w:rPr>
                <w:sz w:val="16"/>
                <w:szCs w:val="16"/>
                <w:color w:val="auto"/>
              </w:rPr>
            </w:pPr>
          </w:p>
        </w:tc>
      </w:tr>
      <w:tr>
        <w:trPr>
          <w:trHeight w:val="179"/>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96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60" w:type="dxa"/>
            <w:vAlign w:val="bottom"/>
            <w:gridSpan w:val="3"/>
          </w:tcPr>
          <w:p>
            <w:pPr>
              <w:jc w:val="right"/>
              <w:ind w:right="905"/>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r>
      <w:tr>
        <w:trPr>
          <w:trHeight w:val="22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205,988</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100,742</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525"/>
              <w:spacing w:after="0"/>
              <w:rPr>
                <w:sz w:val="20"/>
                <w:szCs w:val="20"/>
                <w:color w:val="auto"/>
              </w:rPr>
            </w:pPr>
            <w:r>
              <w:rPr>
                <w:rFonts w:ascii="Arial" w:cs="Arial" w:eastAsia="Arial" w:hAnsi="Arial"/>
                <w:sz w:val="18"/>
                <w:szCs w:val="18"/>
                <w:color w:val="auto"/>
              </w:rPr>
              <w:t>105,246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r>
    </w:tbl>
    <w:p>
      <w:pPr>
        <w:spacing w:after="0" w:line="253"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General and administrative expenses increased by $105.3 million, or 104%, to $206.0 million for the year ended December 31, 2021, from $100.7 million for the year ended December 31, 2020. The increase was primarily attributable to the following cost components: an $51.7 million increase in stock-based compensation expense driven by the increase in fair value of the liability-classified awards until the Closing Date and an increase in the number of stock-based compensation awards granted; a $21.1 million increase in professional services incurred mainly in connection with the business combination transaction; a $20.0 million increase in personnel-related expenses driven by an increase in average headcount including executive headcount; a $5.0 million increase in software expenses due to increased cloud storage requirements; a $7.0 million increase in insurance expenses driven by the commencement of director’s insurance policy; and a $0.8 million increase in capital taxes as a result of the business combination transaction. These increases were partially offset by a $0.4 million decrease in occupancy and depreciation expenses in connection with our laboratory move from New York City to Stamford, Connecticut.</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8"/>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345"/>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tcBorders>
              <w:bottom w:val="single" w:sz="8" w:color="auto"/>
            </w:tcBorders>
          </w:tcPr>
          <w:p>
            <w:pPr>
              <w:spacing w:after="0"/>
              <w:rPr>
                <w:sz w:val="16"/>
                <w:szCs w:val="16"/>
                <w:color w:val="auto"/>
              </w:rPr>
            </w:pPr>
          </w:p>
        </w:tc>
      </w:tr>
      <w:tr>
        <w:trPr>
          <w:trHeight w:val="185"/>
        </w:trPr>
        <w:tc>
          <w:tcPr>
            <w:tcW w:w="3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345"/>
              <w:spacing w:after="0"/>
              <w:rPr>
                <w:sz w:val="20"/>
                <w:szCs w:val="20"/>
                <w:color w:val="auto"/>
              </w:rPr>
            </w:pPr>
            <w:r>
              <w:rPr>
                <w:rFonts w:ascii="Arial" w:cs="Arial" w:eastAsia="Arial" w:hAnsi="Arial"/>
                <w:sz w:val="14"/>
                <w:szCs w:val="14"/>
                <w:b w:val="1"/>
                <w:bCs w:val="1"/>
                <w:color w:val="auto"/>
                <w:w w:val="91"/>
              </w:rPr>
              <w:t>2020 to 2021</w:t>
            </w:r>
          </w:p>
        </w:tc>
        <w:tc>
          <w:tcPr>
            <w:tcW w:w="740" w:type="dxa"/>
            <w:vAlign w:val="bottom"/>
            <w:tcBorders>
              <w:bottom w:val="single" w:sz="8" w:color="auto"/>
            </w:tcBorders>
          </w:tcPr>
          <w:p>
            <w:pPr>
              <w:spacing w:after="0"/>
              <w:rPr>
                <w:sz w:val="16"/>
                <w:szCs w:val="16"/>
                <w:color w:val="auto"/>
              </w:rPr>
            </w:pPr>
          </w:p>
        </w:tc>
      </w:tr>
      <w:tr>
        <w:trPr>
          <w:trHeight w:val="179"/>
        </w:trPr>
        <w:tc>
          <w:tcPr>
            <w:tcW w:w="3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8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3"/>
          </w:tcPr>
          <w:p>
            <w:pPr>
              <w:jc w:val="right"/>
              <w:ind w:right="925"/>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r>
      <w:tr>
        <w:trPr>
          <w:trHeight w:val="22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5,659</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9,395</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505"/>
              <w:spacing w:after="0"/>
              <w:rPr>
                <w:sz w:val="20"/>
                <w:szCs w:val="20"/>
                <w:color w:val="auto"/>
              </w:rPr>
            </w:pPr>
            <w:r>
              <w:rPr>
                <w:rFonts w:ascii="Arial" w:cs="Arial" w:eastAsia="Arial" w:hAnsi="Arial"/>
                <w:sz w:val="18"/>
                <w:szCs w:val="18"/>
                <w:color w:val="auto"/>
              </w:rPr>
              <w:t>(3,736)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25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Related party expenses decreased by $3.7 million, or 40%, to $5.7 million for the year ended December 31, 2021, from $9.4 million for the year ended December 31, 2020. The decrease was primarily attributable to the following cost components: a $3.2 million decrease in rent and facility expenses driven by a reduction of office and lab space leased from ISMMS pursuant to the TSA which ended in the first quarter of 2021; and a $0.5 million decrease in fees associated with information technology support pursuant to the TSA with ISMMS.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tcBorders>
              <w:bottom w:val="single" w:sz="8" w:color="auto"/>
            </w:tcBorders>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2020 to 2021</w:t>
            </w:r>
          </w:p>
        </w:tc>
        <w:tc>
          <w:tcPr>
            <w:tcW w:w="740" w:type="dxa"/>
            <w:vAlign w:val="bottom"/>
            <w:tcBorders>
              <w:bottom w:val="single" w:sz="8" w:color="auto"/>
            </w:tcBorders>
          </w:tcPr>
          <w:p>
            <w:pPr>
              <w:spacing w:after="0"/>
              <w:rPr>
                <w:sz w:val="16"/>
                <w:szCs w:val="16"/>
                <w:color w:val="auto"/>
              </w:rPr>
            </w:pPr>
          </w:p>
        </w:tc>
      </w:tr>
      <w:tr>
        <w:trPr>
          <w:trHeight w:val="179"/>
        </w:trPr>
        <w:tc>
          <w:tcPr>
            <w:tcW w:w="3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w:t>
            </w:r>
          </w:p>
        </w:tc>
      </w:tr>
      <w:tr>
        <w:trPr>
          <w:trHeight w:val="179"/>
        </w:trPr>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506</w:t>
            </w:r>
          </w:p>
        </w:tc>
        <w:tc>
          <w:tcPr>
            <w:tcW w:w="660" w:type="dxa"/>
            <w:vAlign w:val="bottom"/>
            <w:shd w:val="clear" w:color="auto" w:fill="CCEEFF"/>
          </w:tcPr>
          <w:p>
            <w:pPr>
              <w:jc w:val="right"/>
              <w:ind w:right="48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23"/>
              <w:spacing w:after="0"/>
              <w:rPr>
                <w:sz w:val="20"/>
                <w:szCs w:val="20"/>
                <w:color w:val="auto"/>
              </w:rPr>
            </w:pPr>
            <w:r>
              <w:rPr>
                <w:rFonts w:ascii="Arial" w:cs="Arial" w:eastAsia="Arial" w:hAnsi="Arial"/>
                <w:sz w:val="18"/>
                <w:szCs w:val="18"/>
                <w:color w:val="auto"/>
                <w:w w:val="85"/>
              </w:rPr>
              <w:t>(427)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2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income decreased by $0.4 million, or 84%, to $0.1 million for the year ended December 31, 2021, from $0.5 million for the year ended December 31, 2020. The decrease was due to declines in interest rates on money market fund accounts.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tcBorders>
              <w:bottom w:val="single" w:sz="8" w:color="auto"/>
            </w:tcBorders>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2020 to 2021</w:t>
            </w:r>
          </w:p>
        </w:tc>
        <w:tc>
          <w:tcPr>
            <w:tcW w:w="740" w:type="dxa"/>
            <w:vAlign w:val="bottom"/>
            <w:tcBorders>
              <w:bottom w:val="single" w:sz="8" w:color="auto"/>
            </w:tcBorders>
          </w:tcPr>
          <w:p>
            <w:pPr>
              <w:spacing w:after="0"/>
              <w:rPr>
                <w:sz w:val="16"/>
                <w:szCs w:val="16"/>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2,835</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2,474</w:t>
            </w:r>
          </w:p>
        </w:tc>
        <w:tc>
          <w:tcPr>
            <w:tcW w:w="700" w:type="dxa"/>
            <w:vAlign w:val="bottom"/>
            <w:shd w:val="clear" w:color="auto" w:fill="CCEEFF"/>
          </w:tcPr>
          <w:p>
            <w:pPr>
              <w:jc w:val="right"/>
              <w:ind w:right="52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43"/>
              <w:spacing w:after="0"/>
              <w:rPr>
                <w:sz w:val="20"/>
                <w:szCs w:val="20"/>
                <w:color w:val="auto"/>
              </w:rPr>
            </w:pPr>
            <w:r>
              <w:rPr>
                <w:rFonts w:ascii="Arial" w:cs="Arial" w:eastAsia="Arial" w:hAnsi="Arial"/>
                <w:sz w:val="18"/>
                <w:szCs w:val="18"/>
                <w:color w:val="auto"/>
                <w:w w:val="99"/>
              </w:rPr>
              <w:t>361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bl>
    <w:p>
      <w:pPr>
        <w:spacing w:after="0" w:line="25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Interest expense increased by $0.4 million, or 15%, to $2.8 million for the year ended December 31, 2021, from $2.5 million for the year ended December 31, 2020. The increase was driven by new capital lease obligations for our Stamford laboratory facility which commenced operations in 2021 as well as the unused line fee and the amortization of deferred transaction costs related to the loan and security agreement entered into with Silicon Valley Bank at the end of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365"/>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tcBorders>
              <w:bottom w:val="single" w:sz="8" w:color="auto"/>
            </w:tcBorders>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365"/>
              <w:spacing w:after="0"/>
              <w:rPr>
                <w:sz w:val="20"/>
                <w:szCs w:val="20"/>
                <w:color w:val="auto"/>
              </w:rPr>
            </w:pPr>
            <w:r>
              <w:rPr>
                <w:rFonts w:ascii="Arial" w:cs="Arial" w:eastAsia="Arial" w:hAnsi="Arial"/>
                <w:sz w:val="14"/>
                <w:szCs w:val="14"/>
                <w:b w:val="1"/>
                <w:bCs w:val="1"/>
                <w:color w:val="auto"/>
                <w:w w:val="88"/>
              </w:rPr>
              <w:t>2020 to 2021</w:t>
            </w:r>
          </w:p>
        </w:tc>
        <w:tc>
          <w:tcPr>
            <w:tcW w:w="740" w:type="dxa"/>
            <w:vAlign w:val="bottom"/>
            <w:tcBorders>
              <w:bottom w:val="single" w:sz="8" w:color="auto"/>
            </w:tcBorders>
          </w:tcPr>
          <w:p>
            <w:pPr>
              <w:spacing w:after="0"/>
              <w:rPr>
                <w:sz w:val="16"/>
                <w:szCs w:val="16"/>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8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3"/>
          </w:tcPr>
          <w:p>
            <w:pPr>
              <w:jc w:val="right"/>
              <w:ind w:right="925"/>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5,114</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2,622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545"/>
              <w:spacing w:after="0"/>
              <w:rPr>
                <w:sz w:val="20"/>
                <w:szCs w:val="20"/>
                <w:color w:val="auto"/>
              </w:rPr>
            </w:pPr>
            <w:r>
              <w:rPr>
                <w:rFonts w:ascii="Arial" w:cs="Arial" w:eastAsia="Arial" w:hAnsi="Arial"/>
                <w:sz w:val="18"/>
                <w:szCs w:val="18"/>
                <w:color w:val="auto"/>
              </w:rPr>
              <w:t>2,492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r>
    </w:tbl>
    <w:p>
      <w:pPr>
        <w:spacing w:after="0" w:line="253" w:lineRule="exact"/>
        <w:rPr>
          <w:sz w:val="20"/>
          <w:szCs w:val="20"/>
          <w:color w:val="auto"/>
        </w:rPr>
      </w:pPr>
    </w:p>
    <w:p>
      <w:pPr>
        <w:jc w:val="both"/>
        <w:ind w:firstLine="238"/>
        <w:spacing w:after="0" w:line="252" w:lineRule="auto"/>
        <w:rPr>
          <w:sz w:val="20"/>
          <w:szCs w:val="20"/>
          <w:color w:val="auto"/>
        </w:rPr>
      </w:pPr>
      <w:r>
        <w:rPr>
          <w:rFonts w:ascii="Arial" w:cs="Arial" w:eastAsia="Arial" w:hAnsi="Arial"/>
          <w:sz w:val="18"/>
          <w:szCs w:val="18"/>
          <w:color w:val="auto"/>
        </w:rPr>
        <w:t>Other income, net increased by $2.5 million or 95% to $5.1 million for the year ended December 31, 2021, from $2.6 million for the year ended December 31, 2020. The increase in other income, net was primarily attributable to the $5.6 million in funding that we received and recognized as other income under the CARES Act in the first quarter of 2021, partially offset by $0.3 million in penalties related to an early repayment of debt. This is compared to $2.6 million in funding received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80" w:type="dxa"/>
            <w:vAlign w:val="bottom"/>
            <w:gridSpan w:val="4"/>
          </w:tcPr>
          <w:p>
            <w:pPr>
              <w:spacing w:after="0"/>
              <w:rPr>
                <w:sz w:val="20"/>
                <w:szCs w:val="20"/>
                <w:color w:val="auto"/>
              </w:rPr>
            </w:pPr>
            <w:r>
              <w:rPr>
                <w:rFonts w:ascii="Arial" w:cs="Arial" w:eastAsia="Arial" w:hAnsi="Arial"/>
                <w:sz w:val="18"/>
                <w:szCs w:val="18"/>
                <w:b w:val="1"/>
                <w:bCs w:val="1"/>
                <w:color w:val="auto"/>
                <w:w w:val="93"/>
              </w:rPr>
              <w:t>Comparison of the Years Ended December 31, 2020 and 2019</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6080" w:type="dxa"/>
            <w:vAlign w:val="bottom"/>
            <w:gridSpan w:val="7"/>
          </w:tcPr>
          <w:p>
            <w:pPr>
              <w:ind w:left="320"/>
              <w:spacing w:after="0"/>
              <w:rPr>
                <w:sz w:val="20"/>
                <w:szCs w:val="20"/>
                <w:color w:val="auto"/>
              </w:rPr>
            </w:pPr>
            <w:r>
              <w:rPr>
                <w:rFonts w:ascii="Arial" w:cs="Arial" w:eastAsia="Arial" w:hAnsi="Arial"/>
                <w:sz w:val="18"/>
                <w:szCs w:val="18"/>
                <w:color w:val="auto"/>
                <w:w w:val="90"/>
              </w:rPr>
              <w:t>The following table sets forth our results of operations for the periods presented:</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ind w:right="632"/>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2020 (Restated)</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w w:val="88"/>
              </w:rPr>
              <w:t>2019 (Restated)</w:t>
            </w: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gridSpan w:val="7"/>
          </w:tcPr>
          <w:p>
            <w:pPr>
              <w:jc w:val="right"/>
              <w:ind w:right="1072"/>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260" w:type="dxa"/>
            <w:vAlign w:val="bottom"/>
            <w:gridSpan w:val="2"/>
          </w:tcPr>
          <w:p>
            <w:pPr>
              <w:ind w:left="180"/>
              <w:spacing w:after="0"/>
              <w:rPr>
                <w:sz w:val="20"/>
                <w:szCs w:val="20"/>
                <w:color w:val="auto"/>
              </w:rPr>
            </w:pPr>
            <w:r>
              <w:rPr>
                <w:rFonts w:ascii="Arial" w:cs="Arial" w:eastAsia="Arial" w:hAnsi="Arial"/>
                <w:sz w:val="18"/>
                <w:szCs w:val="18"/>
                <w:color w:val="auto"/>
              </w:rPr>
              <w:t>Diagnostic test revenue</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175,351</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326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179,322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175,296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326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4,026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82,785</w:t>
            </w: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72,700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63,183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100,742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Related party expenses</w:t>
            </w:r>
          </w:p>
        </w:tc>
        <w:tc>
          <w:tcPr>
            <w:tcW w:w="3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9,395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3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(241,994)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0" w:type="dxa"/>
            <w:vAlign w:val="bottom"/>
          </w:tcPr>
          <w:p>
            <w:pPr>
              <w:spacing w:after="0"/>
              <w:rPr>
                <w:sz w:val="1"/>
                <w:szCs w:val="1"/>
                <w:color w:val="auto"/>
              </w:rPr>
            </w:pPr>
          </w:p>
        </w:tc>
      </w:tr>
      <w:tr>
        <w:trPr>
          <w:trHeight w:val="231"/>
        </w:trPr>
        <w:tc>
          <w:tcPr>
            <w:tcW w:w="1280" w:type="dxa"/>
            <w:vAlign w:val="bottom"/>
          </w:tcPr>
          <w:p>
            <w:pPr>
              <w:spacing w:after="0"/>
              <w:rPr>
                <w:sz w:val="20"/>
                <w:szCs w:val="20"/>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26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326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(241,340)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3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(241,340)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w w:val="88"/>
              </w:rPr>
              <w:t>Redeemable convertible preferred stock dividends</w:t>
            </w: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89"/>
              </w:rPr>
              <w:t>Net loss attributable to common stockholders</w:t>
            </w: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(241,340)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54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2019 to 2020</w:t>
            </w:r>
          </w:p>
        </w:tc>
        <w:tc>
          <w:tcPr>
            <w:tcW w:w="78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4,507</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179,322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 decreased by $16.9 million, or 9%, to $179.3 million for the year ended December 31, 2020, from $196.2 million for the year ended December 31, 2019.</w:t>
      </w:r>
    </w:p>
    <w:p>
      <w:pPr>
        <w:spacing w:after="0" w:line="2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Diagnostic test revenue decreased by $16.3 million, or 9%, to $175.4 million for the year ended December 31, 2020, from $191.7 million for the year ended December 31, 2019. The decrease was primarily attributable to a change in the mix of tests performed coupled with reduced reimbursement rates. The Company experienced an increase in volumes of 248%, primarily driven by the introduction of COVID-19 testing in May 2020. Despite these increased volumes, diagnostic test revenue decreased due to lower pricing on COVID-19 testing relative to other diagnostic tests and an overall decrease in average pricing on Women’s Health and Oncology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Other revenue decreased by $0.5 million, or 12%, to $4.0 million for the year ended December 31, 2020, from $4.5 million for the year ended December 31, 2019. The decrease was primarily attributable to the completion of one significant third-party contract in 2019 and the completion of one significant contract with ISMMS in early 2020. This decrease was partially offset by growth in collaboration service activities due to the execution of two new third-party contracts in 2020. Other revenues are expected to continue to be driven predominately by services performed pursuant to contracts with third parties.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(2020 and 2019 amounts restated)</w:t>
      </w:r>
    </w:p>
    <w:p>
      <w:pPr>
        <w:spacing w:after="0" w:line="194" w:lineRule="exact"/>
        <w:rPr>
          <w:sz w:val="20"/>
          <w:szCs w:val="20"/>
          <w:color w:val="auto"/>
        </w:rPr>
      </w:pPr>
    </w:p>
    <w:tbl>
      <w:tblPr>
        <w:tblLayout w:type="fixed"/>
        <w:tblInd w:w="1880" w:type="dxa"/>
        <w:tblCellMar>
          <w:top w:w="0" w:type="dxa"/>
          <w:left w:w="0" w:type="dxa"/>
          <w:bottom w:w="0" w:type="dxa"/>
          <w:right w:w="0" w:type="dxa"/>
        </w:tblCellMar>
      </w:tblPr>
      <w:tr>
        <w:trPr>
          <w:trHeight w:val="189"/>
        </w:trPr>
        <w:tc>
          <w:tcPr>
            <w:tcW w:w="2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3"/>
        </w:trPr>
        <w:tc>
          <w:tcPr>
            <w:tcW w:w="2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5"/>
                <w:szCs w:val="15"/>
                <w:color w:val="auto"/>
              </w:rPr>
            </w:pPr>
          </w:p>
        </w:tc>
      </w:tr>
      <w:tr>
        <w:trPr>
          <w:trHeight w:val="179"/>
        </w:trPr>
        <w:tc>
          <w:tcPr>
            <w:tcW w:w="2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6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93"/>
        </w:trPr>
        <w:tc>
          <w:tcPr>
            <w:tcW w:w="2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5"/>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175,296</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25"/>
              <w:spacing w:after="0"/>
              <w:rPr>
                <w:sz w:val="20"/>
                <w:szCs w:val="20"/>
                <w:color w:val="auto"/>
              </w:rPr>
            </w:pPr>
            <w:r>
              <w:rPr>
                <w:rFonts w:ascii="Arial" w:cs="Arial" w:eastAsia="Arial" w:hAnsi="Arial"/>
                <w:sz w:val="18"/>
                <w:szCs w:val="18"/>
                <w:color w:val="auto"/>
              </w:rPr>
              <w:t>61,907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bl>
    <w:p>
      <w:pPr>
        <w:spacing w:after="0" w:line="25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Cost of services increased by $61.9 million, or 55%, to $175.3 million for the year ended December 31, 2020, from $113.4 million for the year ended December 31, 2019. The increase was primarily attributable to the following cost components: a $17.5 million increase in reagents and laboratory supplies expense due primarily to the 248% increase in resulted volumes coupled with the lower per test cost of performing COVID-19 tests relative to our other tests; a $12.2 million increase in stock-based compensation expenses primarily driven by the increase in fair value of the liability-classified awards; an $11.1 million increase in personnel-related expenses driven by an increase in average headcount, partially offset by COVID-19 austerity measures; a $6.4 million increase in third party reference laboratory expenses due to an increase in tests performed by such third parties; a $4.6 million increase in expenses for other services such as genetic counseling, shipping and phlebotomy services; a $4.4 million increase in depreciation and amortization expenses driven by laboratory sequencing equipment acquired in 2020 and an increase in capitalized software as compared to the prior year; a $3.6 million increase in outside labor costs driven by temporary hires contracted in 2020 to perform COVID-19 testing activities as well as an increase in consultants supporting collaboration services; a $0.2 million increase in software expenses due to increased cloud storage and expanded computing capacity requirements for testing data; a $1.3 million increase in equipment-related expenses, including maintenance expenses on existing equipment and purchases of minor equipment in 2020; and a $0.5 million increase in occupancy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95" w:lineRule="exact"/>
        <w:rPr>
          <w:sz w:val="20"/>
          <w:szCs w:val="20"/>
          <w:color w:val="auto"/>
        </w:rPr>
      </w:pPr>
    </w:p>
    <w:tbl>
      <w:tblPr>
        <w:tblLayout w:type="fixed"/>
        <w:tblInd w:w="1740" w:type="dxa"/>
        <w:tblCellMar>
          <w:top w:w="0" w:type="dxa"/>
          <w:left w:w="0" w:type="dxa"/>
          <w:bottom w:w="0" w:type="dxa"/>
          <w:right w:w="0" w:type="dxa"/>
        </w:tblCellMar>
      </w:tblPr>
      <w:tr>
        <w:trPr>
          <w:trHeight w:val="198"/>
        </w:trPr>
        <w:tc>
          <w:tcPr>
            <w:tcW w:w="3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top w:val="single" w:sz="8" w:color="auto"/>
              <w:bottom w:val="single" w:sz="8" w:color="auto"/>
            </w:tcBorders>
          </w:tcPr>
          <w:p>
            <w:pPr>
              <w:spacing w:after="0"/>
              <w:rPr>
                <w:sz w:val="17"/>
                <w:szCs w:val="17"/>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83"/>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93"/>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5"/>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72,700</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34,910</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43"/>
              <w:spacing w:after="0"/>
              <w:rPr>
                <w:sz w:val="20"/>
                <w:szCs w:val="20"/>
                <w:color w:val="auto"/>
              </w:rPr>
            </w:pPr>
            <w:r>
              <w:rPr>
                <w:rFonts w:ascii="Arial" w:cs="Arial" w:eastAsia="Arial" w:hAnsi="Arial"/>
                <w:sz w:val="18"/>
                <w:szCs w:val="18"/>
                <w:color w:val="auto"/>
              </w:rPr>
              <w:t>37,790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bl>
    <w:p>
      <w:pPr>
        <w:spacing w:after="0" w:line="23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Research and development expense increased by $37.8 million, or 108%, to $72.7 million for the year ended December 31, 2020, from $34.9 million for the year ended December 31, 2019. The increase was primarily attributable to the following cost components: a $25.4 million increase in stock-based compensation expenses primarily due to an increase in fair value of the liability-classified awards and an increase in the number of stock-based compensation awards granted; a $9.3 million increase in personnel-related expenses driven by increased average headcount and retention bonuses offered to employees impacted by the relocation of our New York laboratory in December of 2020, partially offset by COVID-19 austerity measures; a $1.7 million increase in expenses for reagents, laboratory supplies and laboratory software for research and development use; and a $1.1 million increase in consulting and outside services, primarily due to an increase in the number of, and required investment in, research and development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(2020 and 2019 amounts restated)</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3"/>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5"/>
                <w:szCs w:val="15"/>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8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93"/>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5"/>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63,183</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39,352</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45"/>
              <w:spacing w:after="0"/>
              <w:rPr>
                <w:sz w:val="20"/>
                <w:szCs w:val="20"/>
                <w:color w:val="auto"/>
              </w:rPr>
            </w:pPr>
            <w:r>
              <w:rPr>
                <w:rFonts w:ascii="Arial" w:cs="Arial" w:eastAsia="Arial" w:hAnsi="Arial"/>
                <w:sz w:val="18"/>
                <w:szCs w:val="18"/>
                <w:color w:val="auto"/>
              </w:rPr>
              <w:t>23,831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bl>
    <w:p>
      <w:pPr>
        <w:spacing w:after="0" w:line="23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Selling and marketing expense increased by $23.8 million, or 61%, to $63.2 million for the year ended December 31, 2020, from $39.4 million for the year ended December 31, 2019. The increase was primarily attributable to the following cost components: a $11.4 million increase in personnel-related expenses driven by an increase in average headcount, partially offset by COVID-19 austerity measures; a $11.1 million increase in stock-based compensation expenses primarily due to an increase in the fair value of the liability-classified awards and an increase in the number of outstanding awards due to increase in the number of stock-based compensation awards granted; a $1.5 million increase in commissions due to an increase in sales employee headcount and the implementation of temporary minimum commissions offered to sales employees in response to the COVID-19 pandemic; a $1.0 million increase in other lab service; and a $0.6 million increase in software expenses due to increased cloud storage requirements. These increases were partially offset by a $1.8 million decrease in travel and business expenses due to reduced business travel during the COVID-19 pandemic.</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3"/>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5"/>
                <w:szCs w:val="15"/>
                <w:color w:val="auto"/>
              </w:rPr>
            </w:pPr>
          </w:p>
        </w:tc>
      </w:tr>
      <w:tr>
        <w:trPr>
          <w:trHeight w:val="179"/>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6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93"/>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5"/>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100,742</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29,484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25"/>
              <w:spacing w:after="0"/>
              <w:rPr>
                <w:sz w:val="20"/>
                <w:szCs w:val="20"/>
                <w:color w:val="auto"/>
              </w:rPr>
            </w:pPr>
            <w:r>
              <w:rPr>
                <w:rFonts w:ascii="Arial" w:cs="Arial" w:eastAsia="Arial" w:hAnsi="Arial"/>
                <w:sz w:val="18"/>
                <w:szCs w:val="18"/>
                <w:color w:val="auto"/>
              </w:rPr>
              <w:t>71,258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r>
    </w:tbl>
    <w:p>
      <w:pPr>
        <w:spacing w:after="0" w:line="22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General and administrative expense increased by $71.3 million, or 242%, to $100.7 million for the year ended December 31, 2020, from $29.5 million for the year ended December 31, 2019. The increase was primarily attributable to the following cost components: a $66.0 million increase in stock-based compensation expenses due to an increase in the fair value of the liability-classified awards and an increase in the number of outstanding awards due to increase in the number of stock-based compensation awards granted; a $1.4 million increase in occupancy expenses due to the execution of additional third party leases; and a $1.3 million increase in personnel-related expenses due to an increase in general and administrative headcount, partially offset by COVID-19 austerity measures.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3"/>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5"/>
                <w:szCs w:val="15"/>
                <w:color w:val="auto"/>
              </w:rPr>
            </w:pPr>
          </w:p>
        </w:tc>
      </w:tr>
      <w:tr>
        <w:trPr>
          <w:trHeight w:val="179"/>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8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93"/>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5"/>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9,395</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05"/>
              <w:spacing w:after="0"/>
              <w:rPr>
                <w:sz w:val="20"/>
                <w:szCs w:val="20"/>
                <w:color w:val="auto"/>
              </w:rPr>
            </w:pPr>
            <w:r>
              <w:rPr>
                <w:rFonts w:ascii="Arial" w:cs="Arial" w:eastAsia="Arial" w:hAnsi="Arial"/>
                <w:sz w:val="18"/>
                <w:szCs w:val="18"/>
                <w:color w:val="auto"/>
              </w:rPr>
              <w:t>(57)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Related party expenses decreased by $0.1 million, or 0.6%, to $9.4 million for the year ended December 31, 2020, from $9.5 million for the year ended December 31, 2019. The decrease was primarily attributable to a $1.7 million decrease in service fees associated with a reduction of leased ISMMS employees, a $1.0 million decrease in fees associated with information technology support pursuant to the TSA with ISMMS and decreases in other various services provided by ISMMS pursuant to the TSA and service agreements. These decreases were partially offset by a $2.0 million increase in rent and facility expenses driven by additional office and lab space leased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ISMMS pursuant to the transition services agreement and a $0.5 million increase in consultant costs driven by an increase in research and development efforts performed by ISMMS under consulting agreements.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3"/>
        </w:trPr>
        <w:tc>
          <w:tcPr>
            <w:tcW w:w="30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5"/>
                <w:szCs w:val="15"/>
                <w:color w:val="auto"/>
              </w:rPr>
            </w:pPr>
          </w:p>
        </w:tc>
      </w:tr>
      <w:tr>
        <w:trPr>
          <w:trHeight w:val="179"/>
        </w:trPr>
        <w:tc>
          <w:tcPr>
            <w:tcW w:w="304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0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w:t>
            </w:r>
          </w:p>
        </w:tc>
      </w:tr>
      <w:tr>
        <w:trPr>
          <w:trHeight w:val="193"/>
        </w:trPr>
        <w:tc>
          <w:tcPr>
            <w:tcW w:w="3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5"/>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jc w:val="right"/>
              <w:ind w:right="521"/>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506</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525"/>
              <w:spacing w:after="0"/>
              <w:rPr>
                <w:sz w:val="20"/>
                <w:szCs w:val="20"/>
                <w:color w:val="auto"/>
              </w:rPr>
            </w:pPr>
            <w:r>
              <w:rPr>
                <w:rFonts w:ascii="Arial" w:cs="Arial" w:eastAsia="Arial" w:hAnsi="Arial"/>
                <w:sz w:val="18"/>
                <w:szCs w:val="18"/>
                <w:color w:val="auto"/>
              </w:rPr>
              <w:t>(482)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Interest income decreased by $0.5 million, or 49%, to $0.5 million for the year ended December 31, 2020, from $1.0 million for the year ended December 31, 2019. The decrease was due to declines in interest rates on money market deposit accounts and reductions in the average cash balances held throughout the year in these interest-bearing accounts.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3"/>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5"/>
                <w:szCs w:val="15"/>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0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w:t>
            </w:r>
          </w:p>
        </w:tc>
      </w:tr>
      <w:tr>
        <w:trPr>
          <w:trHeight w:val="193"/>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5"/>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2,474</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565"/>
              <w:spacing w:after="0"/>
              <w:rPr>
                <w:sz w:val="20"/>
                <w:szCs w:val="20"/>
                <w:color w:val="auto"/>
              </w:rPr>
            </w:pPr>
            <w:r>
              <w:rPr>
                <w:rFonts w:ascii="Arial" w:cs="Arial" w:eastAsia="Arial" w:hAnsi="Arial"/>
                <w:sz w:val="18"/>
                <w:szCs w:val="18"/>
                <w:color w:val="auto"/>
              </w:rPr>
              <w:t>1,691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bl>
    <w:p>
      <w:pPr>
        <w:spacing w:after="0" w:line="25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Interest expense increased by $1.7 million, or 216%, to $2.5 million for the year ended December 31, 2020, from $0.8 million for the year ended December 31, 2019. The increase was driven by an increase in capital lease obligations, an increase in our interest-bearing loan balance with the Connecticut Department of Economic and Community Development, or the DECD, and a new interest-bearing bank loan executed in 2020.</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3"/>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5"/>
                <w:szCs w:val="15"/>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0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w:t>
            </w:r>
          </w:p>
        </w:tc>
      </w:tr>
      <w:tr>
        <w:trPr>
          <w:trHeight w:val="193"/>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5"/>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2,622</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565"/>
              <w:spacing w:after="0"/>
              <w:rPr>
                <w:sz w:val="20"/>
                <w:szCs w:val="20"/>
                <w:color w:val="auto"/>
              </w:rPr>
            </w:pPr>
            <w:r>
              <w:rPr>
                <w:rFonts w:ascii="Arial" w:cs="Arial" w:eastAsia="Arial" w:hAnsi="Arial"/>
                <w:sz w:val="18"/>
                <w:szCs w:val="18"/>
                <w:color w:val="auto"/>
              </w:rPr>
              <w:t>2,118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420 %</w:t>
            </w:r>
          </w:p>
        </w:tc>
      </w:tr>
    </w:tbl>
    <w:p>
      <w:pPr>
        <w:spacing w:after="0" w:line="25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Other income, net increased by $2.1 million or 420% to $2.6 million for the year ended December 31, 2020, from $0.5 million for the year ended December 31, 2019. The increase in other income, net was primarily attributable to $2.6 million in funding that we received under the CARES Act.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8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6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48"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provision for income taxes, which may be a necessary element of our costs and ability to operate;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Adjusted Gross Profit is a non-GAAP financial measure that we define as revenue less cost of services, excluding stock-based compensation expense, labor costs due to our move,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331"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222222"/>
        </w:rPr>
        <w:t>The following is a reconciliation of revenue to our Adjusted Gross Profit and Adjusted Gross Margin for the years ended December 31, 202</w:t>
      </w:r>
      <w:r>
        <w:rPr>
          <w:rFonts w:ascii="Arial" w:cs="Arial" w:eastAsia="Arial" w:hAnsi="Arial"/>
          <w:sz w:val="18"/>
          <w:szCs w:val="18"/>
          <w:color w:val="000000"/>
        </w:rPr>
        <w:t>1</w:t>
      </w:r>
      <w:r>
        <w:rPr>
          <w:rFonts w:ascii="Arial" w:cs="Arial" w:eastAsia="Arial" w:hAnsi="Arial"/>
          <w:sz w:val="18"/>
          <w:szCs w:val="18"/>
          <w:color w:val="222222"/>
        </w:rPr>
        <w:t>, 20</w:t>
      </w:r>
      <w:r>
        <w:rPr>
          <w:rFonts w:ascii="Arial" w:cs="Arial" w:eastAsia="Arial" w:hAnsi="Arial"/>
          <w:sz w:val="18"/>
          <w:szCs w:val="18"/>
          <w:color w:val="000000"/>
        </w:rPr>
        <w:t>20</w:t>
      </w:r>
      <w:r>
        <w:rPr>
          <w:rFonts w:ascii="Arial" w:cs="Arial" w:eastAsia="Arial" w:hAnsi="Arial"/>
          <w:sz w:val="18"/>
          <w:szCs w:val="18"/>
          <w:color w:val="222222"/>
        </w:rPr>
        <w:t xml:space="preserve"> and 201</w:t>
      </w:r>
      <w:r>
        <w:rPr>
          <w:rFonts w:ascii="Arial" w:cs="Arial" w:eastAsia="Arial" w:hAnsi="Arial"/>
          <w:sz w:val="18"/>
          <w:szCs w:val="18"/>
          <w:color w:val="000000"/>
        </w:rPr>
        <w:t>9 (in thousands)</w:t>
      </w:r>
      <w:r>
        <w:rPr>
          <w:rFonts w:ascii="Arial" w:cs="Arial" w:eastAsia="Arial" w:hAnsi="Arial"/>
          <w:sz w:val="18"/>
          <w:szCs w:val="18"/>
          <w:color w:val="222222"/>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1"/>
              </w:rPr>
              <w:t>Year Ended December 31,</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5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vMerge w:val="restart"/>
          </w:tcPr>
          <w:p>
            <w:pPr>
              <w:jc w:val="right"/>
              <w:ind w:right="6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jc w:val="right"/>
              <w:ind w:right="732"/>
              <w:spacing w:after="0" w:line="16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jc w:val="right"/>
              <w:ind w:right="732"/>
              <w:spacing w:after="0" w:line="166"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(Restated)</w:t>
            </w:r>
          </w:p>
        </w:tc>
        <w:tc>
          <w:tcPr>
            <w:tcW w:w="360" w:type="dxa"/>
            <w:vAlign w:val="bottom"/>
          </w:tcPr>
          <w:p>
            <w:pPr>
              <w:spacing w:after="0"/>
              <w:rPr>
                <w:sz w:val="11"/>
                <w:szCs w:val="11"/>
                <w:color w:val="auto"/>
              </w:rPr>
            </w:pPr>
          </w:p>
        </w:tc>
        <w:tc>
          <w:tcPr>
            <w:tcW w:w="1600" w:type="dxa"/>
            <w:vAlign w:val="bottom"/>
            <w:vMerge w:val="restart"/>
          </w:tcPr>
          <w:p>
            <w:pPr>
              <w:jc w:val="right"/>
              <w:ind w:right="512"/>
              <w:spacing w:after="0"/>
              <w:rPr>
                <w:sz w:val="20"/>
                <w:szCs w:val="20"/>
                <w:color w:val="auto"/>
              </w:rPr>
            </w:pPr>
            <w:r>
              <w:rPr>
                <w:rFonts w:ascii="Arial" w:cs="Arial" w:eastAsia="Arial" w:hAnsi="Arial"/>
                <w:sz w:val="18"/>
                <w:szCs w:val="18"/>
                <w:b w:val="1"/>
                <w:bCs w:val="1"/>
                <w:color w:val="auto"/>
              </w:rPr>
              <w:t>(Restated)</w:t>
            </w:r>
          </w:p>
        </w:tc>
        <w:tc>
          <w:tcPr>
            <w:tcW w:w="0" w:type="dxa"/>
            <w:vAlign w:val="bottom"/>
          </w:tcPr>
          <w:p>
            <w:pPr>
              <w:spacing w:after="0"/>
              <w:rPr>
                <w:sz w:val="1"/>
                <w:szCs w:val="1"/>
                <w:color w:val="auto"/>
              </w:rPr>
            </w:pPr>
          </w:p>
        </w:tc>
      </w:tr>
      <w:tr>
        <w:trPr>
          <w:trHeight w:val="94"/>
        </w:trPr>
        <w:tc>
          <w:tcPr>
            <w:tcW w:w="520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gridSpan w:val="2"/>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212,195</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179,322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228,797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175,296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(16,602)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4,026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82,785</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22,567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6"/>
        </w:trPr>
        <w:tc>
          <w:tcPr>
            <w:tcW w:w="52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Labor costs due to laboratory move </w:t>
            </w:r>
            <w:r>
              <w:rPr>
                <w:rFonts w:ascii="Arial" w:cs="Arial" w:eastAsia="Arial" w:hAnsi="Arial"/>
                <w:sz w:val="22"/>
                <w:szCs w:val="22"/>
                <w:color w:val="auto"/>
                <w:vertAlign w:val="superscript"/>
              </w:rPr>
              <w:t>(1)</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16,391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2"/>
                <w:szCs w:val="22"/>
                <w:color w:val="auto"/>
                <w:vertAlign w:val="superscript"/>
              </w:rPr>
              <w:t>(2)</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5,965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36,538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83,495</w:t>
            </w:r>
          </w:p>
        </w:tc>
        <w:tc>
          <w:tcPr>
            <w:tcW w:w="0" w:type="dxa"/>
            <w:vAlign w:val="bottom"/>
          </w:tcPr>
          <w:p>
            <w:pPr>
              <w:spacing w:after="0"/>
              <w:rPr>
                <w:sz w:val="1"/>
                <w:szCs w:val="1"/>
                <w:color w:val="auto"/>
              </w:rPr>
            </w:pPr>
          </w:p>
        </w:tc>
      </w:tr>
      <w:tr>
        <w:trPr>
          <w:trHeight w:val="218"/>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right="120" w:hanging="314"/>
        <w:spacing w:after="0" w:line="241" w:lineRule="auto"/>
        <w:tabs>
          <w:tab w:leader="none" w:pos="312"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spacing w:after="0" w:line="1" w:lineRule="exact"/>
        <w:rPr>
          <w:rFonts w:ascii="Arial" w:cs="Arial" w:eastAsia="Arial" w:hAnsi="Arial"/>
          <w:sz w:val="14"/>
          <w:szCs w:val="14"/>
          <w:color w:val="auto"/>
        </w:rPr>
      </w:pPr>
    </w:p>
    <w:p>
      <w:pPr>
        <w:ind w:left="320" w:right="240" w:hanging="314"/>
        <w:spacing w:after="0" w:line="242" w:lineRule="auto"/>
        <w:tabs>
          <w:tab w:leader="none" w:pos="312"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Adjusted EBITDA is a non-GAAP financial measure that we define as net loss adjusted for interest expense (income), net, depreciation and amortization, stock-based compensation expenses, transaction costs, other (income) expense, net, COVID-19 costs and change in fair market value of warrant and earn-out contingent liabilities and.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222222"/>
        </w:rPr>
        <w:t>The following is a reconciliation of our net loss to Adjusted EBITDA for the years ended December 31, 202</w:t>
      </w:r>
      <w:r>
        <w:rPr>
          <w:rFonts w:ascii="Arial" w:cs="Arial" w:eastAsia="Arial" w:hAnsi="Arial"/>
          <w:sz w:val="17"/>
          <w:szCs w:val="17"/>
          <w:color w:val="000000"/>
        </w:rPr>
        <w:t>1</w:t>
      </w:r>
      <w:r>
        <w:rPr>
          <w:rFonts w:ascii="Arial" w:cs="Arial" w:eastAsia="Arial" w:hAnsi="Arial"/>
          <w:sz w:val="17"/>
          <w:szCs w:val="17"/>
          <w:color w:val="222222"/>
        </w:rPr>
        <w:t>, 20</w:t>
      </w:r>
      <w:r>
        <w:rPr>
          <w:rFonts w:ascii="Arial" w:cs="Arial" w:eastAsia="Arial" w:hAnsi="Arial"/>
          <w:sz w:val="17"/>
          <w:szCs w:val="17"/>
          <w:color w:val="000000"/>
        </w:rPr>
        <w:t>20</w:t>
      </w:r>
      <w:r>
        <w:rPr>
          <w:rFonts w:ascii="Arial" w:cs="Arial" w:eastAsia="Arial" w:hAnsi="Arial"/>
          <w:sz w:val="17"/>
          <w:szCs w:val="17"/>
          <w:color w:val="222222"/>
        </w:rPr>
        <w:t>, and 201</w:t>
      </w:r>
      <w:r>
        <w:rPr>
          <w:rFonts w:ascii="Arial" w:cs="Arial" w:eastAsia="Arial" w:hAnsi="Arial"/>
          <w:sz w:val="17"/>
          <w:szCs w:val="17"/>
          <w:color w:val="000000"/>
        </w:rPr>
        <w:t>9 (in thousands)</w:t>
      </w:r>
      <w:r>
        <w:rPr>
          <w:rFonts w:ascii="Arial" w:cs="Arial" w:eastAsia="Arial" w:hAnsi="Arial"/>
          <w:sz w:val="17"/>
          <w:szCs w:val="17"/>
          <w:color w:val="222222"/>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(245,390)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r>
      <w:tr>
        <w:trPr>
          <w:trHeight w:val="225"/>
        </w:trPr>
        <w:tc>
          <w:tcPr>
            <w:tcW w:w="636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Interest expense (income), net </w:t>
            </w:r>
            <w:r>
              <w:rPr>
                <w:rFonts w:ascii="Arial" w:cs="Arial" w:eastAsia="Arial" w:hAnsi="Arial"/>
                <w:sz w:val="22"/>
                <w:szCs w:val="22"/>
                <w:color w:val="auto"/>
                <w:vertAlign w:val="superscript"/>
              </w:rPr>
              <w:t>(1)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219,421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5,482</w:t>
            </w:r>
          </w:p>
        </w:tc>
      </w:tr>
      <w:tr>
        <w:trPr>
          <w:trHeight w:val="226"/>
        </w:trPr>
        <w:tc>
          <w:tcPr>
            <w:tcW w:w="636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Transaction costs </w:t>
            </w:r>
            <w:r>
              <w:rPr>
                <w:rFonts w:ascii="Arial" w:cs="Arial" w:eastAsia="Arial" w:hAnsi="Arial"/>
                <w:sz w:val="22"/>
                <w:szCs w:val="22"/>
                <w:color w:val="auto"/>
                <w:vertAlign w:val="superscript"/>
              </w:rPr>
              <w:t>(2)</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6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2"/>
                <w:szCs w:val="22"/>
                <w:color w:val="auto"/>
                <w:vertAlign w:val="superscript"/>
              </w:rPr>
              <w:t>(3)</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25"/>
        </w:trPr>
        <w:tc>
          <w:tcPr>
            <w:tcW w:w="63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2"/>
                <w:szCs w:val="22"/>
                <w:color w:val="auto"/>
                <w:vertAlign w:val="superscript"/>
              </w:rPr>
              <w:t>(4)</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6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 xml:space="preserve">Change in fair market value of warrant and earn-out contingent liabilities </w:t>
            </w:r>
            <w:r>
              <w:rPr>
                <w:rFonts w:ascii="Arial" w:cs="Arial" w:eastAsia="Arial" w:hAnsi="Arial"/>
                <w:sz w:val="22"/>
                <w:szCs w:val="22"/>
                <w:color w:val="auto"/>
                <w:vertAlign w:val="superscript"/>
              </w:rPr>
              <w:t>(5)</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Adjusted EBITDA</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(199,602)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ind w:left="320" w:hanging="314"/>
        <w:spacing w:after="0" w:line="237" w:lineRule="auto"/>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professional service costs incurred in connection with pursuing the business combination transaction that did not meet the requirement for capitalization.</w:t>
      </w:r>
    </w:p>
    <w:p>
      <w:pPr>
        <w:ind w:left="320" w:hanging="314"/>
        <w:spacing w:after="0" w:line="237" w:lineRule="auto"/>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fiscal year 2020 and 2021, primarily consists of funding received under the CARES Act Provider Relief Fund.</w:t>
      </w:r>
    </w:p>
    <w:p>
      <w:pPr>
        <w:ind w:left="320" w:right="240" w:hanging="314"/>
        <w:spacing w:after="0" w:line="237" w:lineRule="auto"/>
        <w:tabs>
          <w:tab w:leader="none" w:pos="312"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ind w:left="320" w:right="400" w:hanging="314"/>
        <w:spacing w:after="0" w:line="247" w:lineRule="auto"/>
        <w:tabs>
          <w:tab w:leader="none" w:pos="312"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the year ended December 31, 2021, represents the change in fair market value of the liabilities associated with our public warrants, private placement warrants and the earn-out shares issuable under the terms of the merger agreement for our business combination.</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July 22, 2021, we completed the business combination with CMLS, consummated the Prior PIPE Investment and received net cash proceeds of $510 million. Management determined that the cash proceeds received from the business combination provides us with sufficient liquidity to meet our obligations for at least twelve months from the date of this Annual Report.</w:t>
      </w:r>
    </w:p>
    <w:p>
      <w:pPr>
        <w:spacing w:after="0" w:line="16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Furthermore, on November 15, 2021, we entered into a loan and security agreement, or the SVB Agreement, with Silicon Valley Bank, or SVB, whereby SVB agreed to provide a $125 million revolving credit facility with a maturity date of November 15, 2024. No amounts were drawn as of December 31, 2021. Advances under the SVB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Agreement will bear interest at a floating rate per annum equal to the greater of (1) 4.00% and (2) the prime rate plus an applicable margin</w:t>
      </w:r>
    </w:p>
    <w:p>
      <w:pPr>
        <w:spacing w:after="0" w:line="164" w:lineRule="exact"/>
        <w:rPr>
          <w:sz w:val="20"/>
          <w:szCs w:val="20"/>
          <w:color w:val="auto"/>
        </w:rPr>
      </w:pPr>
    </w:p>
    <w:p>
      <w:pPr>
        <w:jc w:val="both"/>
        <w:ind w:firstLine="318"/>
        <w:spacing w:after="0" w:line="313" w:lineRule="auto"/>
        <w:rPr>
          <w:sz w:val="20"/>
          <w:szCs w:val="20"/>
          <w:color w:val="auto"/>
        </w:rPr>
      </w:pPr>
      <w:r>
        <w:rPr>
          <w:rFonts w:ascii="Arial" w:cs="Arial" w:eastAsia="Arial" w:hAnsi="Arial"/>
          <w:sz w:val="15"/>
          <w:szCs w:val="15"/>
          <w:color w:val="auto"/>
        </w:rPr>
        <w:t>Accordingly, the consolidated financial statements included in this Annual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w:t>
      </w:r>
    </w:p>
    <w:p>
      <w:pPr>
        <w:spacing w:after="0" w:line="1"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facilities or another form of third-party funding or by seeking other debt financing. In particular, if the Acquisition is consummated, we expect to issue 50 million shares of our Class A common stock for an aggregate purchase price equal to $200 million pursuant to the Acquisition PIPE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8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following is a description of commitments for known and reasonably likely cash requirements as of December 31, 2021 and December 31, 2020. We anticipate fulfilling such commitments with our existing cash and cash equivalents, which amounted to $400.6 million and $108.1 million as of December 31, 2021 and December 31, 2020, respectively, or through additional capital raised to finance our operations.</w:t>
      </w:r>
    </w:p>
    <w:p>
      <w:pPr>
        <w:spacing w:after="0" w:line="14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Our future minimum payments under non-cancellable operating lease and capital lease agreements were $68.3 and $65.6 million, respectively as of December 31, 2021. The timing of these future payments, by year, can be found in our consolidated financial statements in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included within this Annual Report.</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Our future contractual purchase commitments were $23.1 million as of December 31, 2021. The timing of these future payments, by year, can be found in our consolidated financial statements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included within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7"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Year Ended</w:t>
      </w:r>
    </w:p>
    <w:p>
      <w:pPr>
        <w:jc w:val="center"/>
        <w:ind w:left="62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63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r>
      <w:tr>
        <w:trPr>
          <w:trHeight w:val="179"/>
        </w:trPr>
        <w:tc>
          <w:tcPr>
            <w:tcW w:w="6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(93,128)</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(18,728)</w:t>
            </w:r>
          </w:p>
        </w:tc>
        <w:tc>
          <w:tcPr>
            <w:tcW w:w="100" w:type="dxa"/>
            <w:vAlign w:val="bottom"/>
            <w:shd w:val="clear" w:color="auto" w:fill="CCEEFF"/>
          </w:tcPr>
          <w:p>
            <w:pPr>
              <w:spacing w:after="0"/>
              <w:rPr>
                <w:sz w:val="19"/>
                <w:szCs w:val="19"/>
                <w:color w:val="auto"/>
              </w:rPr>
            </w:pPr>
          </w:p>
        </w:tc>
      </w:tr>
      <w:tr>
        <w:trPr>
          <w:trHeight w:val="225"/>
        </w:trPr>
        <w:tc>
          <w:tcPr>
            <w:tcW w:w="63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(20,786)</w:t>
            </w:r>
          </w:p>
        </w:tc>
        <w:tc>
          <w:tcPr>
            <w:tcW w:w="240" w:type="dxa"/>
            <w:vAlign w:val="bottom"/>
          </w:tcPr>
          <w:p>
            <w:pPr>
              <w:spacing w:after="0"/>
              <w:rPr>
                <w:sz w:val="19"/>
                <w:szCs w:val="19"/>
                <w:color w:val="auto"/>
              </w:rPr>
            </w:pPr>
          </w:p>
        </w:tc>
        <w:tc>
          <w:tcPr>
            <w:tcW w:w="1180" w:type="dxa"/>
            <w:vAlign w:val="bottom"/>
          </w:tcPr>
          <w:p>
            <w:pPr>
              <w:ind w:left="500"/>
              <w:spacing w:after="0"/>
              <w:rPr>
                <w:sz w:val="20"/>
                <w:szCs w:val="20"/>
                <w:color w:val="auto"/>
              </w:rPr>
            </w:pPr>
            <w:r>
              <w:rPr>
                <w:rFonts w:ascii="Arial" w:cs="Arial" w:eastAsia="Arial" w:hAnsi="Arial"/>
                <w:sz w:val="18"/>
                <w:szCs w:val="18"/>
                <w:color w:val="auto"/>
                <w:w w:val="98"/>
              </w:rPr>
              <w:t>(31,974)</w:t>
            </w:r>
          </w:p>
        </w:tc>
        <w:tc>
          <w:tcPr>
            <w:tcW w:w="360" w:type="dxa"/>
            <w:vAlign w:val="bottom"/>
          </w:tcPr>
          <w:p>
            <w:pPr>
              <w:spacing w:after="0"/>
              <w:rPr>
                <w:sz w:val="19"/>
                <w:szCs w:val="19"/>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2"/>
              </w:rPr>
              <w:t>(15,456)</w:t>
            </w:r>
          </w:p>
        </w:tc>
        <w:tc>
          <w:tcPr>
            <w:tcW w:w="100" w:type="dxa"/>
            <w:vAlign w:val="bottom"/>
          </w:tcPr>
          <w:p>
            <w:pPr>
              <w:spacing w:after="0"/>
              <w:rPr>
                <w:sz w:val="19"/>
                <w:szCs w:val="19"/>
                <w:color w:val="auto"/>
              </w:rPr>
            </w:pPr>
          </w:p>
        </w:tc>
      </w:tr>
      <w:tr>
        <w:trPr>
          <w:trHeight w:val="22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493,729</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129,056</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148,012</w:t>
            </w:r>
          </w:p>
        </w:tc>
        <w:tc>
          <w:tcPr>
            <w:tcW w:w="100" w:type="dxa"/>
            <w:vAlign w:val="bottom"/>
            <w:shd w:val="clear" w:color="auto" w:fill="CCEEFF"/>
          </w:tcPr>
          <w:p>
            <w:pPr>
              <w:spacing w:after="0"/>
              <w:rPr>
                <w:sz w:val="19"/>
                <w:szCs w:val="19"/>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Net cash used in operating activities during the year ended December 31, 2021 was $190.4 million, which was primarily attributable to a net loss of $245.4 million and a change in fair value of the warrant and earn-out contingent liabilities of $198.4 million, partially offset by non-cash depreciation and amortization of $21.8 million, non-cash stock-based compensation expense of $219.4 million, and a reserve against obsolete inventory of $2.1 million. The net change in our operating assets and liabilities primarily reflected a $5.5 million decrease in accounts receivable due to a decrease in institutional customer receivables which is in line with the respective revenue stream, a $10.6 million increase in inventories driven by a higher volume of purchases to support increasing testing volumes, a $14.3 million increase in prepaid expenses and other current assets mainly driven by new insurance policy premiums paid during the year, a $25.9 million increase in accounts payable and accrued expenses due to additional volume in the fourth quarter related to COVID-19 testing, resulting in increased related accruals and extended payment terms for large vendors, and a $3.2 million increase in other current liabilities mainly driven increased bonus accruals.</w:t>
      </w:r>
    </w:p>
    <w:p>
      <w:pPr>
        <w:spacing w:after="0" w:line="13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 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spacing w:after="0" w:line="18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Net cash used in operating activities during the year ended December 31, 2019 was $18.7 million, which was primarily attributable to a net loss of $29.7 million and a net change in our operating assets and liabilities of $0.7 million, partially offset by non-cash depreciation and amortization of $6.4 million and non-cash stock-based compensation expense of $5.5 million. The net change in our operating assets and liabilities primarily reflected an increase in accounts receivable of $4.6 million driven by increase in testing volumes and billings, an $8.0 million increase in inventories driven by anticipated future growth due to a year-over-year increase in testing volumes for the year ended December 31, 2019 as compared to the year ended December 31, 2018, a $4.4 million increase in other assets due to security deposits on certain office and laboratory locations, an increase in accounts payable and accrued expenses of $12.8 million due to increased operating expenditures in line with the growth of the business and a $4.5 million increase in other current liabilities driven by higher personnel-related accruals due to increased headcount at 2019 year-end as compared to 2018 year-end.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year ended December 31, 2021 was $20.8 million, which was attributable to $9.4 million in purchases of property and equipment and $11.4 million of costs related to development of internal-use software assets.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year ended December 31, 2020 was $32.0 million, which was attributable to $24.1 million in purchases of property and equipment and $7.9 million of costs related to development of internal-use software assets.</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year ended December 31, 2019 was $15.4 million, which was attributable to $11.9 million in purchases of property and equipment and $3.5 million of costs related to development of internal-use software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Net cash provided by financing activities during the year ended December 31, 2021 was $493.7 million, which was attributable to the consummation of our business combination including: $350.0 million from the Prior PIPE Investment proceeds; $442.7 million from an equity infusion from the business combination, net of redemptions; offset by $230.7 million in the cash payments to certain Legacy Sema4 stockholders; payment of transaction costs of $51.8 million; and $3.8 million of stock appreciate rights pay-outs. These amounts were further offset by an $8.7 million repayment of long-term debt and $3.7 million of capital lease principal payments.</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provided by financing activities during the year ended December 31, 2019 was $148.0 million, which was attributable to $118.8 million in net cash proceeds from the issuance of our Series B redeemable convertible preferred stock and $30.9 million in capital contributions from ISMMS, partially offset by $1.7 million in principal payments on our capital lease obligations.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prepared our consolidated financial statements in accordance with GAAP. Our preparation of these consolidated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spacing w:after="0" w:line="15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See Note 2, “Summary of Significant Accounting Policies” to our consolidated financial statements for further discussion on our accounting policies. We have identified below our accounting policies that we believe could potentially generate materially different results if we were to change underlying assumptions, estimates and/or judgments. Although actual results may differ from those estimates, we believe the estimates are reasonable and appropriate.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recognize revenue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estimate a transaction price in arrangements with third-party insurance payors based on historical collection experience, contractual provisions and insurance reimbursement policies, payor mix, and other relevant information for applicable payor portfolios. The portfolio approach is used as a practical expedient to account for categories of diagnostic test contracts as collective groups rather than on an individual contract basis. Management believes that revenue recognized by utilizing the portfolio approach approximates the revenue that would have been recognized if an individual contract approach was used. For orders received for self-pay patients, we determine a transaction price associated with services rendered in consideration of implicit price concessions that are granted to such orders.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 For institutional clients, the customer is the institution. We determine a transaction price associated with services rendered in accordance with the contractual rates established with each customer.</w:t>
      </w:r>
    </w:p>
    <w:p>
      <w:pPr>
        <w:spacing w:after="0" w:line="22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monitor these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 A 1% decrease or increase in our collection rate from third-party insurance payors, which we believe could be a reasonably likely change, would result in an unfavorable or favorable adjustment to diagnostic test revenue of approximately $16.2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also recognize revenue from service agreements and collaboration agreements with Biopharma companies and other third parties pursuant to which we provide diagnostic testing and related data aggregation reporting services. Certain of these contracts provide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1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certain service or collaboration contracts that require us to transfer control of the service over time,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including any subcontracted service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which would indicate that the internal-use software is impaired. To the extent that we change our estimates related to internal-use software, the amount of internal-use software development costs we capitalize and amortize could change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51" w:lineRule="exact"/>
        <w:rPr>
          <w:sz w:val="20"/>
          <w:szCs w:val="20"/>
          <w:color w:val="auto"/>
        </w:rPr>
      </w:pPr>
    </w:p>
    <w:p>
      <w:pPr>
        <w:jc w:val="both"/>
        <w:ind w:firstLine="318"/>
        <w:spacing w:after="0" w:line="226" w:lineRule="auto"/>
        <w:rPr>
          <w:sz w:val="20"/>
          <w:szCs w:val="20"/>
          <w:color w:val="auto"/>
        </w:rPr>
      </w:pPr>
      <w:r>
        <w:rPr>
          <w:rFonts w:ascii="Arial" w:cs="Arial" w:eastAsia="Arial" w:hAnsi="Arial"/>
          <w:sz w:val="18"/>
          <w:szCs w:val="18"/>
          <w:color w:val="auto"/>
        </w:rPr>
        <w:t>We estimate the fair value of the total earn-out shares based on a Monte Carlo simulation valuation model. The fair value of the earn-out contingent liability is sensitive to expected volatility estimated based on selected guideline public companies and the Company’s common stock price which is sensitive to changes in the forecasts of earnings and/or the relevant operating metrics. The model used requires the use of assumptions regarding variables that are complex, subjective and generally require judgment to determine.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Stock-based compensation for all employee and non-employee stock-based awards, including restricted stock units, is measured at fair value on the date of grant and recognized over the service period. The fair value of restricted stock units are calculated based on the fair value of our common stock on the date of grant, while the fair value of stock options are calculated using a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Key assumptions include expected volatility, expected term, risk-free interest rate and dividend yield. The volatility is estimated based on the average volatility for 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The expected term of the Company’s options has been determined utilizing the “simplified” method as the awards granted are qualified as “plain-vanilla” options. The risk-free interest rate is based on the U.S. Treasury yield curve in effect at the time of grant for bonds with maturities consistent with the expected holding periods corresponding with the expected term of the option. We estimate zero dividend yield as we have not historically paid dividends on common stock and do not anticipate paying dividends in the foreseeable future.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account for income taxes in accordance with ASC Topic 740, “Income Taxes,” under which deferred income taxes are provided for temporary differences between the financial reporting and tax basis of our assets and liabilities. We reduce deferred tax assets, if necessary, by a valuation allowance if it is more likely than not that we will not realize some or all of our deferred tax assets. In making such a determination, we consider all available positive and negative evidence, including future reversals of existing taxable temporary differences, projected future taxable income, tax-planning strategies, and results of recent operations.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taxing authorities, based on the technical merits of the position.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0"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Information on recent accounting pronouncements can be found in Sema4’s audited consolidated financial statements in Note 2, “Summary of Significant Accounting Policies”.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Our cash, cash equivalents, and restricted cash consists of bank deposits and money market funds, which totaled $401.5 million and $118.9 million at December 31, 2021 and 2020,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spacing w:after="0" w:line="15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Our loans and financing obligations are recorded at amortized cost and are set at fixed interest rates. As a result, fluctuations in interest rates would not impact our financial statements. However, the fair value of our debt will generally fluctuate with movements of interest rates. Additional information on our long-term debt can be found in Sema4’s consolidated financial statements in Note 8, </w:t>
      </w:r>
      <w:r>
        <w:rPr>
          <w:rFonts w:ascii="Arial" w:cs="Arial" w:eastAsia="Arial" w:hAnsi="Arial"/>
          <w:sz w:val="18"/>
          <w:szCs w:val="18"/>
          <w:i w:val="1"/>
          <w:iCs w:val="1"/>
          <w:color w:val="auto"/>
        </w:rPr>
        <w:t>“Long-Term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400" w:firstLine="3407"/>
        <w:spacing w:after="0" w:line="43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Sema4 Holdings Corp.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audited the accompanying consolidated balance sheets of Sema4 Holdings Corp. (the Company) as of December 31, 2021 and 2020, the related consolidated statements of operations and comprehensive loss, redeemable convertible preferred stock and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2020 and 2019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As discussed in Note 2 to the consolidated financial statements, the 2020 and 2019 financial statements have been restated to correct a misstatement.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Auditor Firm 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Auditor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Auditor 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United States</w:t>
      </w:r>
    </w:p>
    <w:p>
      <w:pPr>
        <w:spacing w:after="0" w:line="307" w:lineRule="exact"/>
        <w:rPr>
          <w:sz w:val="20"/>
          <w:szCs w:val="20"/>
          <w:color w:val="auto"/>
        </w:rPr>
      </w:pPr>
    </w:p>
    <w:p>
      <w:pPr>
        <w:sectPr>
          <w:pgSz w:w="11900" w:h="16838" w:orient="portrait"/>
          <w:cols w:equalWidth="0" w:num="7">
            <w:col w:w="1600" w:space="420"/>
            <w:col w:w="140" w:space="160"/>
            <w:col w:w="220" w:space="460"/>
            <w:col w:w="940" w:space="720"/>
            <w:col w:w="1140" w:space="580"/>
            <w:col w:w="1080" w:space="720"/>
            <w:col w:w="306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2"/>
                <w:szCs w:val="12"/>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980" w:type="dxa"/>
            <w:vAlign w:val="bottom"/>
            <w:shd w:val="clear" w:color="auto" w:fill="CCEEFF"/>
          </w:tcPr>
          <w:p>
            <w:pPr>
              <w:jc w:val="right"/>
              <w:ind w:right="81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400,569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108,132</w:t>
            </w:r>
          </w:p>
        </w:tc>
        <w:tc>
          <w:tcPr>
            <w:tcW w:w="0" w:type="dxa"/>
            <w:vAlign w:val="bottom"/>
          </w:tcPr>
          <w:p>
            <w:pPr>
              <w:spacing w:after="0"/>
              <w:rPr>
                <w:sz w:val="1"/>
                <w:szCs w:val="1"/>
                <w:color w:val="auto"/>
              </w:rPr>
            </w:pPr>
          </w:p>
        </w:tc>
      </w:tr>
      <w:tr>
        <w:trPr>
          <w:trHeight w:val="183"/>
        </w:trPr>
        <w:tc>
          <w:tcPr>
            <w:tcW w:w="8020" w:type="dxa"/>
            <w:vAlign w:val="bottom"/>
          </w:tcPr>
          <w:p>
            <w:pPr>
              <w:ind w:left="100"/>
              <w:spacing w:after="0"/>
              <w:rPr>
                <w:sz w:val="20"/>
                <w:szCs w:val="20"/>
                <w:color w:val="auto"/>
              </w:rPr>
            </w:pPr>
            <w:r>
              <w:rPr>
                <w:rFonts w:ascii="Arial" w:cs="Arial" w:eastAsia="Arial" w:hAnsi="Arial"/>
                <w:sz w:val="14"/>
                <w:szCs w:val="14"/>
                <w:color w:val="auto"/>
              </w:rPr>
              <w:t>Accounts receivable, net</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26,509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32,044</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Due from related parties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83"/>
        </w:trPr>
        <w:tc>
          <w:tcPr>
            <w:tcW w:w="8020" w:type="dxa"/>
            <w:vAlign w:val="bottom"/>
          </w:tcPr>
          <w:p>
            <w:pPr>
              <w:ind w:left="100"/>
              <w:spacing w:after="0"/>
              <w:rPr>
                <w:sz w:val="20"/>
                <w:szCs w:val="20"/>
                <w:color w:val="auto"/>
              </w:rPr>
            </w:pPr>
            <w:r>
              <w:rPr>
                <w:rFonts w:ascii="Arial" w:cs="Arial" w:eastAsia="Arial" w:hAnsi="Arial"/>
                <w:sz w:val="14"/>
                <w:szCs w:val="14"/>
                <w:color w:val="auto"/>
              </w:rPr>
              <w:t>Inventory, net</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33,456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24,962</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Prepaid expenses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current assets</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4,124</w:t>
            </w:r>
          </w:p>
        </w:tc>
        <w:tc>
          <w:tcPr>
            <w:tcW w:w="0" w:type="dxa"/>
            <w:vAlign w:val="bottom"/>
          </w:tcPr>
          <w:p>
            <w:pPr>
              <w:spacing w:after="0"/>
              <w:rPr>
                <w:sz w:val="1"/>
                <w:szCs w:val="1"/>
                <w:color w:val="auto"/>
              </w:rPr>
            </w:pPr>
          </w:p>
        </w:tc>
      </w:tr>
      <w:tr>
        <w:trPr>
          <w:trHeight w:val="182"/>
        </w:trPr>
        <w:tc>
          <w:tcPr>
            <w:tcW w:w="8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current 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483,544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174,108</w:t>
            </w: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62,719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63,110</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10,828</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3,596</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assets</w:t>
            </w:r>
          </w:p>
        </w:tc>
        <w:tc>
          <w:tcPr>
            <w:tcW w:w="98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554,093</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Equity (Deficit)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2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tcPr>
          <w:p>
            <w:pPr>
              <w:ind w:left="100"/>
              <w:spacing w:after="0"/>
              <w:rPr>
                <w:sz w:val="20"/>
                <w:szCs w:val="20"/>
                <w:color w:val="auto"/>
              </w:rPr>
            </w:pPr>
            <w:r>
              <w:rPr>
                <w:rFonts w:ascii="Arial" w:cs="Arial" w:eastAsia="Arial" w:hAnsi="Arial"/>
                <w:sz w:val="14"/>
                <w:szCs w:val="14"/>
                <w:color w:val="auto"/>
              </w:rPr>
              <w:t>Accounts payable</w:t>
            </w:r>
          </w:p>
        </w:tc>
        <w:tc>
          <w:tcPr>
            <w:tcW w:w="980" w:type="dxa"/>
            <w:vAlign w:val="bottom"/>
          </w:tcPr>
          <w:p>
            <w:pPr>
              <w:jc w:val="right"/>
              <w:ind w:right="81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44,693</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26,737</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expenses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11,854</w:t>
            </w:r>
          </w:p>
        </w:tc>
        <w:tc>
          <w:tcPr>
            <w:tcW w:w="0" w:type="dxa"/>
            <w:vAlign w:val="bottom"/>
          </w:tcPr>
          <w:p>
            <w:pPr>
              <w:spacing w:after="0"/>
              <w:rPr>
                <w:sz w:val="1"/>
                <w:szCs w:val="1"/>
                <w:color w:val="auto"/>
              </w:rPr>
            </w:pPr>
          </w:p>
        </w:tc>
      </w:tr>
      <w:tr>
        <w:trPr>
          <w:trHeight w:val="183"/>
        </w:trPr>
        <w:tc>
          <w:tcPr>
            <w:tcW w:w="8020" w:type="dxa"/>
            <w:vAlign w:val="bottom"/>
          </w:tcPr>
          <w:p>
            <w:pPr>
              <w:ind w:left="100"/>
              <w:spacing w:after="0"/>
              <w:rPr>
                <w:sz w:val="20"/>
                <w:szCs w:val="20"/>
                <w:color w:val="auto"/>
              </w:rPr>
            </w:pPr>
            <w:r>
              <w:rPr>
                <w:rFonts w:ascii="Arial" w:cs="Arial" w:eastAsia="Arial" w:hAnsi="Arial"/>
                <w:sz w:val="14"/>
                <w:szCs w:val="14"/>
                <w:color w:val="auto"/>
              </w:rPr>
              <w:t>Due to related parties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2,623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Current portion of capital lease obligations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3,506</w:t>
            </w:r>
          </w:p>
        </w:tc>
        <w:tc>
          <w:tcPr>
            <w:tcW w:w="0" w:type="dxa"/>
            <w:vAlign w:val="bottom"/>
          </w:tcPr>
          <w:p>
            <w:pPr>
              <w:spacing w:after="0"/>
              <w:rPr>
                <w:sz w:val="1"/>
                <w:szCs w:val="1"/>
                <w:color w:val="auto"/>
              </w:rPr>
            </w:pPr>
          </w:p>
        </w:tc>
      </w:tr>
      <w:tr>
        <w:trPr>
          <w:trHeight w:val="183"/>
        </w:trPr>
        <w:tc>
          <w:tcPr>
            <w:tcW w:w="8020" w:type="dxa"/>
            <w:vAlign w:val="bottom"/>
          </w:tcPr>
          <w:p>
            <w:pPr>
              <w:ind w:left="100"/>
              <w:spacing w:after="0"/>
              <w:rPr>
                <w:sz w:val="20"/>
                <w:szCs w:val="20"/>
                <w:color w:val="auto"/>
              </w:rPr>
            </w:pPr>
            <w:r>
              <w:rPr>
                <w:rFonts w:ascii="Arial" w:cs="Arial" w:eastAsia="Arial" w:hAnsi="Arial"/>
                <w:sz w:val="14"/>
                <w:szCs w:val="14"/>
                <w:color w:val="auto"/>
              </w:rPr>
              <w:t>Contract liabilities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1,783</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29,968</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28,137</w:t>
            </w:r>
          </w:p>
        </w:tc>
        <w:tc>
          <w:tcPr>
            <w:tcW w:w="0" w:type="dxa"/>
            <w:vAlign w:val="bottom"/>
          </w:tcPr>
          <w:p>
            <w:pPr>
              <w:spacing w:after="0"/>
              <w:rPr>
                <w:sz w:val="1"/>
                <w:szCs w:val="1"/>
                <w:color w:val="auto"/>
              </w:rPr>
            </w:pPr>
          </w:p>
        </w:tc>
      </w:tr>
      <w:tr>
        <w:trPr>
          <w:trHeight w:val="176"/>
        </w:trPr>
        <w:tc>
          <w:tcPr>
            <w:tcW w:w="8020" w:type="dxa"/>
            <w:vAlign w:val="bottom"/>
          </w:tcPr>
          <w:p>
            <w:pPr>
              <w:ind w:left="240"/>
              <w:spacing w:after="0"/>
              <w:rPr>
                <w:sz w:val="20"/>
                <w:szCs w:val="20"/>
                <w:color w:val="auto"/>
              </w:rPr>
            </w:pPr>
            <w:r>
              <w:rPr>
                <w:rFonts w:ascii="Arial" w:cs="Arial" w:eastAsia="Arial" w:hAnsi="Arial"/>
                <w:sz w:val="14"/>
                <w:szCs w:val="14"/>
                <w:color w:val="auto"/>
              </w:rPr>
              <w:t>Total current liabilities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101,284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73,442</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net of current portion</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18,971</w:t>
            </w: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Stock-based compensation liabilities</w:t>
            </w:r>
          </w:p>
        </w:tc>
        <w:tc>
          <w:tcPr>
            <w:tcW w:w="9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131,989</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 net of current portion</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20,778</w:t>
            </w: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3,480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2,074</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Earn-out contingent liability</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10,244</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liabilities</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165,990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247,254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9)</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260"/>
              <w:spacing w:after="0" w:line="133" w:lineRule="exact"/>
              <w:rPr>
                <w:sz w:val="20"/>
                <w:szCs w:val="20"/>
                <w:color w:val="auto"/>
              </w:rPr>
            </w:pPr>
            <w:r>
              <w:rPr>
                <w:rFonts w:ascii="Arial" w:cs="Arial" w:eastAsia="Arial" w:hAnsi="Arial"/>
                <w:sz w:val="14"/>
                <w:szCs w:val="14"/>
                <w:color w:val="auto"/>
                <w:w w:val="92"/>
              </w:rPr>
              <w:t>Series A-1 redeemable convertible preferred stock, $0.00001 par value: 0 and 55,399,943 shares authorized, issued and outstanding at</w:t>
            </w: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420"/>
              <w:spacing w:after="0" w:line="133" w:lineRule="exact"/>
              <w:rPr>
                <w:sz w:val="20"/>
                <w:szCs w:val="20"/>
                <w:color w:val="auto"/>
              </w:rPr>
            </w:pPr>
            <w:r>
              <w:rPr>
                <w:rFonts w:ascii="Arial" w:cs="Arial" w:eastAsia="Arial" w:hAnsi="Arial"/>
                <w:sz w:val="14"/>
                <w:szCs w:val="14"/>
                <w:color w:val="auto"/>
                <w:w w:val="91"/>
              </w:rPr>
              <w:t>December 31, 2021 and December 31, 2020, respectively; aggregate liquidation preference of $0 and $55,000 at December 31, 2021</w:t>
            </w:r>
          </w:p>
        </w:tc>
        <w:tc>
          <w:tcPr>
            <w:tcW w:w="9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51,811</w:t>
            </w:r>
          </w:p>
        </w:tc>
        <w:tc>
          <w:tcPr>
            <w:tcW w:w="0" w:type="dxa"/>
            <w:vAlign w:val="bottom"/>
          </w:tcPr>
          <w:p>
            <w:pPr>
              <w:spacing w:after="0"/>
              <w:rPr>
                <w:sz w:val="1"/>
                <w:szCs w:val="1"/>
                <w:color w:val="auto"/>
              </w:rPr>
            </w:pPr>
          </w:p>
        </w:tc>
      </w:tr>
      <w:tr>
        <w:trPr>
          <w:trHeight w:val="183"/>
        </w:trPr>
        <w:tc>
          <w:tcPr>
            <w:tcW w:w="8020" w:type="dxa"/>
            <w:vAlign w:val="bottom"/>
          </w:tcPr>
          <w:p>
            <w:pPr>
              <w:ind w:left="420"/>
              <w:spacing w:after="0"/>
              <w:rPr>
                <w:sz w:val="20"/>
                <w:szCs w:val="20"/>
                <w:color w:val="auto"/>
              </w:rPr>
            </w:pPr>
            <w:r>
              <w:rPr>
                <w:rFonts w:ascii="Arial" w:cs="Arial" w:eastAsia="Arial" w:hAnsi="Arial"/>
                <w:sz w:val="14"/>
                <w:szCs w:val="14"/>
                <w:color w:val="auto"/>
              </w:rPr>
              <w:t>and December 31, 2020, respectively</w:t>
            </w:r>
          </w:p>
        </w:tc>
        <w:tc>
          <w:tcPr>
            <w:tcW w:w="9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260"/>
              <w:spacing w:after="0" w:line="135" w:lineRule="exact"/>
              <w:rPr>
                <w:sz w:val="20"/>
                <w:szCs w:val="20"/>
                <w:color w:val="auto"/>
              </w:rPr>
            </w:pPr>
            <w:r>
              <w:rPr>
                <w:rFonts w:ascii="Arial" w:cs="Arial" w:eastAsia="Arial" w:hAnsi="Arial"/>
                <w:sz w:val="14"/>
                <w:szCs w:val="14"/>
                <w:color w:val="auto"/>
                <w:w w:val="92"/>
              </w:rPr>
              <w:t>Series A-2 redeemable convertible preferred stock, $0.00001 par value: 0 and 64,718,940 shares authorized at December 31, 2021 and</w:t>
            </w:r>
          </w:p>
        </w:tc>
        <w:tc>
          <w:tcPr>
            <w:tcW w:w="9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shd w:val="clear" w:color="auto" w:fill="CCEEFF"/>
          </w:tcPr>
          <w:p>
            <w:pPr>
              <w:ind w:left="420"/>
              <w:spacing w:after="0" w:line="133" w:lineRule="exact"/>
              <w:rPr>
                <w:sz w:val="20"/>
                <w:szCs w:val="20"/>
                <w:color w:val="auto"/>
              </w:rPr>
            </w:pPr>
            <w:r>
              <w:rPr>
                <w:rFonts w:ascii="Arial" w:cs="Arial" w:eastAsia="Arial" w:hAnsi="Arial"/>
                <w:sz w:val="14"/>
                <w:szCs w:val="14"/>
                <w:color w:val="auto"/>
              </w:rPr>
              <w:t>December 31, 2020, respectively; 0 and 49,700,364 shares authorized, issued and outstanding at December 31, 2021 and</w:t>
            </w:r>
          </w:p>
        </w:tc>
        <w:tc>
          <w:tcPr>
            <w:tcW w:w="9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shd w:val="clear" w:color="auto" w:fill="CCEEFF"/>
          </w:tcPr>
          <w:p>
            <w:pPr>
              <w:ind w:left="420"/>
              <w:spacing w:after="0" w:line="133" w:lineRule="exact"/>
              <w:rPr>
                <w:sz w:val="20"/>
                <w:szCs w:val="20"/>
                <w:color w:val="auto"/>
              </w:rPr>
            </w:pPr>
            <w:r>
              <w:rPr>
                <w:rFonts w:ascii="Arial" w:cs="Arial" w:eastAsia="Arial" w:hAnsi="Arial"/>
                <w:sz w:val="14"/>
                <w:szCs w:val="14"/>
                <w:color w:val="auto"/>
                <w:w w:val="91"/>
              </w:rPr>
              <w:t>December 31, 2020, respectively; aggregate liquidation preference of $0 and $49,342 at December 31, 2021 and December 31, 2020,</w:t>
            </w:r>
          </w:p>
        </w:tc>
        <w:tc>
          <w:tcPr>
            <w:tcW w:w="9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46,480</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respectively</w:t>
            </w:r>
          </w:p>
        </w:tc>
        <w:tc>
          <w:tcPr>
            <w:tcW w:w="9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260"/>
              <w:spacing w:after="0" w:line="133" w:lineRule="exact"/>
              <w:rPr>
                <w:sz w:val="20"/>
                <w:szCs w:val="20"/>
                <w:color w:val="auto"/>
              </w:rPr>
            </w:pPr>
            <w:r>
              <w:rPr>
                <w:rFonts w:ascii="Arial" w:cs="Arial" w:eastAsia="Arial" w:hAnsi="Arial"/>
                <w:sz w:val="14"/>
                <w:szCs w:val="14"/>
                <w:color w:val="auto"/>
                <w:w w:val="93"/>
              </w:rPr>
              <w:t>Series B redeemable convertible preferred stock, $0.00001 par value: 0 and 41,937,960 shares authorized, issued and outstanding at</w:t>
            </w: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420"/>
              <w:spacing w:after="0" w:line="133" w:lineRule="exact"/>
              <w:rPr>
                <w:sz w:val="20"/>
                <w:szCs w:val="20"/>
                <w:color w:val="auto"/>
              </w:rPr>
            </w:pPr>
            <w:r>
              <w:rPr>
                <w:rFonts w:ascii="Arial" w:cs="Arial" w:eastAsia="Arial" w:hAnsi="Arial"/>
                <w:sz w:val="14"/>
                <w:szCs w:val="14"/>
                <w:color w:val="auto"/>
                <w:w w:val="94"/>
              </w:rPr>
              <w:t>December 31, 2021 and December 31, 2020, respectively; aggregate liquidation preference of $0 and $204,302 at December 31,</w:t>
            </w:r>
          </w:p>
        </w:tc>
        <w:tc>
          <w:tcPr>
            <w:tcW w:w="9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118,824</w:t>
            </w:r>
          </w:p>
        </w:tc>
        <w:tc>
          <w:tcPr>
            <w:tcW w:w="0" w:type="dxa"/>
            <w:vAlign w:val="bottom"/>
          </w:tcPr>
          <w:p>
            <w:pPr>
              <w:spacing w:after="0"/>
              <w:rPr>
                <w:sz w:val="1"/>
                <w:szCs w:val="1"/>
                <w:color w:val="auto"/>
              </w:rPr>
            </w:pPr>
          </w:p>
        </w:tc>
      </w:tr>
      <w:tr>
        <w:trPr>
          <w:trHeight w:val="183"/>
        </w:trPr>
        <w:tc>
          <w:tcPr>
            <w:tcW w:w="8020" w:type="dxa"/>
            <w:vAlign w:val="bottom"/>
          </w:tcPr>
          <w:p>
            <w:pPr>
              <w:ind w:left="420"/>
              <w:spacing w:after="0"/>
              <w:rPr>
                <w:sz w:val="20"/>
                <w:szCs w:val="20"/>
                <w:color w:val="auto"/>
              </w:rPr>
            </w:pPr>
            <w:r>
              <w:rPr>
                <w:rFonts w:ascii="Arial" w:cs="Arial" w:eastAsia="Arial" w:hAnsi="Arial"/>
                <w:sz w:val="14"/>
                <w:szCs w:val="14"/>
                <w:color w:val="auto"/>
              </w:rPr>
              <w:t>2021and December 31, 2020, respectively</w:t>
            </w:r>
          </w:p>
        </w:tc>
        <w:tc>
          <w:tcPr>
            <w:tcW w:w="9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260"/>
              <w:spacing w:after="0" w:line="135" w:lineRule="exact"/>
              <w:rPr>
                <w:sz w:val="20"/>
                <w:szCs w:val="20"/>
                <w:color w:val="auto"/>
              </w:rPr>
            </w:pPr>
            <w:r>
              <w:rPr>
                <w:rFonts w:ascii="Arial" w:cs="Arial" w:eastAsia="Arial" w:hAnsi="Arial"/>
                <w:sz w:val="14"/>
                <w:szCs w:val="14"/>
                <w:color w:val="auto"/>
                <w:w w:val="93"/>
              </w:rPr>
              <w:t>Series C redeemable convertible preferred stock, $0.00001 par value: 0 and 24,497,317 shares authorized at December 31, 2021 and</w:t>
            </w:r>
          </w:p>
        </w:tc>
        <w:tc>
          <w:tcPr>
            <w:tcW w:w="9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shd w:val="clear" w:color="auto" w:fill="CCEEFF"/>
          </w:tcPr>
          <w:p>
            <w:pPr>
              <w:ind w:left="420"/>
              <w:spacing w:after="0" w:line="133" w:lineRule="exact"/>
              <w:rPr>
                <w:sz w:val="20"/>
                <w:szCs w:val="20"/>
                <w:color w:val="auto"/>
              </w:rPr>
            </w:pPr>
            <w:r>
              <w:rPr>
                <w:rFonts w:ascii="Arial" w:cs="Arial" w:eastAsia="Arial" w:hAnsi="Arial"/>
                <w:sz w:val="14"/>
                <w:szCs w:val="14"/>
                <w:color w:val="auto"/>
                <w:w w:val="92"/>
              </w:rPr>
              <w:t>December 31, 2020, respectively; 0 and 24,496,946 shares issued and outstanding at December 31, 2021 and December 31, 2020,</w:t>
            </w:r>
          </w:p>
        </w:tc>
        <w:tc>
          <w:tcPr>
            <w:tcW w:w="9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117,324</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6"/>
              </w:rPr>
              <w:t>respectively; aggregate liquidation preference of $0 and $121,397 at December 31, 2021 and December 31, 2020, respectively</w:t>
            </w:r>
          </w:p>
        </w:tc>
        <w:tc>
          <w:tcPr>
            <w:tcW w:w="9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40"/>
              <w:spacing w:after="0"/>
              <w:rPr>
                <w:sz w:val="20"/>
                <w:szCs w:val="20"/>
                <w:color w:val="auto"/>
              </w:rPr>
            </w:pPr>
            <w:r>
              <w:rPr>
                <w:rFonts w:ascii="Arial" w:cs="Arial" w:eastAsia="Arial" w:hAnsi="Arial"/>
                <w:sz w:val="14"/>
                <w:szCs w:val="14"/>
                <w:color w:val="auto"/>
              </w:rPr>
              <w:t>Redeemable convertible preferred stock</w:t>
            </w:r>
          </w:p>
        </w:tc>
        <w:tc>
          <w:tcPr>
            <w:tcW w:w="9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334,439</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180"/>
              <w:spacing w:after="0" w:line="133" w:lineRule="exact"/>
              <w:rPr>
                <w:sz w:val="20"/>
                <w:szCs w:val="20"/>
                <w:color w:val="auto"/>
              </w:rPr>
            </w:pPr>
            <w:r>
              <w:rPr>
                <w:rFonts w:ascii="Arial" w:cs="Arial" w:eastAsia="Arial" w:hAnsi="Arial"/>
                <w:sz w:val="14"/>
                <w:szCs w:val="14"/>
                <w:color w:val="auto"/>
                <w:w w:val="93"/>
              </w:rPr>
              <w:t>Preferred Stock, $0.0001 par value: 1,000,000 and 0 shares authorized at December 31, 2021 and December 31, 2020, respectively; 0</w:t>
            </w:r>
          </w:p>
        </w:tc>
        <w:tc>
          <w:tcPr>
            <w:tcW w:w="9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020" w:type="dxa"/>
            <w:vAlign w:val="bottom"/>
          </w:tcPr>
          <w:p>
            <w:pPr>
              <w:ind w:left="340"/>
              <w:spacing w:after="0"/>
              <w:rPr>
                <w:sz w:val="20"/>
                <w:szCs w:val="20"/>
                <w:color w:val="auto"/>
              </w:rPr>
            </w:pPr>
            <w:r>
              <w:rPr>
                <w:rFonts w:ascii="Arial" w:cs="Arial" w:eastAsia="Arial" w:hAnsi="Arial"/>
                <w:sz w:val="14"/>
                <w:szCs w:val="14"/>
                <w:color w:val="auto"/>
              </w:rPr>
              <w:t>shares issued and outstanding at December 31, 2021 and December 31, 2020, respectively</w:t>
            </w:r>
          </w:p>
        </w:tc>
        <w:tc>
          <w:tcPr>
            <w:tcW w:w="9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2"/>
              </w:rPr>
              <w:t>Class A common stock, $0.0001 par value: 380,000,000 shares authorized, 242,647,604 shares issued and outstanding at December 31,</w:t>
            </w:r>
          </w:p>
        </w:tc>
        <w:tc>
          <w:tcPr>
            <w:tcW w:w="5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2021 and $0.00001 par value: 309,584,750 shares authorized, 124 shares issued and outstanding at December 31, 2020</w:t>
            </w:r>
          </w:p>
        </w:tc>
        <w:tc>
          <w:tcPr>
            <w:tcW w:w="5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180"/>
              <w:spacing w:after="0" w:line="133" w:lineRule="exact"/>
              <w:rPr>
                <w:sz w:val="20"/>
                <w:szCs w:val="20"/>
                <w:color w:val="auto"/>
              </w:rPr>
            </w:pPr>
            <w:r>
              <w:rPr>
                <w:rFonts w:ascii="Arial" w:cs="Arial" w:eastAsia="Arial" w:hAnsi="Arial"/>
                <w:sz w:val="14"/>
                <w:szCs w:val="14"/>
                <w:color w:val="auto"/>
                <w:w w:val="93"/>
              </w:rPr>
              <w:t>Class B convertible common stock, $0.00001 par value: 0 and 18,575,085 shares authorized at December 31, 2021 and December 31,</w:t>
            </w:r>
          </w:p>
        </w:tc>
        <w:tc>
          <w:tcPr>
            <w:tcW w:w="5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020" w:type="dxa"/>
            <w:vAlign w:val="bottom"/>
          </w:tcPr>
          <w:p>
            <w:pPr>
              <w:ind w:left="340"/>
              <w:spacing w:after="0"/>
              <w:rPr>
                <w:sz w:val="20"/>
                <w:szCs w:val="20"/>
                <w:color w:val="auto"/>
              </w:rPr>
            </w:pPr>
            <w:r>
              <w:rPr>
                <w:rFonts w:ascii="Arial" w:cs="Arial" w:eastAsia="Arial" w:hAnsi="Arial"/>
                <w:sz w:val="14"/>
                <w:szCs w:val="14"/>
                <w:color w:val="auto"/>
                <w:w w:val="97"/>
              </w:rPr>
              <w:t>2020, respectively; 0 and 130,557 shares issued and outstanding at December 31, 2021 and December 31, 2020, respectively</w:t>
            </w:r>
          </w:p>
        </w:tc>
        <w:tc>
          <w:tcPr>
            <w:tcW w:w="5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963,520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(575,441)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(330,051)</w:t>
            </w:r>
          </w:p>
        </w:tc>
        <w:tc>
          <w:tcPr>
            <w:tcW w:w="0" w:type="dxa"/>
            <w:vAlign w:val="bottom"/>
          </w:tcPr>
          <w:p>
            <w:pPr>
              <w:spacing w:after="0"/>
              <w:rPr>
                <w:sz w:val="1"/>
                <w:szCs w:val="1"/>
                <w:color w:val="auto"/>
              </w:rPr>
            </w:pPr>
          </w:p>
        </w:tc>
      </w:tr>
      <w:tr>
        <w:trPr>
          <w:trHeight w:val="17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stockholders’ equity (deficit)</w:t>
            </w: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388,103</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(330,051)</w:t>
            </w:r>
          </w:p>
        </w:tc>
        <w:tc>
          <w:tcPr>
            <w:tcW w:w="0" w:type="dxa"/>
            <w:vAlign w:val="bottom"/>
          </w:tcPr>
          <w:p>
            <w:pPr>
              <w:spacing w:after="0"/>
              <w:rPr>
                <w:sz w:val="1"/>
                <w:szCs w:val="1"/>
                <w:color w:val="auto"/>
              </w:rPr>
            </w:pPr>
          </w:p>
        </w:tc>
      </w:tr>
      <w:tr>
        <w:trPr>
          <w:trHeight w:val="182"/>
        </w:trPr>
        <w:tc>
          <w:tcPr>
            <w:tcW w:w="8020" w:type="dxa"/>
            <w:vAlign w:val="bottom"/>
          </w:tcPr>
          <w:p>
            <w:pPr>
              <w:ind w:left="260"/>
              <w:spacing w:after="0"/>
              <w:rPr>
                <w:sz w:val="20"/>
                <w:szCs w:val="20"/>
                <w:color w:val="auto"/>
              </w:rPr>
            </w:pPr>
            <w:r>
              <w:rPr>
                <w:rFonts w:ascii="Arial" w:cs="Arial" w:eastAsia="Arial" w:hAnsi="Arial"/>
                <w:sz w:val="14"/>
                <w:szCs w:val="14"/>
                <w:color w:val="auto"/>
              </w:rPr>
              <w:t>Total liabilities, redeemable convertible preferred stock and stockholders’ equity (deficit)</w:t>
            </w:r>
          </w:p>
        </w:tc>
        <w:tc>
          <w:tcPr>
            <w:tcW w:w="5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554,093</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251,642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8"/>
                <w:szCs w:val="18"/>
                <w:b w:val="1"/>
                <w:bCs w:val="1"/>
                <w:color w:val="auto"/>
              </w:rPr>
              <w:t>Year Ended December 31,</w:t>
            </w: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(Restated) (1)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3"/>
              </w:rPr>
              <w:t>(Restated) (1)</w:t>
            </w:r>
          </w:p>
        </w:tc>
        <w:tc>
          <w:tcPr>
            <w:tcW w:w="0" w:type="dxa"/>
            <w:vAlign w:val="bottom"/>
          </w:tcPr>
          <w:p>
            <w:pPr>
              <w:spacing w:after="0"/>
              <w:rPr>
                <w:sz w:val="1"/>
                <w:szCs w:val="1"/>
                <w:color w:val="auto"/>
              </w:rPr>
            </w:pPr>
          </w:p>
        </w:tc>
      </w:tr>
      <w:tr>
        <w:trPr>
          <w:trHeight w:val="173"/>
        </w:trPr>
        <w:tc>
          <w:tcPr>
            <w:tcW w:w="6360" w:type="dxa"/>
            <w:vAlign w:val="bottom"/>
          </w:tcPr>
          <w:p>
            <w:pPr>
              <w:ind w:left="260"/>
              <w:spacing w:after="0" w:line="173" w:lineRule="exact"/>
              <w:rPr>
                <w:sz w:val="20"/>
                <w:szCs w:val="20"/>
                <w:color w:val="auto"/>
              </w:rPr>
            </w:pPr>
            <w:r>
              <w:rPr>
                <w:rFonts w:ascii="Arial" w:cs="Arial" w:eastAsia="Arial" w:hAnsi="Arial"/>
                <w:sz w:val="18"/>
                <w:szCs w:val="18"/>
                <w:color w:val="auto"/>
                <w:w w:val="91"/>
              </w:rPr>
              <w:t>Diagnostic test revenue (including related party revenue of $90, $285 and $0 for the</w:t>
            </w:r>
          </w:p>
        </w:tc>
        <w:tc>
          <w:tcPr>
            <w:tcW w:w="360" w:type="dxa"/>
            <w:vAlign w:val="bottom"/>
            <w:vMerge w:val="restart"/>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tcPr>
          <w:p>
            <w:pPr>
              <w:spacing w:after="0"/>
              <w:rPr>
                <w:sz w:val="15"/>
                <w:szCs w:val="15"/>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15"/>
                <w:szCs w:val="15"/>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24"/>
        </w:trPr>
        <w:tc>
          <w:tcPr>
            <w:tcW w:w="6360" w:type="dxa"/>
            <w:vAlign w:val="bottom"/>
          </w:tcPr>
          <w:p>
            <w:pPr>
              <w:ind w:left="420"/>
              <w:spacing w:after="0"/>
              <w:rPr>
                <w:sz w:val="20"/>
                <w:szCs w:val="20"/>
                <w:color w:val="auto"/>
              </w:rPr>
            </w:pPr>
            <w:r>
              <w:rPr>
                <w:rFonts w:ascii="Arial" w:cs="Arial" w:eastAsia="Arial" w:hAnsi="Arial"/>
                <w:sz w:val="18"/>
                <w:szCs w:val="18"/>
                <w:color w:val="auto"/>
              </w:rPr>
              <w:t>years ended December 31, 2021, 2020, and 2019, respectively)</w:t>
            </w: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6360" w:type="dxa"/>
            <w:vAlign w:val="bottom"/>
            <w:shd w:val="clear" w:color="auto" w:fill="CCEEFF"/>
          </w:tcPr>
          <w:p>
            <w:pPr>
              <w:ind w:left="260"/>
              <w:spacing w:after="0" w:line="174" w:lineRule="exact"/>
              <w:rPr>
                <w:sz w:val="20"/>
                <w:szCs w:val="20"/>
                <w:color w:val="auto"/>
              </w:rPr>
            </w:pPr>
            <w:r>
              <w:rPr>
                <w:rFonts w:ascii="Arial" w:cs="Arial" w:eastAsia="Arial" w:hAnsi="Arial"/>
                <w:sz w:val="18"/>
                <w:szCs w:val="18"/>
                <w:color w:val="auto"/>
                <w:w w:val="91"/>
              </w:rPr>
              <w:t>Other revenue (including related party revenue of $232, $3 and $1,180 for the years</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ended December 31, 2021, 2020, and 2019,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154"/>
        </w:trPr>
        <w:tc>
          <w:tcPr>
            <w:tcW w:w="636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6"/>
              </w:rPr>
              <w:t>Cost of services (including related party expenses of $3,975, $2,189 and $1,859 for the</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years ended December 31, 2021, 2020, and 2019,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Gross (loss) profit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82,785</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63,183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0" w:type="dxa"/>
            <w:vAlign w:val="bottom"/>
          </w:tcPr>
          <w:p>
            <w:pPr>
              <w:spacing w:after="0"/>
              <w:rPr>
                <w:sz w:val="1"/>
                <w:szCs w:val="1"/>
                <w:color w:val="auto"/>
              </w:rPr>
            </w:pPr>
          </w:p>
        </w:tc>
      </w:tr>
      <w:tr>
        <w:trPr>
          <w:trHeight w:val="205"/>
        </w:trPr>
        <w:tc>
          <w:tcPr>
            <w:tcW w:w="6360" w:type="dxa"/>
            <w:vAlign w:val="bottom"/>
          </w:tcPr>
          <w:p>
            <w:pPr>
              <w:ind w:left="20"/>
              <w:spacing w:after="0" w:line="204" w:lineRule="exact"/>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market value of warrant and earn-out contingent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Class A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4"/>
        </w:trPr>
        <w:tc>
          <w:tcPr>
            <w:tcW w:w="636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(47,036)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(264,056)</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300" w:firstLine="6"/>
        <w:spacing w:after="0" w:line="326" w:lineRule="auto"/>
        <w:tabs>
          <w:tab w:leader="none" w:pos="20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Certain expenses were previously misclassified as cost of services. These expenses are now reported as selling and marketing. This adjustment has no impact on total revenue, loss from operations, net loss and comprehensive loss or net loss per share. Refer to Note 2, “Summary of Significant Accounting Policies” to our consolidated financial statements for further information.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Redeemable Convertible Preferred Stock and Stockholders’ Equity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1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0"/>
              </w:rPr>
              <w:t>Redeemable Convertible</w:t>
            </w:r>
          </w:p>
        </w:tc>
        <w:tc>
          <w:tcPr>
            <w:tcW w:w="60" w:type="dxa"/>
            <w:vAlign w:val="bottom"/>
          </w:tcPr>
          <w:p>
            <w:pPr>
              <w:spacing w:after="0"/>
              <w:rPr>
                <w:sz w:val="14"/>
                <w:szCs w:val="14"/>
                <w:color w:val="auto"/>
              </w:rPr>
            </w:pPr>
          </w:p>
        </w:tc>
        <w:tc>
          <w:tcPr>
            <w:tcW w:w="20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Class A Common Stock</w:t>
            </w:r>
          </w:p>
        </w:tc>
        <w:tc>
          <w:tcPr>
            <w:tcW w:w="198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5"/>
                <w:szCs w:val="15"/>
                <w:color w:val="auto"/>
              </w:rPr>
            </w:pPr>
          </w:p>
        </w:tc>
        <w:tc>
          <w:tcPr>
            <w:tcW w:w="21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2"/>
              </w:rPr>
              <w:t>Preferred Stock</w:t>
            </w:r>
          </w:p>
        </w:tc>
        <w:tc>
          <w:tcPr>
            <w:tcW w:w="60" w:type="dxa"/>
            <w:vAlign w:val="bottom"/>
          </w:tcPr>
          <w:p>
            <w:pPr>
              <w:spacing w:after="0"/>
              <w:rPr>
                <w:sz w:val="15"/>
                <w:szCs w:val="15"/>
                <w:color w:val="auto"/>
              </w:rPr>
            </w:pPr>
          </w:p>
        </w:tc>
        <w:tc>
          <w:tcPr>
            <w:tcW w:w="2000" w:type="dxa"/>
            <w:vAlign w:val="bottom"/>
            <w:gridSpan w:val="5"/>
            <w:vMerge w:val="continue"/>
          </w:tcPr>
          <w:p>
            <w:pPr>
              <w:spacing w:after="0"/>
              <w:rPr>
                <w:sz w:val="15"/>
                <w:szCs w:val="15"/>
                <w:color w:val="auto"/>
              </w:rPr>
            </w:pPr>
          </w:p>
        </w:tc>
        <w:tc>
          <w:tcPr>
            <w:tcW w:w="19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10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9"/>
                <w:szCs w:val="9"/>
                <w:color w:val="auto"/>
              </w:rPr>
            </w:pPr>
          </w:p>
        </w:tc>
        <w:tc>
          <w:tcPr>
            <w:tcW w:w="780" w:type="dxa"/>
            <w:vAlign w:val="bottom"/>
          </w:tcPr>
          <w:p>
            <w:pPr>
              <w:jc w:val="right"/>
              <w:ind w:right="233"/>
              <w:spacing w:after="0" w:line="11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10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vMerge w:val="restart"/>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0"/>
              </w:rPr>
              <w:t>Per Value</w:t>
            </w:r>
          </w:p>
        </w:tc>
        <w:tc>
          <w:tcPr>
            <w:tcW w:w="80" w:type="dxa"/>
            <w:vAlign w:val="bottom"/>
            <w:vMerge w:val="restart"/>
          </w:tcPr>
          <w:p>
            <w:pPr>
              <w:spacing w:after="0"/>
              <w:rPr>
                <w:sz w:val="11"/>
                <w:szCs w:val="11"/>
                <w:color w:val="auto"/>
              </w:rPr>
            </w:pPr>
          </w:p>
        </w:tc>
        <w:tc>
          <w:tcPr>
            <w:tcW w:w="9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 Value</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94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85"/>
        </w:trPr>
        <w:tc>
          <w:tcPr>
            <w:tcW w:w="2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paid-in capital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equity (deficit)</w:t>
            </w:r>
          </w:p>
        </w:tc>
        <w:tc>
          <w:tcPr>
            <w:tcW w:w="0" w:type="dxa"/>
            <w:vAlign w:val="bottom"/>
          </w:tcPr>
          <w:p>
            <w:pPr>
              <w:spacing w:after="0"/>
              <w:rPr>
                <w:sz w:val="1"/>
                <w:szCs w:val="1"/>
                <w:color w:val="auto"/>
              </w:rPr>
            </w:pPr>
          </w:p>
        </w:tc>
      </w:tr>
      <w:tr>
        <w:trPr>
          <w:trHeight w:val="153"/>
        </w:trPr>
        <w:tc>
          <w:tcPr>
            <w:tcW w:w="2100" w:type="dxa"/>
            <w:vAlign w:val="bottom"/>
            <w:shd w:val="clear" w:color="auto" w:fill="CCEEFF"/>
          </w:tcPr>
          <w:p>
            <w:pPr>
              <w:ind w:left="20"/>
              <w:spacing w:after="0" w:line="153" w:lineRule="exact"/>
              <w:rPr>
                <w:sz w:val="20"/>
                <w:szCs w:val="20"/>
                <w:color w:val="auto"/>
              </w:rPr>
            </w:pPr>
            <w:r>
              <w:rPr>
                <w:rFonts w:ascii="Arial" w:cs="Arial" w:eastAsia="Arial" w:hAnsi="Arial"/>
                <w:sz w:val="17"/>
                <w:szCs w:val="17"/>
                <w:b w:val="1"/>
                <w:bCs w:val="1"/>
                <w:color w:val="auto"/>
              </w:rPr>
              <w:t>Balance at December 31,</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102,039,134</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64,355</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0" w:type="dxa"/>
            <w:vAlign w:val="bottom"/>
          </w:tcPr>
          <w:p>
            <w:pPr>
              <w:spacing w:after="0"/>
              <w:rPr>
                <w:sz w:val="1"/>
                <w:szCs w:val="1"/>
                <w:color w:val="auto"/>
              </w:rPr>
            </w:pPr>
          </w:p>
        </w:tc>
      </w:tr>
      <w:tr>
        <w:trPr>
          <w:trHeight w:val="225"/>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173"/>
        </w:trPr>
        <w:tc>
          <w:tcPr>
            <w:tcW w:w="2100" w:type="dxa"/>
            <w:vAlign w:val="bottom"/>
            <w:shd w:val="clear" w:color="auto" w:fill="CCEEFF"/>
          </w:tcPr>
          <w:p>
            <w:pPr>
              <w:ind w:left="240"/>
              <w:spacing w:after="0" w:line="173" w:lineRule="exact"/>
              <w:rPr>
                <w:sz w:val="20"/>
                <w:szCs w:val="20"/>
                <w:color w:val="auto"/>
              </w:rPr>
            </w:pPr>
            <w:r>
              <w:rPr>
                <w:rFonts w:ascii="Arial" w:cs="Arial" w:eastAsia="Arial" w:hAnsi="Arial"/>
                <w:sz w:val="18"/>
                <w:szCs w:val="18"/>
                <w:color w:val="auto"/>
              </w:rPr>
              <w:t>Preferred Series A</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3,061,173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0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30,897</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2100" w:type="dxa"/>
            <w:vAlign w:val="bottom"/>
            <w:shd w:val="clear" w:color="auto" w:fill="CCEEFF"/>
          </w:tcPr>
          <w:p>
            <w:pPr>
              <w:ind w:left="240"/>
              <w:spacing w:after="0" w:line="173" w:lineRule="exact"/>
              <w:rPr>
                <w:sz w:val="20"/>
                <w:szCs w:val="20"/>
                <w:color w:val="auto"/>
              </w:rPr>
            </w:pPr>
            <w:r>
              <w:rPr>
                <w:rFonts w:ascii="Arial" w:cs="Arial" w:eastAsia="Arial" w:hAnsi="Arial"/>
                <w:sz w:val="18"/>
                <w:szCs w:val="18"/>
                <w:color w:val="auto"/>
              </w:rPr>
              <w:t>Issuance of Preferred</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100" w:type="dxa"/>
            <w:vAlign w:val="bottom"/>
            <w:shd w:val="clear" w:color="auto" w:fill="CCEEFF"/>
          </w:tcPr>
          <w:p>
            <w:pPr>
              <w:ind w:left="240"/>
              <w:spacing w:after="0" w:line="172" w:lineRule="exact"/>
              <w:rPr>
                <w:sz w:val="20"/>
                <w:szCs w:val="20"/>
                <w:color w:val="auto"/>
              </w:rPr>
            </w:pPr>
            <w:r>
              <w:rPr>
                <w:rFonts w:ascii="Arial" w:cs="Arial" w:eastAsia="Arial" w:hAnsi="Arial"/>
                <w:sz w:val="18"/>
                <w:szCs w:val="18"/>
                <w:color w:val="auto"/>
                <w:w w:val="92"/>
              </w:rPr>
              <w:t>Series B, net of issuance</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costs</w:t>
            </w: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100" w:type="dxa"/>
            <w:vAlign w:val="bottom"/>
          </w:tcPr>
          <w:p>
            <w:pPr>
              <w:ind w:left="20"/>
              <w:spacing w:after="0" w:line="152" w:lineRule="exact"/>
              <w:rPr>
                <w:sz w:val="20"/>
                <w:szCs w:val="20"/>
                <w:color w:val="auto"/>
              </w:rPr>
            </w:pPr>
            <w:r>
              <w:rPr>
                <w:rFonts w:ascii="Arial" w:cs="Arial" w:eastAsia="Arial" w:hAnsi="Arial"/>
                <w:sz w:val="17"/>
                <w:szCs w:val="17"/>
                <w:b w:val="1"/>
                <w:bCs w:val="1"/>
                <w:color w:val="auto"/>
              </w:rPr>
              <w:t>Balance at December 31,</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w w:val="93"/>
              </w:rPr>
              <w:t>147,038,267</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(88,711)</w:t>
            </w:r>
          </w:p>
        </w:tc>
        <w:tc>
          <w:tcPr>
            <w:tcW w:w="80" w:type="dxa"/>
            <w:vAlign w:val="bottom"/>
          </w:tcPr>
          <w:p>
            <w:pPr>
              <w:spacing w:after="0"/>
              <w:rPr>
                <w:sz w:val="13"/>
                <w:szCs w:val="13"/>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25"/>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(241,340)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(241,340)</w:t>
            </w:r>
          </w:p>
        </w:tc>
        <w:tc>
          <w:tcPr>
            <w:tcW w:w="0" w:type="dxa"/>
            <w:vAlign w:val="bottom"/>
          </w:tcPr>
          <w:p>
            <w:pPr>
              <w:spacing w:after="0"/>
              <w:rPr>
                <w:sz w:val="1"/>
                <w:szCs w:val="1"/>
                <w:color w:val="auto"/>
              </w:rPr>
            </w:pPr>
          </w:p>
        </w:tc>
      </w:tr>
      <w:tr>
        <w:trPr>
          <w:trHeight w:val="173"/>
        </w:trPr>
        <w:tc>
          <w:tcPr>
            <w:tcW w:w="2100" w:type="dxa"/>
            <w:vAlign w:val="bottom"/>
          </w:tcPr>
          <w:p>
            <w:pPr>
              <w:ind w:left="240"/>
              <w:spacing w:after="0" w:line="173" w:lineRule="exact"/>
              <w:rPr>
                <w:sz w:val="20"/>
                <w:szCs w:val="20"/>
                <w:color w:val="auto"/>
              </w:rPr>
            </w:pPr>
            <w:r>
              <w:rPr>
                <w:rFonts w:ascii="Arial" w:cs="Arial" w:eastAsia="Arial" w:hAnsi="Arial"/>
                <w:sz w:val="18"/>
                <w:szCs w:val="18"/>
                <w:color w:val="auto"/>
              </w:rPr>
              <w:t>Preferred Series A</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130,557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100" w:type="dxa"/>
            <w:vAlign w:val="bottom"/>
          </w:tcPr>
          <w:p>
            <w:pPr>
              <w:ind w:left="240"/>
              <w:spacing w:after="0"/>
              <w:rPr>
                <w:sz w:val="20"/>
                <w:szCs w:val="20"/>
                <w:color w:val="auto"/>
              </w:rPr>
            </w:pPr>
            <w:r>
              <w:rPr>
                <w:rFonts w:ascii="Arial" w:cs="Arial" w:eastAsia="Arial" w:hAnsi="Arial"/>
                <w:sz w:val="18"/>
                <w:szCs w:val="18"/>
                <w:color w:val="auto"/>
              </w:rPr>
              <w:t>dividend</w:t>
            </w: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contributions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24,496,946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2100" w:type="dxa"/>
            <w:vAlign w:val="bottom"/>
          </w:tcPr>
          <w:p>
            <w:pPr>
              <w:ind w:left="20"/>
              <w:spacing w:after="0" w:line="152" w:lineRule="exact"/>
              <w:rPr>
                <w:sz w:val="20"/>
                <w:szCs w:val="20"/>
                <w:color w:val="auto"/>
              </w:rPr>
            </w:pPr>
            <w:r>
              <w:rPr>
                <w:rFonts w:ascii="Arial" w:cs="Arial" w:eastAsia="Arial" w:hAnsi="Arial"/>
                <w:sz w:val="17"/>
                <w:szCs w:val="17"/>
                <w:b w:val="1"/>
                <w:bCs w:val="1"/>
                <w:color w:val="auto"/>
              </w:rPr>
              <w:t>Balance at December 31,</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w w:val="93"/>
              </w:rPr>
              <w:t>171,535,213</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130,557</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5"/>
              </w:rPr>
              <w:t>(330,051)</w:t>
            </w:r>
          </w:p>
        </w:tc>
        <w:tc>
          <w:tcPr>
            <w:tcW w:w="80" w:type="dxa"/>
            <w:vAlign w:val="bottom"/>
          </w:tcPr>
          <w:p>
            <w:pPr>
              <w:spacing w:after="0"/>
              <w:rPr>
                <w:sz w:val="13"/>
                <w:szCs w:val="13"/>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5"/>
              </w:rPr>
              <w:t>(330,051)</w:t>
            </w:r>
          </w:p>
        </w:tc>
        <w:tc>
          <w:tcPr>
            <w:tcW w:w="0" w:type="dxa"/>
            <w:vAlign w:val="bottom"/>
          </w:tcPr>
          <w:p>
            <w:pPr>
              <w:spacing w:after="0"/>
              <w:rPr>
                <w:sz w:val="1"/>
                <w:szCs w:val="1"/>
                <w:color w:val="auto"/>
              </w:rPr>
            </w:pPr>
          </w:p>
        </w:tc>
      </w:tr>
      <w:tr>
        <w:trPr>
          <w:trHeight w:val="225"/>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(245,390)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(245,390)</w:t>
            </w:r>
          </w:p>
        </w:tc>
        <w:tc>
          <w:tcPr>
            <w:tcW w:w="0" w:type="dxa"/>
            <w:vAlign w:val="bottom"/>
          </w:tcPr>
          <w:p>
            <w:pPr>
              <w:spacing w:after="0"/>
              <w:rPr>
                <w:sz w:val="1"/>
                <w:szCs w:val="1"/>
                <w:color w:val="auto"/>
              </w:rPr>
            </w:pPr>
          </w:p>
        </w:tc>
      </w:tr>
      <w:tr>
        <w:trPr>
          <w:trHeight w:val="225"/>
        </w:trPr>
        <w:tc>
          <w:tcPr>
            <w:tcW w:w="2100" w:type="dxa"/>
            <w:vAlign w:val="bottom"/>
          </w:tcPr>
          <w:p>
            <w:pPr>
              <w:ind w:left="220"/>
              <w:spacing w:after="0"/>
              <w:rPr>
                <w:sz w:val="20"/>
                <w:szCs w:val="20"/>
                <w:color w:val="auto"/>
              </w:rPr>
            </w:pPr>
            <w:r>
              <w:rPr>
                <w:rFonts w:ascii="Arial" w:cs="Arial" w:eastAsia="Arial" w:hAnsi="Arial"/>
                <w:sz w:val="18"/>
                <w:szCs w:val="18"/>
                <w:color w:val="auto"/>
              </w:rPr>
              <w:t>Stock option exercises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995,526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1,253,179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174"/>
        </w:trPr>
        <w:tc>
          <w:tcPr>
            <w:tcW w:w="21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7"/>
              </w:rPr>
              <w:t>Conversion of Preferred</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(171,535,213)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0"/>
              </w:rPr>
              <w:t>(334,439)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148,543,062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104,517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104,532</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100" w:type="dxa"/>
            <w:vAlign w:val="bottom"/>
          </w:tcPr>
          <w:p>
            <w:pPr>
              <w:ind w:left="220"/>
              <w:spacing w:after="0" w:line="173" w:lineRule="exact"/>
              <w:rPr>
                <w:sz w:val="20"/>
                <w:szCs w:val="20"/>
                <w:color w:val="auto"/>
              </w:rPr>
            </w:pPr>
            <w:r>
              <w:rPr>
                <w:rFonts w:ascii="Arial" w:cs="Arial" w:eastAsia="Arial" w:hAnsi="Arial"/>
                <w:sz w:val="18"/>
                <w:szCs w:val="18"/>
                <w:color w:val="auto"/>
              </w:rPr>
              <w:t>Conversion of Class B</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1,309,320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7"/>
              </w:rPr>
              <w:t>(1,383,736)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4"/>
        </w:trPr>
        <w:tc>
          <w:tcPr>
            <w:tcW w:w="21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1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8"/>
              </w:rPr>
              <w:t>Net equity infusion from</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90,333,562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510,742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510,751</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the Business Combination</w:t>
            </w: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100" w:type="dxa"/>
            <w:vAlign w:val="bottom"/>
          </w:tcPr>
          <w:p>
            <w:pPr>
              <w:ind w:left="220"/>
              <w:spacing w:after="0" w:line="173" w:lineRule="exact"/>
              <w:rPr>
                <w:sz w:val="20"/>
                <w:szCs w:val="20"/>
                <w:color w:val="auto"/>
              </w:rPr>
            </w:pPr>
            <w:r>
              <w:rPr>
                <w:rFonts w:ascii="Arial" w:cs="Arial" w:eastAsia="Arial" w:hAnsi="Arial"/>
                <w:sz w:val="18"/>
                <w:szCs w:val="18"/>
                <w:color w:val="auto"/>
              </w:rPr>
              <w:t>Stock based</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100" w:type="dxa"/>
            <w:vAlign w:val="bottom"/>
          </w:tcPr>
          <w:p>
            <w:pPr>
              <w:ind w:left="180"/>
              <w:spacing w:after="0" w:line="172" w:lineRule="exact"/>
              <w:rPr>
                <w:sz w:val="20"/>
                <w:szCs w:val="20"/>
                <w:color w:val="auto"/>
              </w:rPr>
            </w:pPr>
            <w:r>
              <w:rPr>
                <w:rFonts w:ascii="Arial" w:cs="Arial" w:eastAsia="Arial" w:hAnsi="Arial"/>
                <w:sz w:val="18"/>
                <w:szCs w:val="18"/>
                <w:color w:val="auto"/>
              </w:rPr>
              <w:t>compensation</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00" w:type="dxa"/>
            <w:vAlign w:val="bottom"/>
          </w:tcPr>
          <w:p>
            <w:pPr>
              <w:ind w:left="180"/>
              <w:spacing w:after="0" w:line="172" w:lineRule="exact"/>
              <w:rPr>
                <w:sz w:val="20"/>
                <w:szCs w:val="20"/>
                <w:color w:val="auto"/>
              </w:rPr>
            </w:pPr>
            <w:r>
              <w:rPr>
                <w:rFonts w:ascii="Arial" w:cs="Arial" w:eastAsia="Arial" w:hAnsi="Arial"/>
                <w:sz w:val="18"/>
                <w:szCs w:val="18"/>
                <w:color w:val="auto"/>
              </w:rPr>
              <w:t>modification</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4"/>
                <w:szCs w:val="14"/>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304,837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304,837</w:t>
            </w:r>
          </w:p>
        </w:tc>
        <w:tc>
          <w:tcPr>
            <w:tcW w:w="0" w:type="dxa"/>
            <w:vAlign w:val="bottom"/>
          </w:tcPr>
          <w:p>
            <w:pPr>
              <w:spacing w:after="0"/>
              <w:rPr>
                <w:sz w:val="1"/>
                <w:szCs w:val="1"/>
                <w:color w:val="auto"/>
              </w:rPr>
            </w:pPr>
          </w:p>
        </w:tc>
      </w:tr>
      <w:tr>
        <w:trPr>
          <w:trHeight w:val="224"/>
        </w:trPr>
        <w:tc>
          <w:tcPr>
            <w:tcW w:w="2100" w:type="dxa"/>
            <w:vAlign w:val="bottom"/>
          </w:tcPr>
          <w:p>
            <w:pPr>
              <w:ind w:left="180"/>
              <w:spacing w:after="0"/>
              <w:rPr>
                <w:sz w:val="20"/>
                <w:szCs w:val="20"/>
                <w:color w:val="auto"/>
              </w:rPr>
            </w:pPr>
            <w:r>
              <w:rPr>
                <w:rFonts w:ascii="Arial" w:cs="Arial" w:eastAsia="Arial" w:hAnsi="Arial"/>
                <w:sz w:val="18"/>
                <w:szCs w:val="18"/>
                <w:color w:val="auto"/>
              </w:rPr>
              <w:t>reclassification</w:t>
            </w: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1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Stock based</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100" w:type="dxa"/>
            <w:vAlign w:val="bottom"/>
          </w:tcPr>
          <w:p>
            <w:pPr>
              <w:ind w:left="180"/>
              <w:spacing w:after="0" w:line="173" w:lineRule="exact"/>
              <w:rPr>
                <w:sz w:val="20"/>
                <w:szCs w:val="20"/>
                <w:color w:val="auto"/>
              </w:rPr>
            </w:pPr>
            <w:r>
              <w:rPr>
                <w:rFonts w:ascii="Arial" w:cs="Arial" w:eastAsia="Arial" w:hAnsi="Arial"/>
                <w:sz w:val="18"/>
                <w:szCs w:val="18"/>
                <w:color w:val="auto"/>
              </w:rPr>
              <w:t>Vested restricted stock</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100" w:type="dxa"/>
            <w:vAlign w:val="bottom"/>
          </w:tcPr>
          <w:p>
            <w:pPr>
              <w:ind w:left="180"/>
              <w:spacing w:after="0" w:line="172" w:lineRule="exact"/>
              <w:rPr>
                <w:sz w:val="20"/>
                <w:szCs w:val="20"/>
                <w:color w:val="auto"/>
              </w:rPr>
            </w:pPr>
            <w:r>
              <w:rPr>
                <w:rFonts w:ascii="Arial" w:cs="Arial" w:eastAsia="Arial" w:hAnsi="Arial"/>
                <w:sz w:val="18"/>
                <w:szCs w:val="18"/>
                <w:color w:val="auto"/>
              </w:rPr>
              <w:t>units converted to</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right w:val="single" w:sz="8" w:color="auto"/>
            </w:tcBorders>
            <w:vMerge w:val="restart"/>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1,466,010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2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w:t>
            </w: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right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100" w:type="dxa"/>
            <w:vAlign w:val="bottom"/>
            <w:shd w:val="clear" w:color="auto" w:fill="CCEEFF"/>
          </w:tcPr>
          <w:p>
            <w:pPr>
              <w:ind w:left="20"/>
              <w:spacing w:after="0" w:line="153" w:lineRule="exact"/>
              <w:rPr>
                <w:sz w:val="20"/>
                <w:szCs w:val="20"/>
                <w:color w:val="auto"/>
              </w:rPr>
            </w:pPr>
            <w:r>
              <w:rPr>
                <w:rFonts w:ascii="Arial" w:cs="Arial" w:eastAsia="Arial" w:hAnsi="Arial"/>
                <w:sz w:val="17"/>
                <w:szCs w:val="17"/>
                <w:b w:val="1"/>
                <w:bCs w:val="1"/>
                <w:color w:val="auto"/>
              </w:rPr>
              <w:t>Balance at December 31,</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242,647,604</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963,520</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(575,441)</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388,103</w:t>
            </w: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b w:val="1"/>
                <w:bCs w:val="1"/>
                <w:color w:val="auto"/>
              </w:rPr>
              <w:t>2021</w:t>
            </w:r>
          </w:p>
        </w:tc>
        <w:tc>
          <w:tcPr>
            <w:tcW w:w="112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r>
      <w:tr>
        <w:trPr>
          <w:trHeight w:val="19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(245,390)</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(241,340)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(29,704)</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636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21,807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6,407</w:t>
            </w:r>
          </w:p>
        </w:tc>
      </w:tr>
      <w:tr>
        <w:trPr>
          <w:trHeight w:val="214"/>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5,482</w:t>
            </w:r>
          </w:p>
        </w:tc>
      </w:tr>
      <w:tr>
        <w:trPr>
          <w:trHeight w:val="209"/>
        </w:trPr>
        <w:tc>
          <w:tcPr>
            <w:tcW w:w="6360" w:type="dxa"/>
            <w:vAlign w:val="bottom"/>
          </w:tcPr>
          <w:p>
            <w:pPr>
              <w:ind w:left="240"/>
              <w:spacing w:after="0"/>
              <w:rPr>
                <w:sz w:val="20"/>
                <w:szCs w:val="20"/>
                <w:color w:val="auto"/>
              </w:rPr>
            </w:pPr>
            <w:r>
              <w:rPr>
                <w:rFonts w:ascii="Arial" w:cs="Arial" w:eastAsia="Arial" w:hAnsi="Arial"/>
                <w:sz w:val="16"/>
                <w:szCs w:val="16"/>
                <w:color w:val="auto"/>
              </w:rPr>
              <w:t>Change in fair value of warrant and contingent liabilities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(198,401)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excess and obsolete inventory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60" w:type="dxa"/>
            <w:vAlign w:val="bottom"/>
          </w:tcPr>
          <w:p>
            <w:pPr>
              <w:ind w:left="240"/>
              <w:spacing w:after="0"/>
              <w:rPr>
                <w:sz w:val="20"/>
                <w:szCs w:val="20"/>
                <w:color w:val="auto"/>
              </w:rPr>
            </w:pPr>
            <w:r>
              <w:rPr>
                <w:rFonts w:ascii="Arial" w:cs="Arial" w:eastAsia="Arial" w:hAnsi="Arial"/>
                <w:sz w:val="16"/>
                <w:szCs w:val="16"/>
                <w:color w:val="auto"/>
              </w:rPr>
              <w:t>Non-cash lease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4"/>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extinguishment of debt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60" w:type="dxa"/>
            <w:vAlign w:val="bottom"/>
          </w:tcPr>
          <w:p>
            <w:pPr>
              <w:ind w:left="240"/>
              <w:spacing w:after="0"/>
              <w:rPr>
                <w:sz w:val="20"/>
                <w:szCs w:val="20"/>
                <w:color w:val="auto"/>
              </w:rPr>
            </w:pPr>
            <w:r>
              <w:rPr>
                <w:rFonts w:ascii="Arial" w:cs="Arial" w:eastAsia="Arial" w:hAnsi="Arial"/>
                <w:sz w:val="16"/>
                <w:szCs w:val="16"/>
                <w:color w:val="auto"/>
              </w:rPr>
              <w:t>Amortization of debt issuance costs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operating assets and liabilities: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9"/>
        </w:trPr>
        <w:tc>
          <w:tcPr>
            <w:tcW w:w="6360" w:type="dxa"/>
            <w:vAlign w:val="bottom"/>
          </w:tcPr>
          <w:p>
            <w:pPr>
              <w:ind w:left="44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(4,567)</w:t>
            </w:r>
          </w:p>
        </w:tc>
      </w:tr>
      <w:tr>
        <w:trPr>
          <w:trHeight w:val="215"/>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Inventory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(7,970)</w:t>
            </w:r>
          </w:p>
        </w:tc>
      </w:tr>
      <w:tr>
        <w:trPr>
          <w:trHeight w:val="209"/>
        </w:trPr>
        <w:tc>
          <w:tcPr>
            <w:tcW w:w="6360" w:type="dxa"/>
            <w:vAlign w:val="bottom"/>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(2,526)</w:t>
            </w:r>
          </w:p>
        </w:tc>
      </w:tr>
      <w:tr>
        <w:trPr>
          <w:trHeight w:val="214"/>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Due to/from related parties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r>
      <w:tr>
        <w:trPr>
          <w:trHeight w:val="210"/>
        </w:trPr>
        <w:tc>
          <w:tcPr>
            <w:tcW w:w="6360" w:type="dxa"/>
            <w:vAlign w:val="bottom"/>
          </w:tcPr>
          <w:p>
            <w:pPr>
              <w:ind w:left="44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(4,395)</w:t>
            </w:r>
          </w:p>
        </w:tc>
      </w:tr>
      <w:tr>
        <w:trPr>
          <w:trHeight w:val="214"/>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 and accrued expenses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12,847</w:t>
            </w:r>
          </w:p>
        </w:tc>
      </w:tr>
      <w:tr>
        <w:trPr>
          <w:trHeight w:val="210"/>
        </w:trPr>
        <w:tc>
          <w:tcPr>
            <w:tcW w:w="6360" w:type="dxa"/>
            <w:vAlign w:val="bottom"/>
          </w:tcPr>
          <w:p>
            <w:pPr>
              <w:ind w:left="440"/>
              <w:spacing w:after="0"/>
              <w:rPr>
                <w:sz w:val="20"/>
                <w:szCs w:val="20"/>
                <w:color w:val="auto"/>
              </w:rPr>
            </w:pPr>
            <w:r>
              <w:rPr>
                <w:rFonts w:ascii="Arial" w:cs="Arial" w:eastAsia="Arial" w:hAnsi="Arial"/>
                <w:sz w:val="16"/>
                <w:szCs w:val="16"/>
                <w:color w:val="auto"/>
              </w:rPr>
              <w:t>Contract liabilities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2,342</w:t>
            </w:r>
          </w:p>
        </w:tc>
      </w:tr>
      <w:tr>
        <w:trPr>
          <w:trHeight w:val="212"/>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current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4,451</w:t>
            </w:r>
          </w:p>
        </w:tc>
      </w:tr>
      <w:tr>
        <w:trPr>
          <w:trHeight w:val="208"/>
        </w:trPr>
        <w:tc>
          <w:tcPr>
            <w:tcW w:w="636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(190,434)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(93,128)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(18,728)</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9"/>
        </w:trPr>
        <w:tc>
          <w:tcPr>
            <w:tcW w:w="6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(11,923)</w:t>
            </w:r>
          </w:p>
        </w:tc>
      </w:tr>
      <w:tr>
        <w:trPr>
          <w:trHeight w:val="21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Development of internal-use software assets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w:t>
            </w:r>
          </w:p>
        </w:tc>
      </w:tr>
      <w:tr>
        <w:trPr>
          <w:trHeight w:val="23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(20,786)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w w:val="90"/>
              </w:rPr>
              <w:t>Proceeds from issuance of Series B redeemable convertible preferred stock, net of issuance costs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118,824</w:t>
            </w: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Proceeds from issuance of Series C redeemable convertible preferred stock, net of issuance costs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Proceeds from PIPE issuance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equity infusion from the merger, net of redemptions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color w:val="auto"/>
              </w:rPr>
              <w:t>Legacy Sema4 Shareholder payout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(230,665)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transaction costs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Stock Appreciation Rights payout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long-term debt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contributions from ISMMS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30,897</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Proceeds from long-term debt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principal payments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color w:val="auto"/>
              </w:rPr>
              <w:t>Debt issuance costs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lease principal payments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(1,709)</w:t>
            </w:r>
          </w:p>
        </w:tc>
      </w:tr>
      <w:tr>
        <w:trPr>
          <w:trHeight w:val="208"/>
        </w:trPr>
        <w:tc>
          <w:tcPr>
            <w:tcW w:w="636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493,729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129,056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148,012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9"/>
        </w:trPr>
        <w:tc>
          <w:tcPr>
            <w:tcW w:w="6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282,509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113,828</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118,960</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115,006</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w:t>
            </w:r>
          </w:p>
        </w:tc>
      </w:tr>
      <w:tr>
        <w:trPr>
          <w:trHeight w:val="200"/>
        </w:trPr>
        <w:tc>
          <w:tcPr>
            <w:tcW w:w="63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401,469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118,960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115,006</w:t>
            </w: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100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2,751</w:t>
            </w:r>
          </w:p>
        </w:tc>
        <w:tc>
          <w:tcPr>
            <w:tcW w:w="68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1,745</w:t>
            </w:r>
          </w:p>
        </w:tc>
        <w:tc>
          <w:tcPr>
            <w:tcW w:w="70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14"/>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taxes</w:t>
            </w:r>
          </w:p>
        </w:tc>
        <w:tc>
          <w:tcPr>
            <w:tcW w:w="100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349</w:t>
            </w:r>
          </w:p>
        </w:tc>
        <w:tc>
          <w:tcPr>
            <w:tcW w:w="6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Purchases of property and equipment in accounts payable and accrued expenses</w:t>
            </w:r>
          </w:p>
        </w:tc>
        <w:tc>
          <w:tcPr>
            <w:tcW w:w="100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761</w:t>
            </w:r>
          </w:p>
        </w:tc>
        <w:tc>
          <w:tcPr>
            <w:tcW w:w="68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447</w:t>
            </w:r>
          </w:p>
        </w:tc>
        <w:tc>
          <w:tcPr>
            <w:tcW w:w="70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818</w:t>
            </w:r>
          </w:p>
        </w:tc>
      </w:tr>
      <w:tr>
        <w:trPr>
          <w:trHeight w:val="215"/>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development costs in accounts payable and accrued expenses</w:t>
            </w:r>
          </w:p>
        </w:tc>
        <w:tc>
          <w:tcPr>
            <w:tcW w:w="100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1,149</w:t>
            </w:r>
          </w:p>
        </w:tc>
        <w:tc>
          <w:tcPr>
            <w:tcW w:w="6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1,473</w:t>
            </w:r>
          </w:p>
        </w:tc>
        <w:tc>
          <w:tcPr>
            <w:tcW w:w="70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w w:val="95"/>
              </w:rPr>
              <w:t>Non-cash Series A redeemable convertible preferred stock dividends declared and paid</w:t>
            </w:r>
          </w:p>
        </w:tc>
        <w:tc>
          <w:tcPr>
            <w:tcW w:w="100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3,039</w:t>
            </w:r>
          </w:p>
        </w:tc>
      </w:tr>
      <w:tr>
        <w:trPr>
          <w:trHeight w:val="214"/>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issuance costs incurred but unpaid</w:t>
            </w:r>
          </w:p>
        </w:tc>
        <w:tc>
          <w:tcPr>
            <w:tcW w:w="100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1,000</w:t>
            </w:r>
          </w:p>
        </w:tc>
        <w:tc>
          <w:tcPr>
            <w:tcW w:w="6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Organization and Description of Business</w:t>
      </w:r>
    </w:p>
    <w:p>
      <w:pPr>
        <w:spacing w:after="0" w:line="183"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Sema4 Holdings Corp., formerly Mount Sinai Genomics Inc., a Delaware corporation (“Legacy Sema4”), as discussed further below,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In 2020, the Legacy Sema4 began to provide diagnostic testing services in response to the outbreak of the coronavirus (“COVID-19”) pandemic. On December 15, 2021, it was announced that COVID-19 testing services would be discontinued by March 31, 2022. Legacy Sema4 primarily serves healthcare professionals who work with their patients and bills third-party payors across the United States, with a substantial portion of its diagnostic testing volume occurring in New York, California, Florida, Connecticut and New Jersey.</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On July 22, 2021 (the “Closing Date”), CM Life Sciences, Inc. (“CMLS”) completed the acquisition of Legacy Sema4, pursuant to that certain Agreement and Plan of Merger (as amended, the “Merger Agreement”), dated February 9, 2021. On the Closing Date, S-IV Sub, Inc. (“Merger Sub”) merged with and into the Legacy Sema4, with Legacy Sema4 surviving the merger as a wholly-owned subsidiary of CMLS (the “Merger” and, together with the other transactions contemplated by the Merger Agreement, the “Business Combination”). In connection with the consummation of the Business Combination, CMLS changed its name to “Sema4 Holdings Corp.” (“Sema4 Holdings”) and Legacy Sema4 changed its name to “Sema4 OpCo, Inc.” All equity securities of Legacy Sema4 were converted into the right to receive the applicable portion of the merger consideration.</w:t>
      </w:r>
    </w:p>
    <w:p>
      <w:pPr>
        <w:spacing w:after="0" w:line="1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Merger was accounted for as a reverse recapitalization with Legacy Sema4 as the accounting acquirer and CMLS as the acquired company for accounting purposes. The shares and net loss per common share, prior to the Merger, have been retroactively restated as shares reflecting the exchange ratio established in the Merger (1 share of Legacy Sema4 Class A common stock for 123.8339 shares of Sema4 Holdings Class A common stock) (the “Conversion Ratio”).</w:t>
      </w:r>
    </w:p>
    <w:p>
      <w:pPr>
        <w:spacing w:after="0" w:line="1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Prior to the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 See Note 3, “Business Combination,” for additional details.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Unless otherwise stated herein or unless the context otherwise requires, references in these notes to the “Company,” or “Sema4” refer to (i) Legacy Sema4 prior to the consummation of the Business Combination; and (ii) Sema4 Holdings and its subsidiary following the consummation of the Business Combination.</w:t>
      </w:r>
    </w:p>
    <w:p>
      <w:pPr>
        <w:spacing w:after="0" w:line="36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The Company’s historical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6" w:name="page117"/>
    <w:bookmarkEnd w:id="116"/>
    <w:p>
      <w:pPr>
        <w:ind w:left="1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0"/>
        <w:spacing w:after="0" w:line="264" w:lineRule="auto"/>
        <w:rPr>
          <w:sz w:val="20"/>
          <w:szCs w:val="20"/>
          <w:color w:val="auto"/>
        </w:rPr>
      </w:pPr>
      <w:r>
        <w:rPr>
          <w:rFonts w:ascii="Arial" w:cs="Arial" w:eastAsia="Arial" w:hAnsi="Arial"/>
          <w:sz w:val="18"/>
          <w:szCs w:val="18"/>
          <w:color w:val="auto"/>
        </w:rPr>
        <w:t>information includes costs of certain services historically provided by Icahn School of Medicine at Mount Sinai (“ISMMS”) pursuant to the Transition Services Agreement ("TSA") and service.</w:t>
      </w: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Restatement – 2020 and 2019 annual statements of operations and comprehensive loss</w:t>
      </w:r>
    </w:p>
    <w:p>
      <w:pPr>
        <w:spacing w:after="0" w:line="200" w:lineRule="exact"/>
        <w:rPr>
          <w:sz w:val="20"/>
          <w:szCs w:val="20"/>
          <w:color w:val="auto"/>
        </w:rPr>
      </w:pPr>
    </w:p>
    <w:p>
      <w:pPr>
        <w:spacing w:after="0" w:line="203" w:lineRule="exact"/>
        <w:rPr>
          <w:sz w:val="20"/>
          <w:szCs w:val="20"/>
          <w:color w:val="auto"/>
        </w:rPr>
      </w:pPr>
    </w:p>
    <w:p>
      <w:pPr>
        <w:ind w:left="100" w:firstLine="318"/>
        <w:spacing w:after="0" w:line="264" w:lineRule="auto"/>
        <w:rPr>
          <w:sz w:val="20"/>
          <w:szCs w:val="20"/>
          <w:color w:val="auto"/>
        </w:rPr>
      </w:pPr>
      <w:r>
        <w:rPr>
          <w:rFonts w:ascii="Arial" w:cs="Arial" w:eastAsia="Arial" w:hAnsi="Arial"/>
          <w:sz w:val="18"/>
          <w:szCs w:val="18"/>
          <w:color w:val="auto"/>
        </w:rPr>
        <w:t>The Company classifies expenses incurred that directly relate to the delivery of revenue as cost of services in its consolidated statements of operations and comprehensive loss.</w:t>
      </w:r>
    </w:p>
    <w:p>
      <w:pPr>
        <w:spacing w:after="0" w:line="194" w:lineRule="exact"/>
        <w:rPr>
          <w:sz w:val="20"/>
          <w:szCs w:val="20"/>
          <w:color w:val="auto"/>
        </w:rPr>
      </w:pPr>
    </w:p>
    <w:p>
      <w:pPr>
        <w:ind w:left="100" w:right="660" w:firstLine="318"/>
        <w:spacing w:after="0" w:line="293" w:lineRule="auto"/>
        <w:rPr>
          <w:sz w:val="20"/>
          <w:szCs w:val="20"/>
          <w:color w:val="auto"/>
        </w:rPr>
      </w:pPr>
      <w:r>
        <w:rPr>
          <w:rFonts w:ascii="Arial" w:cs="Arial" w:eastAsia="Arial" w:hAnsi="Arial"/>
          <w:sz w:val="15"/>
          <w:szCs w:val="15"/>
          <w:color w:val="auto"/>
        </w:rPr>
        <w:t>As a result of expanded accounting resources, the Company identified the misclassification of certain expenses related to the genetic counseling department reported in cost of services that should have been reported in selling and marketing in the prior period financial statements. The Company quantified the amount and determined it necessary to restate its previously reported balances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7"/>
              </w:rPr>
              <w:t>December 31, 2020</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7"/>
              </w:rPr>
              <w:t>December 31, 2019</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vMerge w:val="restart"/>
          </w:tcPr>
          <w:p>
            <w:pPr>
              <w:jc w:val="right"/>
              <w:ind w:right="112"/>
              <w:spacing w:after="0"/>
              <w:rPr>
                <w:sz w:val="20"/>
                <w:szCs w:val="20"/>
                <w:color w:val="auto"/>
              </w:rPr>
            </w:pPr>
            <w:r>
              <w:rPr>
                <w:rFonts w:ascii="Arial" w:cs="Arial" w:eastAsia="Arial" w:hAnsi="Arial"/>
                <w:sz w:val="18"/>
                <w:szCs w:val="18"/>
                <w:color w:val="auto"/>
              </w:rPr>
              <w:t>As reported</w:t>
            </w:r>
          </w:p>
        </w:tc>
        <w:tc>
          <w:tcPr>
            <w:tcW w:w="1620" w:type="dxa"/>
            <w:vAlign w:val="bottom"/>
          </w:tcPr>
          <w:p>
            <w:pPr>
              <w:jc w:val="right"/>
              <w:ind w:right="452"/>
              <w:spacing w:after="0" w:line="167" w:lineRule="exact"/>
              <w:rPr>
                <w:sz w:val="20"/>
                <w:szCs w:val="20"/>
                <w:color w:val="auto"/>
              </w:rPr>
            </w:pPr>
            <w:r>
              <w:rPr>
                <w:rFonts w:ascii="Arial" w:cs="Arial" w:eastAsia="Arial" w:hAnsi="Arial"/>
                <w:sz w:val="18"/>
                <w:szCs w:val="18"/>
                <w:color w:val="auto"/>
              </w:rPr>
              <w:t>Misclass-</w:t>
            </w:r>
          </w:p>
        </w:tc>
        <w:tc>
          <w:tcPr>
            <w:tcW w:w="12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Restated</w:t>
            </w:r>
          </w:p>
        </w:tc>
        <w:tc>
          <w:tcPr>
            <w:tcW w:w="1200" w:type="dxa"/>
            <w:vAlign w:val="bottom"/>
            <w:vMerge w:val="restart"/>
          </w:tcPr>
          <w:p>
            <w:pPr>
              <w:jc w:val="right"/>
              <w:ind w:right="132"/>
              <w:spacing w:after="0"/>
              <w:rPr>
                <w:sz w:val="20"/>
                <w:szCs w:val="20"/>
                <w:color w:val="auto"/>
              </w:rPr>
            </w:pPr>
            <w:r>
              <w:rPr>
                <w:rFonts w:ascii="Arial" w:cs="Arial" w:eastAsia="Arial" w:hAnsi="Arial"/>
                <w:sz w:val="18"/>
                <w:szCs w:val="18"/>
                <w:color w:val="auto"/>
              </w:rPr>
              <w:t>As reported</w:t>
            </w:r>
          </w:p>
        </w:tc>
        <w:tc>
          <w:tcPr>
            <w:tcW w:w="1620" w:type="dxa"/>
            <w:vAlign w:val="bottom"/>
          </w:tcPr>
          <w:p>
            <w:pPr>
              <w:jc w:val="right"/>
              <w:ind w:right="472"/>
              <w:spacing w:after="0" w:line="167" w:lineRule="exact"/>
              <w:rPr>
                <w:sz w:val="20"/>
                <w:szCs w:val="20"/>
                <w:color w:val="auto"/>
              </w:rPr>
            </w:pPr>
            <w:r>
              <w:rPr>
                <w:rFonts w:ascii="Arial" w:cs="Arial" w:eastAsia="Arial" w:hAnsi="Arial"/>
                <w:sz w:val="18"/>
                <w:szCs w:val="18"/>
                <w:color w:val="auto"/>
              </w:rPr>
              <w:t>Misclass-</w:t>
            </w:r>
          </w:p>
        </w:tc>
        <w:tc>
          <w:tcPr>
            <w:tcW w:w="110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w w:val="99"/>
              </w:rPr>
              <w:t>Restated</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620" w:type="dxa"/>
            <w:vAlign w:val="bottom"/>
          </w:tcPr>
          <w:p>
            <w:pPr>
              <w:jc w:val="right"/>
              <w:ind w:right="472"/>
              <w:spacing w:after="0"/>
              <w:rPr>
                <w:sz w:val="20"/>
                <w:szCs w:val="20"/>
                <w:color w:val="auto"/>
              </w:rPr>
            </w:pPr>
            <w:r>
              <w:rPr>
                <w:rFonts w:ascii="Arial" w:cs="Arial" w:eastAsia="Arial" w:hAnsi="Arial"/>
                <w:sz w:val="18"/>
                <w:szCs w:val="18"/>
                <w:color w:val="auto"/>
              </w:rPr>
              <w:t>ification</w:t>
            </w:r>
          </w:p>
        </w:tc>
        <w:tc>
          <w:tcPr>
            <w:tcW w:w="12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620" w:type="dxa"/>
            <w:vAlign w:val="bottom"/>
          </w:tcPr>
          <w:p>
            <w:pPr>
              <w:jc w:val="right"/>
              <w:ind w:right="472"/>
              <w:spacing w:after="0"/>
              <w:rPr>
                <w:sz w:val="20"/>
                <w:szCs w:val="20"/>
                <w:color w:val="auto"/>
              </w:rPr>
            </w:pPr>
            <w:r>
              <w:rPr>
                <w:rFonts w:ascii="Arial" w:cs="Arial" w:eastAsia="Arial" w:hAnsi="Arial"/>
                <w:sz w:val="18"/>
                <w:szCs w:val="18"/>
                <w:color w:val="auto"/>
              </w:rPr>
              <w:t>ification</w:t>
            </w: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6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179,322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62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196,174</w:t>
            </w:r>
          </w:p>
        </w:tc>
        <w:tc>
          <w:tcPr>
            <w:tcW w:w="0" w:type="dxa"/>
            <w:vAlign w:val="bottom"/>
          </w:tcPr>
          <w:p>
            <w:pPr>
              <w:spacing w:after="0"/>
              <w:rPr>
                <w:sz w:val="1"/>
                <w:szCs w:val="1"/>
                <w:color w:val="auto"/>
              </w:rPr>
            </w:pPr>
          </w:p>
        </w:tc>
      </w:tr>
      <w:tr>
        <w:trPr>
          <w:trHeight w:val="225"/>
        </w:trPr>
        <w:tc>
          <w:tcPr>
            <w:tcW w:w="338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1180" w:type="dxa"/>
            <w:vAlign w:val="bottom"/>
          </w:tcPr>
          <w:p>
            <w:pPr>
              <w:jc w:val="right"/>
              <w:spacing w:after="0"/>
              <w:rPr>
                <w:sz w:val="20"/>
                <w:szCs w:val="20"/>
                <w:color w:val="auto"/>
              </w:rPr>
            </w:pPr>
            <w:r>
              <w:rPr>
                <w:rFonts w:ascii="Arial" w:cs="Arial" w:eastAsia="Arial" w:hAnsi="Arial"/>
                <w:sz w:val="18"/>
                <w:szCs w:val="18"/>
                <w:color w:val="auto"/>
              </w:rPr>
              <w:t>184,648</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(9,352)</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175,296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119,623</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(6,234)</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113,389</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9"/>
                <w:szCs w:val="19"/>
                <w:color w:val="auto"/>
              </w:rPr>
            </w:pPr>
          </w:p>
        </w:tc>
        <w:tc>
          <w:tcPr>
            <w:tcW w:w="3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6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9,352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4,026</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76,551</w:t>
            </w:r>
          </w:p>
        </w:tc>
        <w:tc>
          <w:tcPr>
            <w:tcW w:w="162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6,234</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82,785</w:t>
            </w:r>
          </w:p>
        </w:tc>
        <w:tc>
          <w:tcPr>
            <w:tcW w:w="0" w:type="dxa"/>
            <w:vAlign w:val="bottom"/>
          </w:tcPr>
          <w:p>
            <w:pPr>
              <w:spacing w:after="0"/>
              <w:rPr>
                <w:sz w:val="1"/>
                <w:szCs w:val="1"/>
                <w:color w:val="auto"/>
              </w:rPr>
            </w:pPr>
          </w:p>
        </w:tc>
      </w:tr>
      <w:tr>
        <w:trPr>
          <w:trHeight w:val="218"/>
        </w:trPr>
        <w:tc>
          <w:tcPr>
            <w:tcW w:w="33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jc w:val="right"/>
              <w:spacing w:after="0"/>
              <w:rPr>
                <w:sz w:val="20"/>
                <w:szCs w:val="20"/>
                <w:color w:val="auto"/>
              </w:rPr>
            </w:pPr>
            <w:r>
              <w:rPr>
                <w:rFonts w:ascii="Arial" w:cs="Arial" w:eastAsia="Arial" w:hAnsi="Arial"/>
                <w:sz w:val="18"/>
                <w:szCs w:val="18"/>
                <w:color w:val="auto"/>
              </w:rPr>
              <w:t>72,700</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72,700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34,910</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34,910</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1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9,352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63,183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33,118</w:t>
            </w:r>
          </w:p>
        </w:tc>
        <w:tc>
          <w:tcPr>
            <w:tcW w:w="1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6,234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39,352</w:t>
            </w:r>
          </w:p>
        </w:tc>
        <w:tc>
          <w:tcPr>
            <w:tcW w:w="0" w:type="dxa"/>
            <w:vAlign w:val="bottom"/>
          </w:tcPr>
          <w:p>
            <w:pPr>
              <w:spacing w:after="0"/>
              <w:rPr>
                <w:sz w:val="1"/>
                <w:szCs w:val="1"/>
                <w:color w:val="auto"/>
              </w:rPr>
            </w:pPr>
          </w:p>
        </w:tc>
      </w:tr>
      <w:tr>
        <w:trPr>
          <w:trHeight w:val="225"/>
        </w:trPr>
        <w:tc>
          <w:tcPr>
            <w:tcW w:w="33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jc w:val="right"/>
              <w:spacing w:after="0"/>
              <w:rPr>
                <w:sz w:val="20"/>
                <w:szCs w:val="20"/>
                <w:color w:val="auto"/>
              </w:rPr>
            </w:pPr>
            <w:r>
              <w:rPr>
                <w:rFonts w:ascii="Arial" w:cs="Arial" w:eastAsia="Arial" w:hAnsi="Arial"/>
                <w:sz w:val="18"/>
                <w:szCs w:val="18"/>
                <w:color w:val="auto"/>
              </w:rPr>
              <w:t>100,742</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100,742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29,484</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29,484</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Related party expenses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9,395</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6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9,452</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9"/>
                <w:szCs w:val="19"/>
                <w:color w:val="auto"/>
              </w:rPr>
            </w:pPr>
          </w:p>
        </w:tc>
        <w:tc>
          <w:tcPr>
            <w:tcW w:w="33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Loss from operations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(241,994)</w:t>
            </w:r>
          </w:p>
        </w:tc>
        <w:tc>
          <w:tcPr>
            <w:tcW w:w="1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(241,994)</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(30,413)</w:t>
            </w:r>
          </w:p>
        </w:tc>
        <w:tc>
          <w:tcPr>
            <w:tcW w:w="1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(30,413)</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6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Net loss and comprehensive loss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(241,340)</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(29,704)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100" w:right="260" w:firstLine="318"/>
        <w:spacing w:after="0" w:line="244" w:lineRule="auto"/>
        <w:rPr>
          <w:sz w:val="20"/>
          <w:szCs w:val="20"/>
          <w:color w:val="auto"/>
        </w:rPr>
      </w:pPr>
      <w:r>
        <w:rPr>
          <w:rFonts w:ascii="Arial" w:cs="Arial" w:eastAsia="Arial" w:hAnsi="Arial"/>
          <w:sz w:val="17"/>
          <w:szCs w:val="17"/>
          <w:color w:val="auto"/>
        </w:rPr>
        <w:t>This misclassification did not have any impact to the Company's net loss or net loss per share as reported in the statements of operations and comprehensive loss in any interim or annual periods. Included in the misclassification amount is stock-based compensation expense of $1 million for 2020. There was no impact of misclassification for 2019 related to stock-based compensation expense.</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Restatement – 2021 and 2020 interim financial statements (unaudited)</w:t>
      </w:r>
    </w:p>
    <w:p>
      <w:pPr>
        <w:spacing w:after="0" w:line="151" w:lineRule="exact"/>
        <w:rPr>
          <w:sz w:val="20"/>
          <w:szCs w:val="20"/>
          <w:color w:val="auto"/>
        </w:rPr>
      </w:pPr>
    </w:p>
    <w:p>
      <w:pPr>
        <w:ind w:left="100" w:right="200" w:firstLine="318"/>
        <w:spacing w:after="0" w:line="237" w:lineRule="auto"/>
        <w:rPr>
          <w:sz w:val="20"/>
          <w:szCs w:val="20"/>
          <w:color w:val="auto"/>
        </w:rPr>
      </w:pPr>
      <w:r>
        <w:rPr>
          <w:rFonts w:ascii="Arial" w:cs="Arial" w:eastAsia="Arial" w:hAnsi="Arial"/>
          <w:sz w:val="18"/>
          <w:szCs w:val="18"/>
          <w:color w:val="auto"/>
        </w:rPr>
        <w:t>Additionally, the Company has identified quarterly out of period adjustments generally related to recognition of cost of services in the quarterly periods ended March 31, 2021, June 30, 2021 and September 30, 2021. The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166370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220" w:top="127" w:right="339" w:bottom="1440" w:gutter="0" w:footer="0" w:header="0"/>
        </w:sectPr>
      </w:pPr>
    </w:p>
    <w:bookmarkStart w:id="117" w:name="page118"/>
    <w:bookmarkEnd w:id="117"/>
    <w:p>
      <w:pPr>
        <w:ind w:left="8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0" w:right="80"/>
        <w:spacing w:after="0" w:line="237" w:lineRule="auto"/>
        <w:rPr>
          <w:sz w:val="20"/>
          <w:szCs w:val="20"/>
          <w:color w:val="auto"/>
        </w:rPr>
      </w:pPr>
      <w:r>
        <w:rPr>
          <w:rFonts w:ascii="Arial" w:cs="Arial" w:eastAsia="Arial" w:hAnsi="Arial"/>
          <w:sz w:val="18"/>
          <w:szCs w:val="18"/>
          <w:color w:val="auto"/>
        </w:rPr>
        <w:t>of the misclassification and quarterly out of period adjustments identified on each of the three months periods in the year ended December 31, 2021 and 2020 are disclosed as follows (in thousands):</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2021 interim statements of operations and comprehensive loss (in thousands)</w:t>
      </w:r>
    </w:p>
    <w:p>
      <w:pPr>
        <w:spacing w:after="0" w:line="249" w:lineRule="exact"/>
        <w:rPr>
          <w:sz w:val="20"/>
          <w:szCs w:val="20"/>
          <w:color w:val="auto"/>
        </w:rPr>
      </w:pPr>
    </w:p>
    <w:tbl>
      <w:tblPr>
        <w:tblLayout w:type="fixed"/>
        <w:tblInd w:w="80" w:type="dxa"/>
        <w:tblCellMar>
          <w:top w:w="0" w:type="dxa"/>
          <w:left w:w="0" w:type="dxa"/>
          <w:bottom w:w="0" w:type="dxa"/>
          <w:right w:w="0" w:type="dxa"/>
        </w:tblCellMar>
      </w:tblPr>
      <w:tr>
        <w:trPr>
          <w:trHeight w:val="146"/>
        </w:trPr>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9"/>
              <w:spacing w:after="0" w:line="146" w:lineRule="exact"/>
              <w:rPr>
                <w:sz w:val="20"/>
                <w:szCs w:val="20"/>
                <w:color w:val="auto"/>
              </w:rPr>
            </w:pPr>
            <w:r>
              <w:rPr>
                <w:rFonts w:ascii="Arial" w:cs="Arial" w:eastAsia="Arial" w:hAnsi="Arial"/>
                <w:sz w:val="14"/>
                <w:szCs w:val="14"/>
                <w:b w:val="1"/>
                <w:bCs w:val="1"/>
                <w:color w:val="auto"/>
              </w:rPr>
              <w:t>First</w:t>
            </w:r>
          </w:p>
        </w:tc>
        <w:tc>
          <w:tcPr>
            <w:tcW w:w="10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Second</w:t>
            </w:r>
          </w:p>
        </w:tc>
        <w:tc>
          <w:tcPr>
            <w:tcW w:w="10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jc w:val="center"/>
              <w:ind w:right="89"/>
              <w:spacing w:after="0"/>
              <w:rPr>
                <w:sz w:val="20"/>
                <w:szCs w:val="20"/>
                <w:color w:val="auto"/>
              </w:rPr>
            </w:pPr>
            <w:r>
              <w:rPr>
                <w:rFonts w:ascii="Arial" w:cs="Arial" w:eastAsia="Arial" w:hAnsi="Arial"/>
                <w:sz w:val="14"/>
                <w:szCs w:val="14"/>
                <w:b w:val="1"/>
                <w:bCs w:val="1"/>
                <w:color w:val="auto"/>
                <w:w w:val="94"/>
              </w:rPr>
              <w:t>Quarter</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jc w:val="right"/>
              <w:ind w:right="909"/>
              <w:spacing w:after="0"/>
              <w:rPr>
                <w:sz w:val="20"/>
                <w:szCs w:val="20"/>
                <w:color w:val="auto"/>
              </w:rPr>
            </w:pPr>
            <w:r>
              <w:rPr>
                <w:rFonts w:ascii="Arial" w:cs="Arial" w:eastAsia="Arial" w:hAnsi="Arial"/>
                <w:sz w:val="14"/>
                <w:szCs w:val="14"/>
                <w:b w:val="1"/>
                <w:bCs w:val="1"/>
                <w:color w:val="auto"/>
              </w:rPr>
              <w:t>Quarter</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120" w:type="dxa"/>
            <w:vAlign w:val="bottom"/>
          </w:tcPr>
          <w:p>
            <w:pPr>
              <w:jc w:val="right"/>
              <w:ind w:right="429"/>
              <w:spacing w:after="0" w:line="127" w:lineRule="exact"/>
              <w:rPr>
                <w:sz w:val="20"/>
                <w:szCs w:val="20"/>
                <w:color w:val="auto"/>
              </w:rPr>
            </w:pPr>
            <w:r>
              <w:rPr>
                <w:rFonts w:ascii="Arial" w:cs="Arial" w:eastAsia="Arial" w:hAnsi="Arial"/>
                <w:sz w:val="14"/>
                <w:szCs w:val="14"/>
                <w:color w:val="auto"/>
              </w:rPr>
              <w:t>As</w:t>
            </w: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Restated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right"/>
              <w:ind w:right="480"/>
              <w:spacing w:after="0" w:line="127" w:lineRule="exact"/>
              <w:rPr>
                <w:sz w:val="20"/>
                <w:szCs w:val="20"/>
                <w:color w:val="auto"/>
              </w:rPr>
            </w:pPr>
            <w:r>
              <w:rPr>
                <w:rFonts w:ascii="Arial" w:cs="Arial" w:eastAsia="Arial" w:hAnsi="Arial"/>
                <w:sz w:val="14"/>
                <w:szCs w:val="14"/>
                <w:color w:val="auto"/>
              </w:rPr>
              <w:t>As</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vMerge w:val="restart"/>
          </w:tcPr>
          <w:p>
            <w:pPr>
              <w:jc w:val="right"/>
              <w:ind w:right="229"/>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20" w:type="dxa"/>
            <w:vAlign w:val="bottom"/>
            <w:vMerge w:val="restart"/>
          </w:tcPr>
          <w:p>
            <w:pPr>
              <w:jc w:val="right"/>
              <w:ind w:right="249"/>
              <w:spacing w:after="0"/>
              <w:rPr>
                <w:sz w:val="20"/>
                <w:szCs w:val="20"/>
                <w:color w:val="auto"/>
              </w:rPr>
            </w:pPr>
            <w:r>
              <w:rPr>
                <w:rFonts w:ascii="Arial" w:cs="Arial" w:eastAsia="Arial" w:hAnsi="Arial"/>
                <w:sz w:val="14"/>
                <w:szCs w:val="14"/>
                <w:color w:val="auto"/>
              </w:rPr>
              <w:t>reported</w:t>
            </w:r>
          </w:p>
        </w:tc>
        <w:tc>
          <w:tcPr>
            <w:tcW w:w="1280" w:type="dxa"/>
            <w:vAlign w:val="bottom"/>
            <w:vMerge w:val="restart"/>
          </w:tcPr>
          <w:p>
            <w:pPr>
              <w:jc w:val="right"/>
              <w:ind w:right="169"/>
              <w:spacing w:after="0"/>
              <w:rPr>
                <w:sz w:val="20"/>
                <w:szCs w:val="20"/>
                <w:color w:val="auto"/>
              </w:rPr>
            </w:pPr>
            <w:r>
              <w:rPr>
                <w:rFonts w:ascii="Arial" w:cs="Arial" w:eastAsia="Arial" w:hAnsi="Arial"/>
                <w:sz w:val="14"/>
                <w:szCs w:val="14"/>
                <w:color w:val="auto"/>
                <w:w w:val="96"/>
              </w:rPr>
              <w:t>Misclass-ification</w:t>
            </w:r>
          </w:p>
        </w:tc>
        <w:tc>
          <w:tcPr>
            <w:tcW w:w="1040" w:type="dxa"/>
            <w:vAlign w:val="bottom"/>
            <w:vMerge w:val="restart"/>
          </w:tcPr>
          <w:p>
            <w:pPr>
              <w:jc w:val="right"/>
              <w:ind w:right="289"/>
              <w:spacing w:after="0"/>
              <w:rPr>
                <w:sz w:val="20"/>
                <w:szCs w:val="20"/>
                <w:color w:val="auto"/>
              </w:rPr>
            </w:pPr>
            <w:r>
              <w:rPr>
                <w:rFonts w:ascii="Arial" w:cs="Arial" w:eastAsia="Arial" w:hAnsi="Arial"/>
                <w:sz w:val="14"/>
                <w:szCs w:val="14"/>
                <w:color w:val="auto"/>
                <w:w w:val="94"/>
              </w:rPr>
              <w:t>Adjustment</w:t>
            </w: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reported</w:t>
            </w:r>
          </w:p>
        </w:tc>
        <w:tc>
          <w:tcPr>
            <w:tcW w:w="1300" w:type="dxa"/>
            <w:vAlign w:val="bottom"/>
            <w:vMerge w:val="restart"/>
          </w:tcPr>
          <w:p>
            <w:pPr>
              <w:jc w:val="right"/>
              <w:ind w:right="189"/>
              <w:spacing w:after="0"/>
              <w:rPr>
                <w:sz w:val="20"/>
                <w:szCs w:val="20"/>
                <w:color w:val="auto"/>
              </w:rPr>
            </w:pPr>
            <w:r>
              <w:rPr>
                <w:rFonts w:ascii="Arial" w:cs="Arial" w:eastAsia="Arial" w:hAnsi="Arial"/>
                <w:sz w:val="14"/>
                <w:szCs w:val="14"/>
                <w:color w:val="auto"/>
                <w:w w:val="96"/>
              </w:rPr>
              <w:t>Misclass-ification</w:t>
            </w:r>
          </w:p>
        </w:tc>
        <w:tc>
          <w:tcPr>
            <w:tcW w:w="1020" w:type="dxa"/>
            <w:vAlign w:val="bottom"/>
            <w:vMerge w:val="restart"/>
          </w:tcPr>
          <w:p>
            <w:pPr>
              <w:jc w:val="right"/>
              <w:ind w:right="289"/>
              <w:spacing w:after="0"/>
              <w:rPr>
                <w:sz w:val="20"/>
                <w:szCs w:val="20"/>
                <w:color w:val="auto"/>
              </w:rPr>
            </w:pPr>
            <w:r>
              <w:rPr>
                <w:rFonts w:ascii="Arial" w:cs="Arial" w:eastAsia="Arial" w:hAnsi="Arial"/>
                <w:sz w:val="14"/>
                <w:szCs w:val="14"/>
                <w:color w:val="auto"/>
                <w:w w:val="91"/>
              </w:rPr>
              <w:t>Adjustment</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280" w:type="dxa"/>
            <w:vAlign w:val="bottom"/>
            <w:tcBorders>
              <w:bottom w:val="single" w:sz="8" w:color="CCEEFF"/>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2"/>
            <w:vMerge w:val="continue"/>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64,351</w:t>
            </w:r>
          </w:p>
        </w:tc>
        <w:tc>
          <w:tcPr>
            <w:tcW w:w="12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64,201</w:t>
            </w:r>
          </w:p>
        </w:tc>
        <w:tc>
          <w:tcPr>
            <w:tcW w:w="100" w:type="dxa"/>
            <w:vAlign w:val="bottom"/>
          </w:tcPr>
          <w:p>
            <w:pPr>
              <w:spacing w:after="0"/>
              <w:rPr>
                <w:sz w:val="15"/>
                <w:szCs w:val="15"/>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46,865</w:t>
            </w:r>
          </w:p>
        </w:tc>
        <w:tc>
          <w:tcPr>
            <w:tcW w:w="13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150</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47,015</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services</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71,812</w:t>
            </w:r>
          </w:p>
        </w:tc>
        <w:tc>
          <w:tcPr>
            <w:tcW w:w="12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(3,837)</w:t>
            </w: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549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68,524</w:t>
            </w:r>
          </w:p>
        </w:tc>
        <w:tc>
          <w:tcPr>
            <w:tcW w:w="100" w:type="dxa"/>
            <w:vAlign w:val="bottom"/>
          </w:tcPr>
          <w:p>
            <w:pPr>
              <w:spacing w:after="0"/>
              <w:rPr>
                <w:sz w:val="16"/>
                <w:szCs w:val="16"/>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49,631</w:t>
            </w:r>
          </w:p>
        </w:tc>
        <w:tc>
          <w:tcPr>
            <w:tcW w:w="13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(2,287)</w:t>
            </w: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835</w:t>
            </w: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48,179</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(loss) profit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(7,461)</w:t>
            </w:r>
          </w:p>
        </w:tc>
        <w:tc>
          <w:tcPr>
            <w:tcW w:w="12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3,837</w:t>
            </w:r>
          </w:p>
        </w:tc>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(699)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(4,323)</w:t>
            </w:r>
          </w:p>
        </w:tc>
        <w:tc>
          <w:tcPr>
            <w:tcW w:w="100" w:type="dxa"/>
            <w:vAlign w:val="bottom"/>
          </w:tcPr>
          <w:p>
            <w:pPr>
              <w:spacing w:after="0"/>
              <w:rPr>
                <w:sz w:val="15"/>
                <w:szCs w:val="15"/>
                <w:color w:val="auto"/>
              </w:rPr>
            </w:pPr>
          </w:p>
        </w:tc>
        <w:tc>
          <w:tcPr>
            <w:tcW w:w="11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(2,766)</w:t>
            </w:r>
          </w:p>
        </w:tc>
        <w:tc>
          <w:tcPr>
            <w:tcW w:w="13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2,287</w:t>
            </w: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(685)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(1,164)</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53,131</w:t>
            </w:r>
          </w:p>
        </w:tc>
        <w:tc>
          <w:tcPr>
            <w:tcW w:w="12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2</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53,133</w:t>
            </w:r>
          </w:p>
        </w:tc>
        <w:tc>
          <w:tcPr>
            <w:tcW w:w="100" w:type="dxa"/>
            <w:vAlign w:val="bottom"/>
          </w:tcPr>
          <w:p>
            <w:pPr>
              <w:spacing w:after="0"/>
              <w:rPr>
                <w:sz w:val="15"/>
                <w:szCs w:val="15"/>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11,954</w:t>
            </w:r>
          </w:p>
        </w:tc>
        <w:tc>
          <w:tcPr>
            <w:tcW w:w="130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11,952</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and marketing</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31,569</w:t>
            </w:r>
          </w:p>
        </w:tc>
        <w:tc>
          <w:tcPr>
            <w:tcW w:w="12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3,837</w:t>
            </w: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35,366</w:t>
            </w:r>
          </w:p>
        </w:tc>
        <w:tc>
          <w:tcPr>
            <w:tcW w:w="100" w:type="dxa"/>
            <w:vAlign w:val="bottom"/>
          </w:tcPr>
          <w:p>
            <w:pPr>
              <w:spacing w:after="0"/>
              <w:rPr>
                <w:sz w:val="16"/>
                <w:szCs w:val="16"/>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16,247</w:t>
            </w:r>
          </w:p>
        </w:tc>
        <w:tc>
          <w:tcPr>
            <w:tcW w:w="13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2,287</w:t>
            </w:r>
          </w:p>
        </w:tc>
        <w:tc>
          <w:tcPr>
            <w:tcW w:w="10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40</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18,574</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101,917</w:t>
            </w:r>
          </w:p>
        </w:tc>
        <w:tc>
          <w:tcPr>
            <w:tcW w:w="12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121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102,038</w:t>
            </w:r>
          </w:p>
        </w:tc>
        <w:tc>
          <w:tcPr>
            <w:tcW w:w="100" w:type="dxa"/>
            <w:vAlign w:val="bottom"/>
          </w:tcPr>
          <w:p>
            <w:pPr>
              <w:spacing w:after="0"/>
              <w:rPr>
                <w:sz w:val="15"/>
                <w:szCs w:val="15"/>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12,794</w:t>
            </w:r>
          </w:p>
        </w:tc>
        <w:tc>
          <w:tcPr>
            <w:tcW w:w="130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9"/>
              <w:spacing w:after="0"/>
              <w:rPr>
                <w:sz w:val="20"/>
                <w:szCs w:val="20"/>
                <w:color w:val="auto"/>
              </w:rPr>
            </w:pPr>
            <w:r>
              <w:rPr>
                <w:rFonts w:ascii="Arial" w:cs="Arial" w:eastAsia="Arial" w:hAnsi="Arial"/>
                <w:sz w:val="14"/>
                <w:szCs w:val="14"/>
                <w:color w:val="auto"/>
              </w:rPr>
              <w:t>76</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12,870</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expenses</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1,797</w:t>
            </w:r>
          </w:p>
        </w:tc>
        <w:tc>
          <w:tcPr>
            <w:tcW w:w="12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1,797</w:t>
            </w:r>
          </w:p>
        </w:tc>
        <w:tc>
          <w:tcPr>
            <w:tcW w:w="100" w:type="dxa"/>
            <w:vAlign w:val="bottom"/>
          </w:tcPr>
          <w:p>
            <w:pPr>
              <w:spacing w:after="0"/>
              <w:rPr>
                <w:sz w:val="16"/>
                <w:szCs w:val="16"/>
                <w:color w:val="auto"/>
              </w:rPr>
            </w:pPr>
          </w:p>
        </w:tc>
        <w:tc>
          <w:tcPr>
            <w:tcW w:w="11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888</w:t>
            </w:r>
          </w:p>
        </w:tc>
        <w:tc>
          <w:tcPr>
            <w:tcW w:w="13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888</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from operations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(195,875)</w:t>
            </w:r>
          </w:p>
        </w:tc>
        <w:tc>
          <w:tcPr>
            <w:tcW w:w="12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(782)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(196,657)</w:t>
            </w:r>
          </w:p>
        </w:tc>
        <w:tc>
          <w:tcPr>
            <w:tcW w:w="100" w:type="dxa"/>
            <w:vAlign w:val="bottom"/>
          </w:tcPr>
          <w:p>
            <w:pPr>
              <w:spacing w:after="0"/>
              <w:rPr>
                <w:sz w:val="15"/>
                <w:szCs w:val="15"/>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(44,649)</w:t>
            </w:r>
          </w:p>
        </w:tc>
        <w:tc>
          <w:tcPr>
            <w:tcW w:w="13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(799)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(45,448)</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net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4,882</w:t>
            </w:r>
          </w:p>
        </w:tc>
        <w:tc>
          <w:tcPr>
            <w:tcW w:w="12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4,882</w:t>
            </w:r>
          </w:p>
        </w:tc>
        <w:tc>
          <w:tcPr>
            <w:tcW w:w="100" w:type="dxa"/>
            <w:vAlign w:val="bottom"/>
          </w:tcPr>
          <w:p>
            <w:pPr>
              <w:spacing w:after="0"/>
              <w:rPr>
                <w:sz w:val="15"/>
                <w:szCs w:val="15"/>
                <w:color w:val="auto"/>
              </w:rPr>
            </w:pPr>
          </w:p>
        </w:tc>
        <w:tc>
          <w:tcPr>
            <w:tcW w:w="11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(713)</w:t>
            </w:r>
          </w:p>
        </w:tc>
        <w:tc>
          <w:tcPr>
            <w:tcW w:w="13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(713)</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2280" w:type="dxa"/>
            <w:vAlign w:val="bottom"/>
          </w:tcPr>
          <w:p>
            <w:pPr>
              <w:ind w:left="20"/>
              <w:spacing w:after="0" w:line="113" w:lineRule="exact"/>
              <w:rPr>
                <w:sz w:val="20"/>
                <w:szCs w:val="20"/>
                <w:color w:val="auto"/>
              </w:rPr>
            </w:pPr>
            <w:r>
              <w:rPr>
                <w:rFonts w:ascii="Arial" w:cs="Arial" w:eastAsia="Arial" w:hAnsi="Arial"/>
                <w:sz w:val="13"/>
                <w:szCs w:val="13"/>
                <w:color w:val="auto"/>
              </w:rPr>
              <w:t>Net (loss) income and comprehensive</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(190,993)</w:t>
            </w:r>
          </w:p>
        </w:tc>
        <w:tc>
          <w:tcPr>
            <w:tcW w:w="128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89"/>
              <w:spacing w:after="0"/>
              <w:rPr>
                <w:sz w:val="20"/>
                <w:szCs w:val="20"/>
                <w:color w:val="auto"/>
              </w:rPr>
            </w:pPr>
            <w:r>
              <w:rPr>
                <w:rFonts w:ascii="Arial" w:cs="Arial" w:eastAsia="Arial" w:hAnsi="Arial"/>
                <w:sz w:val="14"/>
                <w:szCs w:val="14"/>
                <w:color w:val="auto"/>
              </w:rPr>
              <w:t>(782)</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(191,775)</w:t>
            </w:r>
          </w:p>
        </w:tc>
        <w:tc>
          <w:tcPr>
            <w:tcW w:w="1200" w:type="dxa"/>
            <w:vAlign w:val="bottom"/>
            <w:gridSpan w:val="4"/>
            <w:vMerge w:val="restart"/>
          </w:tcPr>
          <w:p>
            <w:pPr>
              <w:jc w:val="right"/>
              <w:ind w:right="40"/>
              <w:spacing w:after="0"/>
              <w:rPr>
                <w:sz w:val="20"/>
                <w:szCs w:val="20"/>
                <w:color w:val="auto"/>
              </w:rPr>
            </w:pPr>
            <w:r>
              <w:rPr>
                <w:rFonts w:ascii="Arial" w:cs="Arial" w:eastAsia="Arial" w:hAnsi="Arial"/>
                <w:sz w:val="14"/>
                <w:szCs w:val="14"/>
                <w:color w:val="auto"/>
              </w:rPr>
              <w:t>(45,362)</w:t>
            </w:r>
          </w:p>
        </w:tc>
        <w:tc>
          <w:tcPr>
            <w:tcW w:w="1300" w:type="dxa"/>
            <w:vAlign w:val="bottom"/>
            <w:vMerge w:val="restart"/>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89"/>
              <w:spacing w:after="0"/>
              <w:rPr>
                <w:sz w:val="20"/>
                <w:szCs w:val="20"/>
                <w:color w:val="auto"/>
              </w:rPr>
            </w:pPr>
            <w:r>
              <w:rPr>
                <w:rFonts w:ascii="Arial" w:cs="Arial" w:eastAsia="Arial" w:hAnsi="Arial"/>
                <w:sz w:val="14"/>
                <w:szCs w:val="14"/>
                <w:color w:val="auto"/>
              </w:rPr>
              <w:t>(799)</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(46,161)</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2280" w:type="dxa"/>
            <w:vAlign w:val="bottom"/>
          </w:tcPr>
          <w:p>
            <w:pPr>
              <w:ind w:left="20"/>
              <w:spacing w:after="0" w:line="159" w:lineRule="exact"/>
              <w:rPr>
                <w:sz w:val="20"/>
                <w:szCs w:val="20"/>
                <w:color w:val="auto"/>
              </w:rPr>
            </w:pPr>
            <w:r>
              <w:rPr>
                <w:rFonts w:ascii="Arial" w:cs="Arial" w:eastAsia="Arial" w:hAnsi="Arial"/>
                <w:sz w:val="14"/>
                <w:szCs w:val="14"/>
                <w:color w:val="auto"/>
              </w:rPr>
              <w:t>loss</w:t>
            </w:r>
          </w:p>
        </w:tc>
        <w:tc>
          <w:tcPr>
            <w:tcW w:w="11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ind w:left="789"/>
              <w:spacing w:after="0" w:line="126" w:lineRule="exact"/>
              <w:rPr>
                <w:sz w:val="20"/>
                <w:szCs w:val="20"/>
                <w:color w:val="auto"/>
              </w:rPr>
            </w:pPr>
            <w:r>
              <w:rPr>
                <w:rFonts w:ascii="Arial" w:cs="Arial" w:eastAsia="Arial" w:hAnsi="Arial"/>
                <w:sz w:val="14"/>
                <w:szCs w:val="14"/>
                <w:b w:val="1"/>
                <w:bCs w:val="1"/>
                <w:color w:val="auto"/>
                <w:w w:val="97"/>
              </w:rPr>
              <w:t>Third</w:t>
            </w:r>
          </w:p>
        </w:tc>
        <w:tc>
          <w:tcPr>
            <w:tcW w:w="10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4"/>
              </w:rPr>
              <w:t>Fourth</w:t>
            </w: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20" w:type="dxa"/>
            <w:vAlign w:val="bottom"/>
            <w:gridSpan w:val="2"/>
          </w:tcPr>
          <w:p>
            <w:pPr>
              <w:jc w:val="center"/>
              <w:ind w:right="69"/>
              <w:spacing w:after="0"/>
              <w:rPr>
                <w:sz w:val="20"/>
                <w:szCs w:val="20"/>
                <w:color w:val="auto"/>
              </w:rPr>
            </w:pPr>
            <w:r>
              <w:rPr>
                <w:rFonts w:ascii="Arial" w:cs="Arial" w:eastAsia="Arial" w:hAnsi="Arial"/>
                <w:sz w:val="14"/>
                <w:szCs w:val="14"/>
                <w:b w:val="1"/>
                <w:bCs w:val="1"/>
                <w:color w:val="auto"/>
                <w:w w:val="98"/>
              </w:rPr>
              <w:t>Quarter</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Quarter</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120" w:type="dxa"/>
            <w:vAlign w:val="bottom"/>
            <w:tcBorders>
              <w:top w:val="single" w:sz="8" w:color="auto"/>
            </w:tcBorders>
          </w:tcPr>
          <w:p>
            <w:pPr>
              <w:jc w:val="right"/>
              <w:ind w:right="409"/>
              <w:spacing w:after="0" w:line="127" w:lineRule="exact"/>
              <w:rPr>
                <w:sz w:val="20"/>
                <w:szCs w:val="20"/>
                <w:color w:val="auto"/>
              </w:rPr>
            </w:pPr>
            <w:r>
              <w:rPr>
                <w:rFonts w:ascii="Arial" w:cs="Arial" w:eastAsia="Arial" w:hAnsi="Arial"/>
                <w:sz w:val="14"/>
                <w:szCs w:val="14"/>
                <w:color w:val="auto"/>
              </w:rPr>
              <w:t>As</w:t>
            </w:r>
          </w:p>
        </w:tc>
        <w:tc>
          <w:tcPr>
            <w:tcW w:w="1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209"/>
              <w:spacing w:after="0"/>
              <w:rPr>
                <w:sz w:val="20"/>
                <w:szCs w:val="20"/>
                <w:color w:val="auto"/>
              </w:rPr>
            </w:pPr>
            <w:r>
              <w:rPr>
                <w:rFonts w:ascii="Arial" w:cs="Arial" w:eastAsia="Arial" w:hAnsi="Arial"/>
                <w:sz w:val="14"/>
                <w:szCs w:val="14"/>
                <w:b w:val="1"/>
                <w:bCs w:val="1"/>
                <w:color w:val="auto"/>
              </w:rPr>
              <w:t>Restated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97"/>
              </w:rPr>
              <w:t>As</w:t>
            </w: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20" w:type="dxa"/>
            <w:vAlign w:val="bottom"/>
            <w:vMerge w:val="restart"/>
          </w:tcPr>
          <w:p>
            <w:pPr>
              <w:jc w:val="right"/>
              <w:ind w:right="249"/>
              <w:spacing w:after="0"/>
              <w:rPr>
                <w:sz w:val="20"/>
                <w:szCs w:val="20"/>
                <w:color w:val="auto"/>
              </w:rPr>
            </w:pPr>
            <w:r>
              <w:rPr>
                <w:rFonts w:ascii="Arial" w:cs="Arial" w:eastAsia="Arial" w:hAnsi="Arial"/>
                <w:sz w:val="14"/>
                <w:szCs w:val="14"/>
                <w:color w:val="auto"/>
              </w:rPr>
              <w:t>reported</w:t>
            </w:r>
          </w:p>
        </w:tc>
        <w:tc>
          <w:tcPr>
            <w:tcW w:w="1280" w:type="dxa"/>
            <w:vAlign w:val="bottom"/>
            <w:vMerge w:val="restart"/>
          </w:tcPr>
          <w:p>
            <w:pPr>
              <w:jc w:val="right"/>
              <w:ind w:right="169"/>
              <w:spacing w:after="0"/>
              <w:rPr>
                <w:sz w:val="20"/>
                <w:szCs w:val="20"/>
                <w:color w:val="auto"/>
              </w:rPr>
            </w:pPr>
            <w:r>
              <w:rPr>
                <w:rFonts w:ascii="Arial" w:cs="Arial" w:eastAsia="Arial" w:hAnsi="Arial"/>
                <w:sz w:val="14"/>
                <w:szCs w:val="14"/>
                <w:color w:val="auto"/>
                <w:w w:val="96"/>
              </w:rPr>
              <w:t>Misclass-ification</w:t>
            </w:r>
          </w:p>
        </w:tc>
        <w:tc>
          <w:tcPr>
            <w:tcW w:w="1040" w:type="dxa"/>
            <w:vAlign w:val="bottom"/>
            <w:vMerge w:val="restart"/>
          </w:tcPr>
          <w:p>
            <w:pPr>
              <w:jc w:val="right"/>
              <w:ind w:right="289"/>
              <w:spacing w:after="0"/>
              <w:rPr>
                <w:sz w:val="20"/>
                <w:szCs w:val="20"/>
                <w:color w:val="auto"/>
              </w:rPr>
            </w:pPr>
            <w:r>
              <w:rPr>
                <w:rFonts w:ascii="Arial" w:cs="Arial" w:eastAsia="Arial" w:hAnsi="Arial"/>
                <w:sz w:val="14"/>
                <w:szCs w:val="14"/>
                <w:color w:val="auto"/>
                <w:w w:val="94"/>
              </w:rPr>
              <w:t>Adjustment</w:t>
            </w: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reported</w:t>
            </w: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43,178</w:t>
            </w:r>
          </w:p>
        </w:tc>
        <w:tc>
          <w:tcPr>
            <w:tcW w:w="128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43,178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57,801</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Cost of services</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58,752</w:t>
            </w:r>
          </w:p>
        </w:tc>
        <w:tc>
          <w:tcPr>
            <w:tcW w:w="12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(6,031)</w:t>
            </w: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(1,234)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51,487</w:t>
            </w:r>
          </w:p>
        </w:tc>
        <w:tc>
          <w:tcPr>
            <w:tcW w:w="120" w:type="dxa"/>
            <w:vAlign w:val="bottom"/>
            <w:gridSpan w:val="2"/>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60,607</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profit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(15,574)</w:t>
            </w:r>
          </w:p>
        </w:tc>
        <w:tc>
          <w:tcPr>
            <w:tcW w:w="12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6,031</w:t>
            </w:r>
          </w:p>
        </w:tc>
        <w:tc>
          <w:tcPr>
            <w:tcW w:w="10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1,234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(8,309)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(2,806)</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17,831</w:t>
            </w:r>
          </w:p>
        </w:tc>
        <w:tc>
          <w:tcPr>
            <w:tcW w:w="12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17,831</w:t>
            </w:r>
          </w:p>
        </w:tc>
        <w:tc>
          <w:tcPr>
            <w:tcW w:w="120" w:type="dxa"/>
            <w:vAlign w:val="bottom"/>
            <w:gridSpan w:val="2"/>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22,246</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Selling and marketing</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22,121</w:t>
            </w:r>
          </w:p>
        </w:tc>
        <w:tc>
          <w:tcPr>
            <w:tcW w:w="12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6,031</w:t>
            </w:r>
          </w:p>
        </w:tc>
        <w:tc>
          <w:tcPr>
            <w:tcW w:w="10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28,152</w:t>
            </w:r>
          </w:p>
        </w:tc>
        <w:tc>
          <w:tcPr>
            <w:tcW w:w="120" w:type="dxa"/>
            <w:vAlign w:val="bottom"/>
            <w:gridSpan w:val="2"/>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30,646</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33,230</w:t>
            </w:r>
          </w:p>
        </w:tc>
        <w:tc>
          <w:tcPr>
            <w:tcW w:w="12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(105)</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33,125</w:t>
            </w:r>
          </w:p>
        </w:tc>
        <w:tc>
          <w:tcPr>
            <w:tcW w:w="120" w:type="dxa"/>
            <w:vAlign w:val="bottom"/>
            <w:gridSpan w:val="2"/>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57,955</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Related party expenses</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847</w:t>
            </w:r>
          </w:p>
        </w:tc>
        <w:tc>
          <w:tcPr>
            <w:tcW w:w="12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847</w:t>
            </w:r>
          </w:p>
        </w:tc>
        <w:tc>
          <w:tcPr>
            <w:tcW w:w="120" w:type="dxa"/>
            <w:vAlign w:val="bottom"/>
            <w:gridSpan w:val="2"/>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2,127</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Loss from operations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(89,603)</w:t>
            </w:r>
          </w:p>
        </w:tc>
        <w:tc>
          <w:tcPr>
            <w:tcW w:w="12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1,339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(88,264)</w:t>
            </w:r>
          </w:p>
        </w:tc>
        <w:tc>
          <w:tcPr>
            <w:tcW w:w="120" w:type="dxa"/>
            <w:vAlign w:val="bottom"/>
            <w:gridSpan w:val="2"/>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(115,780)</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other income, net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120,995</w:t>
            </w:r>
          </w:p>
        </w:tc>
        <w:tc>
          <w:tcPr>
            <w:tcW w:w="12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120,995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75,595</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320" w:type="dxa"/>
            <w:vAlign w:val="bottom"/>
            <w:gridSpan w:val="2"/>
          </w:tcPr>
          <w:p>
            <w:pPr>
              <w:ind w:left="20"/>
              <w:spacing w:after="0" w:line="113" w:lineRule="exact"/>
              <w:rPr>
                <w:sz w:val="20"/>
                <w:szCs w:val="20"/>
                <w:color w:val="auto"/>
              </w:rPr>
            </w:pPr>
            <w:r>
              <w:rPr>
                <w:rFonts w:ascii="Arial" w:cs="Arial" w:eastAsia="Arial" w:hAnsi="Arial"/>
                <w:sz w:val="13"/>
                <w:szCs w:val="13"/>
                <w:color w:val="auto"/>
              </w:rPr>
              <w:t>Net (loss) income and comprehensive</w:t>
            </w: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31,392</w:t>
            </w:r>
          </w:p>
        </w:tc>
        <w:tc>
          <w:tcPr>
            <w:tcW w:w="128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1,339</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32,731</w:t>
            </w:r>
          </w:p>
        </w:tc>
        <w:tc>
          <w:tcPr>
            <w:tcW w:w="1060" w:type="dxa"/>
            <w:vAlign w:val="bottom"/>
            <w:gridSpan w:val="3"/>
            <w:vMerge w:val="restart"/>
          </w:tcPr>
          <w:p>
            <w:pPr>
              <w:jc w:val="right"/>
              <w:spacing w:after="0"/>
              <w:rPr>
                <w:sz w:val="20"/>
                <w:szCs w:val="20"/>
                <w:color w:val="auto"/>
              </w:rPr>
            </w:pPr>
            <w:r>
              <w:rPr>
                <w:rFonts w:ascii="Arial" w:cs="Arial" w:eastAsia="Arial" w:hAnsi="Arial"/>
                <w:sz w:val="14"/>
                <w:szCs w:val="14"/>
                <w:color w:val="auto"/>
              </w:rPr>
              <w:t>(40,185)</w:t>
            </w: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3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loss</w:t>
            </w:r>
          </w:p>
        </w:tc>
        <w:tc>
          <w:tcPr>
            <w:tcW w:w="11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2020 interim statements of operations and comprehensive loss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6"/>
              <w:spacing w:after="0" w:line="146" w:lineRule="exact"/>
              <w:rPr>
                <w:sz w:val="20"/>
                <w:szCs w:val="20"/>
                <w:color w:val="auto"/>
              </w:rPr>
            </w:pPr>
            <w:r>
              <w:rPr>
                <w:rFonts w:ascii="Arial" w:cs="Arial" w:eastAsia="Arial" w:hAnsi="Arial"/>
                <w:sz w:val="14"/>
                <w:szCs w:val="14"/>
                <w:b w:val="1"/>
                <w:bCs w:val="1"/>
                <w:color w:val="auto"/>
              </w:rPr>
              <w:t>First</w:t>
            </w:r>
          </w:p>
        </w:tc>
        <w:tc>
          <w:tcPr>
            <w:tcW w:w="7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35"/>
              <w:spacing w:after="0" w:line="146" w:lineRule="exact"/>
              <w:rPr>
                <w:sz w:val="20"/>
                <w:szCs w:val="20"/>
                <w:color w:val="auto"/>
              </w:rPr>
            </w:pPr>
            <w:r>
              <w:rPr>
                <w:rFonts w:ascii="Arial" w:cs="Arial" w:eastAsia="Arial" w:hAnsi="Arial"/>
                <w:sz w:val="14"/>
                <w:szCs w:val="14"/>
                <w:b w:val="1"/>
                <w:bCs w:val="1"/>
                <w:color w:val="auto"/>
              </w:rPr>
              <w:t>Second</w:t>
            </w:r>
          </w:p>
        </w:tc>
        <w:tc>
          <w:tcPr>
            <w:tcW w:w="7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ind w:left="140"/>
              <w:spacing w:after="0" w:line="146" w:lineRule="exact"/>
              <w:rPr>
                <w:sz w:val="20"/>
                <w:szCs w:val="20"/>
                <w:color w:val="auto"/>
              </w:rPr>
            </w:pPr>
            <w:r>
              <w:rPr>
                <w:rFonts w:ascii="Arial" w:cs="Arial" w:eastAsia="Arial" w:hAnsi="Arial"/>
                <w:sz w:val="14"/>
                <w:szCs w:val="14"/>
                <w:b w:val="1"/>
                <w:bCs w:val="1"/>
                <w:color w:val="auto"/>
              </w:rPr>
              <w:t>Third</w:t>
            </w:r>
          </w:p>
        </w:tc>
        <w:tc>
          <w:tcPr>
            <w:tcW w:w="7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55"/>
              <w:spacing w:after="0" w:line="146" w:lineRule="exact"/>
              <w:rPr>
                <w:sz w:val="20"/>
                <w:szCs w:val="20"/>
                <w:color w:val="auto"/>
              </w:rPr>
            </w:pPr>
            <w:r>
              <w:rPr>
                <w:rFonts w:ascii="Arial" w:cs="Arial" w:eastAsia="Arial" w:hAnsi="Arial"/>
                <w:sz w:val="14"/>
                <w:szCs w:val="14"/>
                <w:b w:val="1"/>
                <w:bCs w:val="1"/>
                <w:color w:val="auto"/>
              </w:rPr>
              <w:t>Fourth</w:t>
            </w: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Quarter</w:t>
            </w:r>
          </w:p>
        </w:tc>
        <w:tc>
          <w:tcPr>
            <w:tcW w:w="7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Quarter</w:t>
            </w:r>
          </w:p>
        </w:tc>
        <w:tc>
          <w:tcPr>
            <w:tcW w:w="7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Quarter</w:t>
            </w:r>
          </w:p>
        </w:tc>
        <w:tc>
          <w:tcPr>
            <w:tcW w:w="7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Quarter</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jc w:val="right"/>
              <w:ind w:right="196"/>
              <w:spacing w:after="0" w:line="127" w:lineRule="exact"/>
              <w:rPr>
                <w:sz w:val="20"/>
                <w:szCs w:val="20"/>
                <w:color w:val="auto"/>
              </w:rPr>
            </w:pPr>
            <w:r>
              <w:rPr>
                <w:rFonts w:ascii="Arial" w:cs="Arial" w:eastAsia="Arial" w:hAnsi="Arial"/>
                <w:sz w:val="14"/>
                <w:szCs w:val="14"/>
                <w:color w:val="auto"/>
                <w:w w:val="99"/>
              </w:rPr>
              <w:t>Misclass-</w:t>
            </w:r>
          </w:p>
        </w:tc>
        <w:tc>
          <w:tcPr>
            <w:tcW w:w="74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w w:val="98"/>
              </w:rPr>
              <w:t>Restated</w:t>
            </w:r>
          </w:p>
        </w:tc>
        <w:tc>
          <w:tcPr>
            <w:tcW w:w="840" w:type="dxa"/>
            <w:vAlign w:val="bottom"/>
          </w:tcPr>
          <w:p>
            <w:pPr>
              <w:spacing w:after="0"/>
              <w:rPr>
                <w:sz w:val="11"/>
                <w:szCs w:val="11"/>
                <w:color w:val="auto"/>
              </w:rPr>
            </w:pPr>
          </w:p>
        </w:tc>
        <w:tc>
          <w:tcPr>
            <w:tcW w:w="840" w:type="dxa"/>
            <w:vAlign w:val="bottom"/>
          </w:tcPr>
          <w:p>
            <w:pPr>
              <w:jc w:val="right"/>
              <w:ind w:right="175"/>
              <w:spacing w:after="0" w:line="127" w:lineRule="exact"/>
              <w:rPr>
                <w:sz w:val="20"/>
                <w:szCs w:val="20"/>
                <w:color w:val="auto"/>
              </w:rPr>
            </w:pPr>
            <w:r>
              <w:rPr>
                <w:rFonts w:ascii="Arial" w:cs="Arial" w:eastAsia="Arial" w:hAnsi="Arial"/>
                <w:sz w:val="14"/>
                <w:szCs w:val="14"/>
                <w:color w:val="auto"/>
                <w:w w:val="99"/>
              </w:rPr>
              <w:t>Misclass-</w:t>
            </w:r>
          </w:p>
        </w:tc>
        <w:tc>
          <w:tcPr>
            <w:tcW w:w="76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Restated</w:t>
            </w:r>
          </w:p>
        </w:tc>
        <w:tc>
          <w:tcPr>
            <w:tcW w:w="840" w:type="dxa"/>
            <w:vAlign w:val="bottom"/>
          </w:tcPr>
          <w:p>
            <w:pPr>
              <w:spacing w:after="0"/>
              <w:rPr>
                <w:sz w:val="11"/>
                <w:szCs w:val="11"/>
                <w:color w:val="auto"/>
              </w:rPr>
            </w:pPr>
          </w:p>
        </w:tc>
        <w:tc>
          <w:tcPr>
            <w:tcW w:w="840" w:type="dxa"/>
            <w:vAlign w:val="bottom"/>
          </w:tcPr>
          <w:p>
            <w:pPr>
              <w:jc w:val="right"/>
              <w:ind w:right="175"/>
              <w:spacing w:after="0" w:line="127" w:lineRule="exact"/>
              <w:rPr>
                <w:sz w:val="20"/>
                <w:szCs w:val="20"/>
                <w:color w:val="auto"/>
              </w:rPr>
            </w:pPr>
            <w:r>
              <w:rPr>
                <w:rFonts w:ascii="Arial" w:cs="Arial" w:eastAsia="Arial" w:hAnsi="Arial"/>
                <w:sz w:val="14"/>
                <w:szCs w:val="14"/>
                <w:color w:val="auto"/>
                <w:w w:val="99"/>
              </w:rPr>
              <w:t>Misclass-</w:t>
            </w:r>
          </w:p>
        </w:tc>
        <w:tc>
          <w:tcPr>
            <w:tcW w:w="76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Restated</w:t>
            </w:r>
          </w:p>
        </w:tc>
        <w:tc>
          <w:tcPr>
            <w:tcW w:w="820" w:type="dxa"/>
            <w:vAlign w:val="bottom"/>
          </w:tcPr>
          <w:p>
            <w:pPr>
              <w:spacing w:after="0"/>
              <w:rPr>
                <w:sz w:val="11"/>
                <w:szCs w:val="11"/>
                <w:color w:val="auto"/>
              </w:rPr>
            </w:pPr>
          </w:p>
        </w:tc>
        <w:tc>
          <w:tcPr>
            <w:tcW w:w="860" w:type="dxa"/>
            <w:vAlign w:val="bottom"/>
          </w:tcPr>
          <w:p>
            <w:pPr>
              <w:jc w:val="right"/>
              <w:ind w:right="175"/>
              <w:spacing w:after="0" w:line="127" w:lineRule="exact"/>
              <w:rPr>
                <w:sz w:val="20"/>
                <w:szCs w:val="20"/>
                <w:color w:val="auto"/>
              </w:rPr>
            </w:pPr>
            <w:r>
              <w:rPr>
                <w:rFonts w:ascii="Arial" w:cs="Arial" w:eastAsia="Arial" w:hAnsi="Arial"/>
                <w:sz w:val="14"/>
                <w:szCs w:val="14"/>
                <w:color w:val="auto"/>
              </w:rPr>
              <w:t>Misclass-</w:t>
            </w:r>
          </w:p>
        </w:tc>
        <w:tc>
          <w:tcPr>
            <w:tcW w:w="740" w:type="dxa"/>
            <w:vAlign w:val="bottom"/>
            <w:vMerge w:val="restart"/>
          </w:tcPr>
          <w:p>
            <w:pPr>
              <w:jc w:val="right"/>
              <w:ind w:right="138"/>
              <w:spacing w:after="0"/>
              <w:rPr>
                <w:sz w:val="20"/>
                <w:szCs w:val="20"/>
                <w:color w:val="auto"/>
              </w:rPr>
            </w:pPr>
            <w:r>
              <w:rPr>
                <w:rFonts w:ascii="Arial" w:cs="Arial" w:eastAsia="Arial" w:hAnsi="Arial"/>
                <w:sz w:val="12"/>
                <w:szCs w:val="12"/>
                <w:b w:val="1"/>
                <w:bCs w:val="1"/>
                <w:color w:val="auto"/>
              </w:rPr>
              <w:t>Restated</w:t>
            </w:r>
          </w:p>
        </w:tc>
        <w:tc>
          <w:tcPr>
            <w:tcW w:w="0" w:type="dxa"/>
            <w:vAlign w:val="bottom"/>
          </w:tcPr>
          <w:p>
            <w:pPr>
              <w:spacing w:after="0"/>
              <w:rPr>
                <w:sz w:val="1"/>
                <w:szCs w:val="1"/>
                <w:color w:val="auto"/>
              </w:rPr>
            </w:pPr>
          </w:p>
        </w:tc>
      </w:tr>
      <w:tr>
        <w:trPr>
          <w:trHeight w:val="89"/>
        </w:trPr>
        <w:tc>
          <w:tcPr>
            <w:tcW w:w="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40" w:type="dxa"/>
            <w:vAlign w:val="bottom"/>
            <w:vMerge w:val="restart"/>
          </w:tcPr>
          <w:p>
            <w:pPr>
              <w:jc w:val="right"/>
              <w:ind w:right="97"/>
              <w:spacing w:after="0"/>
              <w:rPr>
                <w:sz w:val="20"/>
                <w:szCs w:val="20"/>
                <w:color w:val="auto"/>
              </w:rPr>
            </w:pPr>
            <w:r>
              <w:rPr>
                <w:rFonts w:ascii="Arial" w:cs="Arial" w:eastAsia="Arial" w:hAnsi="Arial"/>
                <w:sz w:val="14"/>
                <w:szCs w:val="14"/>
                <w:color w:val="auto"/>
                <w:w w:val="91"/>
              </w:rPr>
              <w:t>As reported</w:t>
            </w:r>
          </w:p>
        </w:tc>
        <w:tc>
          <w:tcPr>
            <w:tcW w:w="860" w:type="dxa"/>
            <w:vAlign w:val="bottom"/>
            <w:vMerge w:val="restart"/>
          </w:tcPr>
          <w:p>
            <w:pPr>
              <w:jc w:val="right"/>
              <w:ind w:right="176"/>
              <w:spacing w:after="0"/>
              <w:rPr>
                <w:sz w:val="20"/>
                <w:szCs w:val="20"/>
                <w:color w:val="auto"/>
              </w:rPr>
            </w:pPr>
            <w:r>
              <w:rPr>
                <w:rFonts w:ascii="Arial" w:cs="Arial" w:eastAsia="Arial" w:hAnsi="Arial"/>
                <w:sz w:val="14"/>
                <w:szCs w:val="14"/>
                <w:color w:val="auto"/>
              </w:rPr>
              <w:t>ification</w:t>
            </w:r>
          </w:p>
        </w:tc>
        <w:tc>
          <w:tcPr>
            <w:tcW w:w="740" w:type="dxa"/>
            <w:vAlign w:val="bottom"/>
            <w:vMerge w:val="continue"/>
          </w:tcPr>
          <w:p>
            <w:pPr>
              <w:spacing w:after="0"/>
              <w:rPr>
                <w:sz w:val="7"/>
                <w:szCs w:val="7"/>
                <w:color w:val="auto"/>
              </w:rPr>
            </w:pPr>
          </w:p>
        </w:tc>
        <w:tc>
          <w:tcPr>
            <w:tcW w:w="840" w:type="dxa"/>
            <w:vAlign w:val="bottom"/>
            <w:vMerge w:val="restart"/>
          </w:tcPr>
          <w:p>
            <w:pPr>
              <w:jc w:val="right"/>
              <w:ind w:right="97"/>
              <w:spacing w:after="0"/>
              <w:rPr>
                <w:sz w:val="20"/>
                <w:szCs w:val="20"/>
                <w:color w:val="auto"/>
              </w:rPr>
            </w:pPr>
            <w:r>
              <w:rPr>
                <w:rFonts w:ascii="Arial" w:cs="Arial" w:eastAsia="Arial" w:hAnsi="Arial"/>
                <w:sz w:val="14"/>
                <w:szCs w:val="14"/>
                <w:color w:val="auto"/>
                <w:w w:val="91"/>
              </w:rPr>
              <w:t>As reported</w:t>
            </w:r>
          </w:p>
        </w:tc>
        <w:tc>
          <w:tcPr>
            <w:tcW w:w="840" w:type="dxa"/>
            <w:vAlign w:val="bottom"/>
            <w:vMerge w:val="restart"/>
          </w:tcPr>
          <w:p>
            <w:pPr>
              <w:jc w:val="right"/>
              <w:ind w:right="175"/>
              <w:spacing w:after="0"/>
              <w:rPr>
                <w:sz w:val="20"/>
                <w:szCs w:val="20"/>
                <w:color w:val="auto"/>
              </w:rPr>
            </w:pPr>
            <w:r>
              <w:rPr>
                <w:rFonts w:ascii="Arial" w:cs="Arial" w:eastAsia="Arial" w:hAnsi="Arial"/>
                <w:sz w:val="14"/>
                <w:szCs w:val="14"/>
                <w:color w:val="auto"/>
              </w:rPr>
              <w:t>ification</w:t>
            </w:r>
          </w:p>
        </w:tc>
        <w:tc>
          <w:tcPr>
            <w:tcW w:w="760" w:type="dxa"/>
            <w:vAlign w:val="bottom"/>
            <w:vMerge w:val="continue"/>
          </w:tcPr>
          <w:p>
            <w:pPr>
              <w:spacing w:after="0"/>
              <w:rPr>
                <w:sz w:val="7"/>
                <w:szCs w:val="7"/>
                <w:color w:val="auto"/>
              </w:rPr>
            </w:pPr>
          </w:p>
        </w:tc>
        <w:tc>
          <w:tcPr>
            <w:tcW w:w="840" w:type="dxa"/>
            <w:vAlign w:val="bottom"/>
            <w:vMerge w:val="restart"/>
          </w:tcPr>
          <w:p>
            <w:pPr>
              <w:jc w:val="right"/>
              <w:ind w:right="97"/>
              <w:spacing w:after="0"/>
              <w:rPr>
                <w:sz w:val="20"/>
                <w:szCs w:val="20"/>
                <w:color w:val="auto"/>
              </w:rPr>
            </w:pPr>
            <w:r>
              <w:rPr>
                <w:rFonts w:ascii="Arial" w:cs="Arial" w:eastAsia="Arial" w:hAnsi="Arial"/>
                <w:sz w:val="14"/>
                <w:szCs w:val="14"/>
                <w:color w:val="auto"/>
                <w:w w:val="91"/>
              </w:rPr>
              <w:t>As reported</w:t>
            </w:r>
          </w:p>
        </w:tc>
        <w:tc>
          <w:tcPr>
            <w:tcW w:w="840" w:type="dxa"/>
            <w:vAlign w:val="bottom"/>
            <w:vMerge w:val="restart"/>
          </w:tcPr>
          <w:p>
            <w:pPr>
              <w:ind w:left="140"/>
              <w:spacing w:after="0"/>
              <w:rPr>
                <w:sz w:val="20"/>
                <w:szCs w:val="20"/>
                <w:color w:val="auto"/>
              </w:rPr>
            </w:pPr>
            <w:r>
              <w:rPr>
                <w:rFonts w:ascii="Arial" w:cs="Arial" w:eastAsia="Arial" w:hAnsi="Arial"/>
                <w:sz w:val="14"/>
                <w:szCs w:val="14"/>
                <w:color w:val="auto"/>
              </w:rPr>
              <w:t>ification</w:t>
            </w:r>
          </w:p>
        </w:tc>
        <w:tc>
          <w:tcPr>
            <w:tcW w:w="760" w:type="dxa"/>
            <w:vAlign w:val="bottom"/>
            <w:vMerge w:val="continue"/>
          </w:tcPr>
          <w:p>
            <w:pPr>
              <w:spacing w:after="0"/>
              <w:rPr>
                <w:sz w:val="7"/>
                <w:szCs w:val="7"/>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4"/>
                <w:szCs w:val="14"/>
                <w:color w:val="auto"/>
                <w:w w:val="91"/>
              </w:rPr>
              <w:t>As reported</w:t>
            </w:r>
          </w:p>
        </w:tc>
        <w:tc>
          <w:tcPr>
            <w:tcW w:w="860" w:type="dxa"/>
            <w:vAlign w:val="bottom"/>
            <w:vMerge w:val="restart"/>
          </w:tcPr>
          <w:p>
            <w:pPr>
              <w:jc w:val="right"/>
              <w:ind w:right="175"/>
              <w:spacing w:after="0"/>
              <w:rPr>
                <w:sz w:val="20"/>
                <w:szCs w:val="20"/>
                <w:color w:val="auto"/>
              </w:rPr>
            </w:pPr>
            <w:r>
              <w:rPr>
                <w:rFonts w:ascii="Arial" w:cs="Arial" w:eastAsia="Arial" w:hAnsi="Arial"/>
                <w:sz w:val="14"/>
                <w:szCs w:val="14"/>
                <w:color w:val="auto"/>
              </w:rPr>
              <w:t>ification</w:t>
            </w: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60" w:type="dxa"/>
            <w:vAlign w:val="bottom"/>
          </w:tcPr>
          <w:p>
            <w:pPr>
              <w:spacing w:after="0"/>
              <w:rPr>
                <w:sz w:val="8"/>
                <w:szCs w:val="8"/>
                <w:color w:val="auto"/>
              </w:rPr>
            </w:pPr>
          </w:p>
        </w:tc>
        <w:tc>
          <w:tcPr>
            <w:tcW w:w="1460" w:type="dxa"/>
            <w:vAlign w:val="bottom"/>
            <w:tcBorders>
              <w:bottom w:val="single" w:sz="8" w:color="CCEEFF"/>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2"/>
                <w:szCs w:val="12"/>
                <w:color w:val="auto"/>
              </w:rPr>
              <w:t>Total revenue</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46,655</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46,655</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30,102</w:t>
            </w:r>
          </w:p>
        </w:tc>
        <w:tc>
          <w:tcPr>
            <w:tcW w:w="8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30,102</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38,608</w:t>
            </w:r>
          </w:p>
        </w:tc>
        <w:tc>
          <w:tcPr>
            <w:tcW w:w="8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38,608</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63,957</w:t>
            </w:r>
          </w:p>
        </w:tc>
        <w:tc>
          <w:tcPr>
            <w:tcW w:w="8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63,957</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4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services</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2"/>
                <w:szCs w:val="12"/>
                <w:color w:val="auto"/>
              </w:rPr>
              <w:t>39,239</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color w:val="auto"/>
              </w:rPr>
              <w:t>(2,101)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37,138</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2"/>
                <w:szCs w:val="12"/>
                <w:color w:val="auto"/>
              </w:rPr>
              <w:t>35,985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34,505</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2"/>
                <w:szCs w:val="12"/>
                <w:color w:val="auto"/>
              </w:rPr>
              <w:t>36,530</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color w:val="auto"/>
              </w:rPr>
              <w:t>(2,508)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34,022</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2"/>
                <w:szCs w:val="12"/>
                <w:color w:val="auto"/>
              </w:rPr>
              <w:t>72,894</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color w:val="auto"/>
              </w:rPr>
              <w:t>(3,263)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69,631</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2"/>
                <w:szCs w:val="12"/>
                <w:color w:val="auto"/>
              </w:rPr>
              <w:t>Gross (loss) profit</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color w:val="auto"/>
              </w:rPr>
              <w:t>7,416</w:t>
            </w:r>
          </w:p>
        </w:tc>
        <w:tc>
          <w:tcPr>
            <w:tcW w:w="8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2"/>
                <w:szCs w:val="12"/>
                <w:color w:val="auto"/>
              </w:rPr>
              <w:t>2,101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9,517</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2"/>
                <w:szCs w:val="12"/>
                <w:color w:val="auto"/>
              </w:rPr>
              <w:t>(5,883)</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1,480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(4,403)</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color w:val="auto"/>
              </w:rPr>
              <w:t>2,078</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2,508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4,586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(8,937)</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3,263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(5,674)</w:t>
            </w:r>
          </w:p>
        </w:tc>
        <w:tc>
          <w:tcPr>
            <w:tcW w:w="0" w:type="dxa"/>
            <w:vAlign w:val="bottom"/>
          </w:tcPr>
          <w:p>
            <w:pPr>
              <w:spacing w:after="0"/>
              <w:rPr>
                <w:sz w:val="1"/>
                <w:szCs w:val="1"/>
                <w:color w:val="auto"/>
              </w:rPr>
            </w:pPr>
          </w:p>
        </w:tc>
      </w:tr>
      <w:tr>
        <w:trPr>
          <w:trHeight w:val="153"/>
        </w:trPr>
        <w:tc>
          <w:tcPr>
            <w:tcW w:w="1520" w:type="dxa"/>
            <w:vAlign w:val="bottom"/>
            <w:gridSpan w:val="2"/>
          </w:tcPr>
          <w:p>
            <w:pPr>
              <w:ind w:left="60"/>
              <w:spacing w:after="0"/>
              <w:rPr>
                <w:sz w:val="20"/>
                <w:szCs w:val="20"/>
                <w:color w:val="auto"/>
              </w:rPr>
            </w:pPr>
            <w:r>
              <w:rPr>
                <w:rFonts w:ascii="Arial" w:cs="Arial" w:eastAsia="Arial" w:hAnsi="Arial"/>
                <w:sz w:val="12"/>
                <w:szCs w:val="12"/>
                <w:color w:val="auto"/>
                <w:w w:val="98"/>
              </w:rPr>
              <w:t>Research and development</w:t>
            </w:r>
          </w:p>
        </w:tc>
        <w:tc>
          <w:tcPr>
            <w:tcW w:w="840" w:type="dxa"/>
            <w:vAlign w:val="bottom"/>
          </w:tcPr>
          <w:p>
            <w:pPr>
              <w:jc w:val="right"/>
              <w:ind w:right="37"/>
              <w:spacing w:after="0"/>
              <w:rPr>
                <w:sz w:val="20"/>
                <w:szCs w:val="20"/>
                <w:color w:val="auto"/>
              </w:rPr>
            </w:pPr>
            <w:r>
              <w:rPr>
                <w:rFonts w:ascii="Arial" w:cs="Arial" w:eastAsia="Arial" w:hAnsi="Arial"/>
                <w:sz w:val="12"/>
                <w:szCs w:val="12"/>
                <w:color w:val="auto"/>
              </w:rPr>
              <w:t>13,096</w:t>
            </w:r>
          </w:p>
        </w:tc>
        <w:tc>
          <w:tcPr>
            <w:tcW w:w="860" w:type="dxa"/>
            <w:vAlign w:val="bottom"/>
          </w:tcPr>
          <w:p>
            <w:pPr>
              <w:jc w:val="right"/>
              <w:ind w:right="56"/>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13,096</w:t>
            </w:r>
          </w:p>
        </w:tc>
        <w:tc>
          <w:tcPr>
            <w:tcW w:w="840" w:type="dxa"/>
            <w:vAlign w:val="bottom"/>
          </w:tcPr>
          <w:p>
            <w:pPr>
              <w:jc w:val="right"/>
              <w:ind w:right="37"/>
              <w:spacing w:after="0"/>
              <w:rPr>
                <w:sz w:val="20"/>
                <w:szCs w:val="20"/>
                <w:color w:val="auto"/>
              </w:rPr>
            </w:pPr>
            <w:r>
              <w:rPr>
                <w:rFonts w:ascii="Arial" w:cs="Arial" w:eastAsia="Arial" w:hAnsi="Arial"/>
                <w:sz w:val="12"/>
                <w:szCs w:val="12"/>
                <w:color w:val="auto"/>
              </w:rPr>
              <w:t>9,361</w:t>
            </w:r>
          </w:p>
        </w:tc>
        <w:tc>
          <w:tcPr>
            <w:tcW w:w="840" w:type="dxa"/>
            <w:vAlign w:val="bottom"/>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9,361</w:t>
            </w:r>
          </w:p>
        </w:tc>
        <w:tc>
          <w:tcPr>
            <w:tcW w:w="840" w:type="dxa"/>
            <w:vAlign w:val="bottom"/>
          </w:tcPr>
          <w:p>
            <w:pPr>
              <w:jc w:val="right"/>
              <w:ind w:right="37"/>
              <w:spacing w:after="0"/>
              <w:rPr>
                <w:sz w:val="20"/>
                <w:szCs w:val="20"/>
                <w:color w:val="auto"/>
              </w:rPr>
            </w:pPr>
            <w:r>
              <w:rPr>
                <w:rFonts w:ascii="Arial" w:cs="Arial" w:eastAsia="Arial" w:hAnsi="Arial"/>
                <w:sz w:val="12"/>
                <w:szCs w:val="12"/>
                <w:color w:val="auto"/>
              </w:rPr>
              <w:t>19,083</w:t>
            </w:r>
          </w:p>
        </w:tc>
        <w:tc>
          <w:tcPr>
            <w:tcW w:w="840" w:type="dxa"/>
            <w:vAlign w:val="bottom"/>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19,083</w:t>
            </w:r>
          </w:p>
        </w:tc>
        <w:tc>
          <w:tcPr>
            <w:tcW w:w="820" w:type="dxa"/>
            <w:vAlign w:val="bottom"/>
          </w:tcPr>
          <w:p>
            <w:pPr>
              <w:jc w:val="right"/>
              <w:ind w:right="37"/>
              <w:spacing w:after="0"/>
              <w:rPr>
                <w:sz w:val="20"/>
                <w:szCs w:val="20"/>
                <w:color w:val="auto"/>
              </w:rPr>
            </w:pPr>
            <w:r>
              <w:rPr>
                <w:rFonts w:ascii="Arial" w:cs="Arial" w:eastAsia="Arial" w:hAnsi="Arial"/>
                <w:sz w:val="12"/>
                <w:szCs w:val="12"/>
                <w:color w:val="auto"/>
              </w:rPr>
              <w:t>31,160</w:t>
            </w:r>
          </w:p>
        </w:tc>
        <w:tc>
          <w:tcPr>
            <w:tcW w:w="860" w:type="dxa"/>
            <w:vAlign w:val="bottom"/>
          </w:tcPr>
          <w:p>
            <w:pPr>
              <w:jc w:val="right"/>
              <w:ind w:right="35"/>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31,160</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2"/>
                <w:szCs w:val="12"/>
                <w:color w:val="auto"/>
              </w:rPr>
              <w:t>Selling and marketing</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11,733</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2"/>
                <w:szCs w:val="12"/>
                <w:color w:val="auto"/>
              </w:rPr>
              <w:t>2,101</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13,834</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8,686</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2"/>
                <w:szCs w:val="12"/>
                <w:color w:val="auto"/>
              </w:rPr>
              <w:t>1,480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10,166</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12,735</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2"/>
                <w:szCs w:val="12"/>
                <w:color w:val="auto"/>
              </w:rPr>
              <w:t>2,508</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15,243</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20,677</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2"/>
                <w:szCs w:val="12"/>
                <w:color w:val="auto"/>
              </w:rPr>
              <w:t>3,263</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23,940</w:t>
            </w:r>
          </w:p>
        </w:tc>
        <w:tc>
          <w:tcPr>
            <w:tcW w:w="0" w:type="dxa"/>
            <w:vAlign w:val="bottom"/>
          </w:tcPr>
          <w:p>
            <w:pPr>
              <w:spacing w:after="0"/>
              <w:rPr>
                <w:sz w:val="1"/>
                <w:szCs w:val="1"/>
                <w:color w:val="auto"/>
              </w:rPr>
            </w:pPr>
          </w:p>
        </w:tc>
      </w:tr>
      <w:tr>
        <w:trPr>
          <w:trHeight w:val="180"/>
        </w:trPr>
        <w:tc>
          <w:tcPr>
            <w:tcW w:w="1520" w:type="dxa"/>
            <w:vAlign w:val="bottom"/>
            <w:gridSpan w:val="2"/>
          </w:tcPr>
          <w:p>
            <w:pPr>
              <w:ind w:left="60"/>
              <w:spacing w:after="0"/>
              <w:rPr>
                <w:sz w:val="20"/>
                <w:szCs w:val="20"/>
                <w:color w:val="auto"/>
              </w:rPr>
            </w:pPr>
            <w:r>
              <w:rPr>
                <w:rFonts w:ascii="Arial" w:cs="Arial" w:eastAsia="Arial" w:hAnsi="Arial"/>
                <w:sz w:val="12"/>
                <w:szCs w:val="12"/>
                <w:color w:val="auto"/>
              </w:rPr>
              <w:t>General and administrative</w:t>
            </w:r>
          </w:p>
        </w:tc>
        <w:tc>
          <w:tcPr>
            <w:tcW w:w="840" w:type="dxa"/>
            <w:vAlign w:val="bottom"/>
          </w:tcPr>
          <w:p>
            <w:pPr>
              <w:jc w:val="right"/>
              <w:ind w:right="37"/>
              <w:spacing w:after="0"/>
              <w:rPr>
                <w:sz w:val="20"/>
                <w:szCs w:val="20"/>
                <w:color w:val="auto"/>
              </w:rPr>
            </w:pPr>
            <w:r>
              <w:rPr>
                <w:rFonts w:ascii="Arial" w:cs="Arial" w:eastAsia="Arial" w:hAnsi="Arial"/>
                <w:sz w:val="12"/>
                <w:szCs w:val="12"/>
                <w:color w:val="auto"/>
              </w:rPr>
              <w:t>7,164</w:t>
            </w:r>
          </w:p>
        </w:tc>
        <w:tc>
          <w:tcPr>
            <w:tcW w:w="860" w:type="dxa"/>
            <w:vAlign w:val="bottom"/>
          </w:tcPr>
          <w:p>
            <w:pPr>
              <w:jc w:val="right"/>
              <w:ind w:right="56"/>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7,164</w:t>
            </w:r>
          </w:p>
        </w:tc>
        <w:tc>
          <w:tcPr>
            <w:tcW w:w="840" w:type="dxa"/>
            <w:vAlign w:val="bottom"/>
          </w:tcPr>
          <w:p>
            <w:pPr>
              <w:jc w:val="right"/>
              <w:ind w:right="37"/>
              <w:spacing w:after="0"/>
              <w:rPr>
                <w:sz w:val="20"/>
                <w:szCs w:val="20"/>
                <w:color w:val="auto"/>
              </w:rPr>
            </w:pPr>
            <w:r>
              <w:rPr>
                <w:rFonts w:ascii="Arial" w:cs="Arial" w:eastAsia="Arial" w:hAnsi="Arial"/>
                <w:sz w:val="12"/>
                <w:szCs w:val="12"/>
                <w:color w:val="auto"/>
              </w:rPr>
              <w:t>8,121</w:t>
            </w:r>
          </w:p>
        </w:tc>
        <w:tc>
          <w:tcPr>
            <w:tcW w:w="84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8,121</w:t>
            </w:r>
          </w:p>
        </w:tc>
        <w:tc>
          <w:tcPr>
            <w:tcW w:w="840" w:type="dxa"/>
            <w:vAlign w:val="bottom"/>
          </w:tcPr>
          <w:p>
            <w:pPr>
              <w:jc w:val="right"/>
              <w:ind w:right="37"/>
              <w:spacing w:after="0"/>
              <w:rPr>
                <w:sz w:val="20"/>
                <w:szCs w:val="20"/>
                <w:color w:val="auto"/>
              </w:rPr>
            </w:pPr>
            <w:r>
              <w:rPr>
                <w:rFonts w:ascii="Arial" w:cs="Arial" w:eastAsia="Arial" w:hAnsi="Arial"/>
                <w:sz w:val="12"/>
                <w:szCs w:val="12"/>
                <w:color w:val="auto"/>
              </w:rPr>
              <w:t>24,342</w:t>
            </w:r>
          </w:p>
        </w:tc>
        <w:tc>
          <w:tcPr>
            <w:tcW w:w="84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24,342</w:t>
            </w:r>
          </w:p>
        </w:tc>
        <w:tc>
          <w:tcPr>
            <w:tcW w:w="820" w:type="dxa"/>
            <w:vAlign w:val="bottom"/>
          </w:tcPr>
          <w:p>
            <w:pPr>
              <w:jc w:val="right"/>
              <w:ind w:right="37"/>
              <w:spacing w:after="0"/>
              <w:rPr>
                <w:sz w:val="20"/>
                <w:szCs w:val="20"/>
                <w:color w:val="auto"/>
              </w:rPr>
            </w:pPr>
            <w:r>
              <w:rPr>
                <w:rFonts w:ascii="Arial" w:cs="Arial" w:eastAsia="Arial" w:hAnsi="Arial"/>
                <w:sz w:val="12"/>
                <w:szCs w:val="12"/>
                <w:color w:val="auto"/>
              </w:rPr>
              <w:t>61,115</w:t>
            </w:r>
          </w:p>
        </w:tc>
        <w:tc>
          <w:tcPr>
            <w:tcW w:w="86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61,115</w:t>
            </w: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2"/>
                <w:szCs w:val="12"/>
                <w:color w:val="auto"/>
              </w:rPr>
              <w:t>Related party expenses</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color w:val="auto"/>
              </w:rPr>
              <w:t>2,195</w:t>
            </w:r>
          </w:p>
        </w:tc>
        <w:tc>
          <w:tcPr>
            <w:tcW w:w="8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2,195</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color w:val="auto"/>
              </w:rPr>
              <w:t>2,111</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2,111</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color w:val="auto"/>
              </w:rPr>
              <w:t>1,933</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1,933</w:t>
            </w: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color w:val="auto"/>
              </w:rPr>
              <w:t>3,156</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3,156</w:t>
            </w:r>
          </w:p>
        </w:tc>
        <w:tc>
          <w:tcPr>
            <w:tcW w:w="0" w:type="dxa"/>
            <w:vAlign w:val="bottom"/>
          </w:tcPr>
          <w:p>
            <w:pPr>
              <w:spacing w:after="0"/>
              <w:rPr>
                <w:sz w:val="1"/>
                <w:szCs w:val="1"/>
                <w:color w:val="auto"/>
              </w:rPr>
            </w:pPr>
          </w:p>
        </w:tc>
      </w:tr>
      <w:tr>
        <w:trPr>
          <w:trHeight w:val="159"/>
        </w:trPr>
        <w:tc>
          <w:tcPr>
            <w:tcW w:w="152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840" w:type="dxa"/>
            <w:vAlign w:val="bottom"/>
          </w:tcPr>
          <w:p>
            <w:pPr>
              <w:jc w:val="right"/>
              <w:ind w:right="17"/>
              <w:spacing w:after="0"/>
              <w:rPr>
                <w:sz w:val="20"/>
                <w:szCs w:val="20"/>
                <w:color w:val="auto"/>
              </w:rPr>
            </w:pPr>
            <w:r>
              <w:rPr>
                <w:rFonts w:ascii="Arial" w:cs="Arial" w:eastAsia="Arial" w:hAnsi="Arial"/>
                <w:sz w:val="12"/>
                <w:szCs w:val="12"/>
                <w:color w:val="auto"/>
              </w:rPr>
              <w:t>(26,772)</w:t>
            </w:r>
          </w:p>
        </w:tc>
        <w:tc>
          <w:tcPr>
            <w:tcW w:w="860" w:type="dxa"/>
            <w:vAlign w:val="bottom"/>
          </w:tcPr>
          <w:p>
            <w:pPr>
              <w:jc w:val="right"/>
              <w:ind w:right="56"/>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(26,772)</w:t>
            </w:r>
          </w:p>
        </w:tc>
        <w:tc>
          <w:tcPr>
            <w:tcW w:w="840" w:type="dxa"/>
            <w:vAlign w:val="bottom"/>
          </w:tcPr>
          <w:p>
            <w:pPr>
              <w:jc w:val="right"/>
              <w:ind w:right="17"/>
              <w:spacing w:after="0"/>
              <w:rPr>
                <w:sz w:val="20"/>
                <w:szCs w:val="20"/>
                <w:color w:val="auto"/>
              </w:rPr>
            </w:pPr>
            <w:r>
              <w:rPr>
                <w:rFonts w:ascii="Arial" w:cs="Arial" w:eastAsia="Arial" w:hAnsi="Arial"/>
                <w:sz w:val="12"/>
                <w:szCs w:val="12"/>
                <w:color w:val="auto"/>
              </w:rPr>
              <w:t>(34,162)</w:t>
            </w:r>
          </w:p>
        </w:tc>
        <w:tc>
          <w:tcPr>
            <w:tcW w:w="840" w:type="dxa"/>
            <w:vAlign w:val="bottom"/>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(34,162)</w:t>
            </w:r>
          </w:p>
        </w:tc>
        <w:tc>
          <w:tcPr>
            <w:tcW w:w="840" w:type="dxa"/>
            <w:vAlign w:val="bottom"/>
          </w:tcPr>
          <w:p>
            <w:pPr>
              <w:jc w:val="right"/>
              <w:ind w:right="17"/>
              <w:spacing w:after="0"/>
              <w:rPr>
                <w:sz w:val="20"/>
                <w:szCs w:val="20"/>
                <w:color w:val="auto"/>
              </w:rPr>
            </w:pPr>
            <w:r>
              <w:rPr>
                <w:rFonts w:ascii="Arial" w:cs="Arial" w:eastAsia="Arial" w:hAnsi="Arial"/>
                <w:sz w:val="12"/>
                <w:szCs w:val="12"/>
                <w:color w:val="auto"/>
              </w:rPr>
              <w:t>(56,015)</w:t>
            </w:r>
          </w:p>
        </w:tc>
        <w:tc>
          <w:tcPr>
            <w:tcW w:w="840" w:type="dxa"/>
            <w:vAlign w:val="bottom"/>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(56,015)</w:t>
            </w:r>
          </w:p>
        </w:tc>
        <w:tc>
          <w:tcPr>
            <w:tcW w:w="820" w:type="dxa"/>
            <w:vAlign w:val="bottom"/>
          </w:tcPr>
          <w:p>
            <w:pPr>
              <w:jc w:val="right"/>
              <w:spacing w:after="0"/>
              <w:rPr>
                <w:sz w:val="20"/>
                <w:szCs w:val="20"/>
                <w:color w:val="auto"/>
              </w:rPr>
            </w:pPr>
            <w:r>
              <w:rPr>
                <w:rFonts w:ascii="Arial" w:cs="Arial" w:eastAsia="Arial" w:hAnsi="Arial"/>
                <w:sz w:val="12"/>
                <w:szCs w:val="12"/>
                <w:color w:val="auto"/>
              </w:rPr>
              <w:t>(125,045)</w:t>
            </w:r>
          </w:p>
        </w:tc>
        <w:tc>
          <w:tcPr>
            <w:tcW w:w="860" w:type="dxa"/>
            <w:vAlign w:val="bottom"/>
          </w:tcPr>
          <w:p>
            <w:pPr>
              <w:jc w:val="right"/>
              <w:ind w:right="35"/>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(125,045)</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other income, net</w:t>
            </w: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2"/>
                <w:szCs w:val="12"/>
                <w:color w:val="auto"/>
              </w:rPr>
              <w:t>(218)</w:t>
            </w:r>
          </w:p>
        </w:tc>
        <w:tc>
          <w:tcPr>
            <w:tcW w:w="8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(218)</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color w:val="auto"/>
              </w:rPr>
              <w:t>2,110</w:t>
            </w:r>
          </w:p>
        </w:tc>
        <w:tc>
          <w:tcPr>
            <w:tcW w:w="8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2,110</w:t>
            </w: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2"/>
                <w:szCs w:val="12"/>
                <w:color w:val="auto"/>
              </w:rPr>
              <w:t>(600)</w:t>
            </w:r>
          </w:p>
        </w:tc>
        <w:tc>
          <w:tcPr>
            <w:tcW w:w="8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(600)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8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(638)</w:t>
            </w:r>
          </w:p>
        </w:tc>
        <w:tc>
          <w:tcPr>
            <w:tcW w:w="0" w:type="dxa"/>
            <w:vAlign w:val="bottom"/>
          </w:tcPr>
          <w:p>
            <w:pPr>
              <w:spacing w:after="0"/>
              <w:rPr>
                <w:sz w:val="1"/>
                <w:szCs w:val="1"/>
                <w:color w:val="auto"/>
              </w:rPr>
            </w:pPr>
          </w:p>
        </w:tc>
      </w:tr>
      <w:tr>
        <w:trPr>
          <w:trHeight w:val="99"/>
        </w:trPr>
        <w:tc>
          <w:tcPr>
            <w:tcW w:w="1520" w:type="dxa"/>
            <w:vAlign w:val="bottom"/>
            <w:gridSpan w:val="2"/>
          </w:tcPr>
          <w:p>
            <w:pPr>
              <w:spacing w:after="0" w:line="100" w:lineRule="exact"/>
              <w:rPr>
                <w:sz w:val="20"/>
                <w:szCs w:val="20"/>
                <w:color w:val="auto"/>
              </w:rPr>
            </w:pPr>
            <w:r>
              <w:rPr>
                <w:rFonts w:ascii="Arial" w:cs="Arial" w:eastAsia="Arial" w:hAnsi="Arial"/>
                <w:sz w:val="11"/>
                <w:szCs w:val="11"/>
                <w:color w:val="auto"/>
              </w:rPr>
              <w:t>Net loss and</w:t>
            </w:r>
          </w:p>
        </w:tc>
        <w:tc>
          <w:tcPr>
            <w:tcW w:w="840" w:type="dxa"/>
            <w:vAlign w:val="bottom"/>
            <w:vMerge w:val="restart"/>
          </w:tcPr>
          <w:p>
            <w:pPr>
              <w:jc w:val="right"/>
              <w:ind w:right="17"/>
              <w:spacing w:after="0"/>
              <w:rPr>
                <w:sz w:val="20"/>
                <w:szCs w:val="20"/>
                <w:color w:val="auto"/>
              </w:rPr>
            </w:pPr>
            <w:r>
              <w:rPr>
                <w:rFonts w:ascii="Arial" w:cs="Arial" w:eastAsia="Arial" w:hAnsi="Arial"/>
                <w:sz w:val="12"/>
                <w:szCs w:val="12"/>
                <w:color w:val="auto"/>
              </w:rPr>
              <w:t>(26,990)</w:t>
            </w:r>
          </w:p>
        </w:tc>
        <w:tc>
          <w:tcPr>
            <w:tcW w:w="860" w:type="dxa"/>
            <w:vAlign w:val="bottom"/>
            <w:vMerge w:val="restart"/>
          </w:tcPr>
          <w:p>
            <w:pPr>
              <w:jc w:val="right"/>
              <w:ind w:right="56"/>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(26,990)</w:t>
            </w:r>
          </w:p>
        </w:tc>
        <w:tc>
          <w:tcPr>
            <w:tcW w:w="840" w:type="dxa"/>
            <w:vAlign w:val="bottom"/>
            <w:vMerge w:val="restart"/>
          </w:tcPr>
          <w:p>
            <w:pPr>
              <w:jc w:val="right"/>
              <w:ind w:right="17"/>
              <w:spacing w:after="0"/>
              <w:rPr>
                <w:sz w:val="20"/>
                <w:szCs w:val="20"/>
                <w:color w:val="auto"/>
              </w:rPr>
            </w:pPr>
            <w:r>
              <w:rPr>
                <w:rFonts w:ascii="Arial" w:cs="Arial" w:eastAsia="Arial" w:hAnsi="Arial"/>
                <w:sz w:val="12"/>
                <w:szCs w:val="12"/>
                <w:color w:val="auto"/>
              </w:rPr>
              <w:t>(32,052)</w:t>
            </w:r>
          </w:p>
        </w:tc>
        <w:tc>
          <w:tcPr>
            <w:tcW w:w="840" w:type="dxa"/>
            <w:vAlign w:val="bottom"/>
            <w:vMerge w:val="restart"/>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(32,052)</w:t>
            </w:r>
          </w:p>
        </w:tc>
        <w:tc>
          <w:tcPr>
            <w:tcW w:w="840" w:type="dxa"/>
            <w:vAlign w:val="bottom"/>
            <w:vMerge w:val="restart"/>
          </w:tcPr>
          <w:p>
            <w:pPr>
              <w:jc w:val="right"/>
              <w:ind w:right="17"/>
              <w:spacing w:after="0"/>
              <w:rPr>
                <w:sz w:val="20"/>
                <w:szCs w:val="20"/>
                <w:color w:val="auto"/>
              </w:rPr>
            </w:pPr>
            <w:r>
              <w:rPr>
                <w:rFonts w:ascii="Arial" w:cs="Arial" w:eastAsia="Arial" w:hAnsi="Arial"/>
                <w:sz w:val="12"/>
                <w:szCs w:val="12"/>
                <w:color w:val="auto"/>
              </w:rPr>
              <w:t>(56,615)</w:t>
            </w:r>
          </w:p>
        </w:tc>
        <w:tc>
          <w:tcPr>
            <w:tcW w:w="840" w:type="dxa"/>
            <w:vAlign w:val="bottom"/>
            <w:vMerge w:val="restart"/>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(56,615)</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(125,683)</w:t>
            </w:r>
          </w:p>
        </w:tc>
        <w:tc>
          <w:tcPr>
            <w:tcW w:w="860" w:type="dxa"/>
            <w:vAlign w:val="bottom"/>
            <w:vMerge w:val="restart"/>
          </w:tcPr>
          <w:p>
            <w:pPr>
              <w:jc w:val="right"/>
              <w:ind w:right="35"/>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(125,683)</w:t>
            </w:r>
          </w:p>
        </w:tc>
        <w:tc>
          <w:tcPr>
            <w:tcW w:w="0" w:type="dxa"/>
            <w:vAlign w:val="bottom"/>
          </w:tcPr>
          <w:p>
            <w:pPr>
              <w:spacing w:after="0"/>
              <w:rPr>
                <w:sz w:val="1"/>
                <w:szCs w:val="1"/>
                <w:color w:val="auto"/>
              </w:rPr>
            </w:pPr>
          </w:p>
        </w:tc>
      </w:tr>
      <w:tr>
        <w:trPr>
          <w:trHeight w:val="151"/>
        </w:trPr>
        <w:tc>
          <w:tcPr>
            <w:tcW w:w="60" w:type="dxa"/>
            <w:vAlign w:val="bottom"/>
          </w:tcPr>
          <w:p>
            <w:pPr>
              <w:spacing w:after="0"/>
              <w:rPr>
                <w:sz w:val="12"/>
                <w:szCs w:val="12"/>
                <w:color w:val="auto"/>
              </w:rPr>
            </w:pPr>
          </w:p>
        </w:tc>
        <w:tc>
          <w:tcPr>
            <w:tcW w:w="1460" w:type="dxa"/>
            <w:vAlign w:val="bottom"/>
          </w:tcPr>
          <w:p>
            <w:pPr>
              <w:ind w:left="20"/>
              <w:spacing w:after="0"/>
              <w:rPr>
                <w:sz w:val="20"/>
                <w:szCs w:val="20"/>
                <w:color w:val="auto"/>
              </w:rPr>
            </w:pPr>
            <w:r>
              <w:rPr>
                <w:rFonts w:ascii="Arial" w:cs="Arial" w:eastAsia="Arial" w:hAnsi="Arial"/>
                <w:sz w:val="12"/>
                <w:szCs w:val="12"/>
                <w:color w:val="auto"/>
              </w:rPr>
              <w:t>comprehensive loss</w:t>
            </w:r>
          </w:p>
        </w:tc>
        <w:tc>
          <w:tcPr>
            <w:tcW w:w="84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166370</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00"/>
          </w:cols>
          <w:pgMar w:left="240" w:top="127" w:right="35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adjustments also affected certain current asset and liability accounts previously reported in the condensed balance sheets as of March 31, 2021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condensed consolidated balance sheets as of September 30, 2021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1820" w:type="dxa"/>
            <w:vAlign w:val="bottom"/>
            <w:tcBorders>
              <w:bottom w:val="single" w:sz="8" w:color="auto"/>
            </w:tcBorders>
            <w:gridSpan w:val="2"/>
          </w:tcPr>
          <w:p>
            <w:pPr>
              <w:jc w:val="center"/>
              <w:ind w:left="689"/>
              <w:spacing w:after="0"/>
              <w:rPr>
                <w:sz w:val="20"/>
                <w:szCs w:val="20"/>
                <w:color w:val="auto"/>
              </w:rPr>
            </w:pPr>
            <w:r>
              <w:rPr>
                <w:rFonts w:ascii="Arial" w:cs="Arial" w:eastAsia="Arial" w:hAnsi="Arial"/>
                <w:sz w:val="14"/>
                <w:szCs w:val="14"/>
                <w:b w:val="1"/>
                <w:bCs w:val="1"/>
                <w:color w:val="auto"/>
                <w:w w:val="94"/>
              </w:rPr>
              <w:t>March 31, 2021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0"/>
              </w:rPr>
              <w:t>June 30, 2021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960" w:type="dxa"/>
            <w:vAlign w:val="bottom"/>
            <w:vMerge w:val="restart"/>
          </w:tcPr>
          <w:p>
            <w:pPr>
              <w:jc w:val="right"/>
              <w:ind w:right="129"/>
              <w:spacing w:after="0"/>
              <w:rPr>
                <w:sz w:val="20"/>
                <w:szCs w:val="20"/>
                <w:color w:val="auto"/>
              </w:rPr>
            </w:pPr>
            <w:r>
              <w:rPr>
                <w:rFonts w:ascii="Arial" w:cs="Arial" w:eastAsia="Arial" w:hAnsi="Arial"/>
                <w:sz w:val="14"/>
                <w:szCs w:val="14"/>
                <w:color w:val="auto"/>
              </w:rPr>
              <w:t>As reported</w:t>
            </w:r>
          </w:p>
        </w:tc>
        <w:tc>
          <w:tcPr>
            <w:tcW w:w="860" w:type="dxa"/>
            <w:vAlign w:val="bottom"/>
          </w:tcPr>
          <w:p>
            <w:pPr>
              <w:jc w:val="center"/>
              <w:ind w:right="129"/>
              <w:spacing w:after="0" w:line="131" w:lineRule="exact"/>
              <w:rPr>
                <w:sz w:val="20"/>
                <w:szCs w:val="20"/>
                <w:color w:val="auto"/>
              </w:rPr>
            </w:pPr>
            <w:r>
              <w:rPr>
                <w:rFonts w:ascii="Arial" w:cs="Arial" w:eastAsia="Arial" w:hAnsi="Arial"/>
                <w:sz w:val="14"/>
                <w:szCs w:val="14"/>
                <w:color w:val="auto"/>
                <w:w w:val="96"/>
              </w:rPr>
              <w:t>Adjust-</w:t>
            </w: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Restated</w:t>
            </w:r>
          </w:p>
        </w:tc>
        <w:tc>
          <w:tcPr>
            <w:tcW w:w="860" w:type="dxa"/>
            <w:vAlign w:val="bottom"/>
            <w:vMerge w:val="restart"/>
          </w:tcPr>
          <w:p>
            <w:pPr>
              <w:jc w:val="right"/>
              <w:ind w:right="29"/>
              <w:spacing w:after="0"/>
              <w:rPr>
                <w:sz w:val="20"/>
                <w:szCs w:val="20"/>
                <w:color w:val="auto"/>
              </w:rPr>
            </w:pPr>
            <w:r>
              <w:rPr>
                <w:rFonts w:ascii="Arial" w:cs="Arial" w:eastAsia="Arial" w:hAnsi="Arial"/>
                <w:sz w:val="14"/>
                <w:szCs w:val="14"/>
                <w:color w:val="auto"/>
              </w:rPr>
              <w:t>As reported</w:t>
            </w:r>
          </w:p>
        </w:tc>
        <w:tc>
          <w:tcPr>
            <w:tcW w:w="940" w:type="dxa"/>
            <w:vAlign w:val="bottom"/>
          </w:tcPr>
          <w:p>
            <w:pPr>
              <w:jc w:val="right"/>
              <w:ind w:right="229"/>
              <w:spacing w:after="0" w:line="131" w:lineRule="exact"/>
              <w:rPr>
                <w:sz w:val="20"/>
                <w:szCs w:val="20"/>
                <w:color w:val="auto"/>
              </w:rPr>
            </w:pPr>
            <w:r>
              <w:rPr>
                <w:rFonts w:ascii="Arial" w:cs="Arial" w:eastAsia="Arial" w:hAnsi="Arial"/>
                <w:sz w:val="14"/>
                <w:szCs w:val="14"/>
                <w:color w:val="auto"/>
              </w:rPr>
              <w:t>Adjust-</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Restated</w:t>
            </w:r>
          </w:p>
        </w:tc>
        <w:tc>
          <w:tcPr>
            <w:tcW w:w="880" w:type="dxa"/>
            <w:vAlign w:val="bottom"/>
            <w:vMerge w:val="restart"/>
          </w:tcPr>
          <w:p>
            <w:pPr>
              <w:jc w:val="right"/>
              <w:ind w:right="49"/>
              <w:spacing w:after="0"/>
              <w:rPr>
                <w:sz w:val="20"/>
                <w:szCs w:val="20"/>
                <w:color w:val="auto"/>
              </w:rPr>
            </w:pPr>
            <w:r>
              <w:rPr>
                <w:rFonts w:ascii="Arial" w:cs="Arial" w:eastAsia="Arial" w:hAnsi="Arial"/>
                <w:sz w:val="14"/>
                <w:szCs w:val="14"/>
                <w:color w:val="auto"/>
              </w:rPr>
              <w:t>As reported</w:t>
            </w:r>
          </w:p>
        </w:tc>
        <w:tc>
          <w:tcPr>
            <w:tcW w:w="1000" w:type="dxa"/>
            <w:vAlign w:val="bottom"/>
            <w:vMerge w:val="restart"/>
          </w:tcPr>
          <w:p>
            <w:pPr>
              <w:jc w:val="right"/>
              <w:ind w:right="169"/>
              <w:spacing w:after="0"/>
              <w:rPr>
                <w:sz w:val="20"/>
                <w:szCs w:val="20"/>
                <w:color w:val="auto"/>
              </w:rPr>
            </w:pPr>
            <w:r>
              <w:rPr>
                <w:rFonts w:ascii="Arial" w:cs="Arial" w:eastAsia="Arial" w:hAnsi="Arial"/>
                <w:sz w:val="14"/>
                <w:szCs w:val="14"/>
                <w:color w:val="auto"/>
                <w:w w:val="99"/>
              </w:rPr>
              <w:t>Adjust-ment</w:t>
            </w:r>
          </w:p>
        </w:tc>
        <w:tc>
          <w:tcPr>
            <w:tcW w:w="70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60" w:type="dxa"/>
            <w:vAlign w:val="bottom"/>
          </w:tcPr>
          <w:p>
            <w:pPr>
              <w:jc w:val="center"/>
              <w:ind w:right="109"/>
              <w:spacing w:after="0"/>
              <w:rPr>
                <w:sz w:val="20"/>
                <w:szCs w:val="20"/>
                <w:color w:val="auto"/>
              </w:rPr>
            </w:pPr>
            <w:r>
              <w:rPr>
                <w:rFonts w:ascii="Arial" w:cs="Arial" w:eastAsia="Arial" w:hAnsi="Arial"/>
                <w:sz w:val="14"/>
                <w:szCs w:val="14"/>
                <w:color w:val="auto"/>
                <w:w w:val="89"/>
              </w:rPr>
              <w:t>ment</w:t>
            </w:r>
          </w:p>
        </w:tc>
        <w:tc>
          <w:tcPr>
            <w:tcW w:w="86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40" w:type="dxa"/>
            <w:vAlign w:val="bottom"/>
          </w:tcPr>
          <w:p>
            <w:pPr>
              <w:jc w:val="right"/>
              <w:ind w:right="309"/>
              <w:spacing w:after="0"/>
              <w:rPr>
                <w:sz w:val="20"/>
                <w:szCs w:val="20"/>
                <w:color w:val="auto"/>
              </w:rPr>
            </w:pPr>
            <w:r>
              <w:rPr>
                <w:rFonts w:ascii="Arial" w:cs="Arial" w:eastAsia="Arial" w:hAnsi="Arial"/>
                <w:sz w:val="14"/>
                <w:szCs w:val="14"/>
                <w:color w:val="auto"/>
              </w:rPr>
              <w:t>ment</w:t>
            </w:r>
          </w:p>
        </w:tc>
        <w:tc>
          <w:tcPr>
            <w:tcW w:w="88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58,652</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58,652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26,501</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26,501</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461,276</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461,276</w:t>
            </w:r>
          </w:p>
        </w:tc>
        <w:tc>
          <w:tcPr>
            <w:tcW w:w="0" w:type="dxa"/>
            <w:vAlign w:val="bottom"/>
          </w:tcPr>
          <w:p>
            <w:pPr>
              <w:spacing w:after="0"/>
              <w:rPr>
                <w:sz w:val="1"/>
                <w:szCs w:val="1"/>
                <w:color w:val="auto"/>
              </w:rPr>
            </w:pPr>
          </w:p>
        </w:tc>
      </w:tr>
      <w:tr>
        <w:trPr>
          <w:trHeight w:val="185"/>
        </w:trPr>
        <w:tc>
          <w:tcPr>
            <w:tcW w:w="316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33,490</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(150)</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33,340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24,568</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24,568</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21,257</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21,257</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from related parties</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349</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349</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437</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413</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413</w:t>
            </w:r>
          </w:p>
        </w:tc>
        <w:tc>
          <w:tcPr>
            <w:tcW w:w="0" w:type="dxa"/>
            <w:vAlign w:val="bottom"/>
          </w:tcPr>
          <w:p>
            <w:pPr>
              <w:spacing w:after="0"/>
              <w:rPr>
                <w:sz w:val="1"/>
                <w:szCs w:val="1"/>
                <w:color w:val="auto"/>
              </w:rPr>
            </w:pPr>
          </w:p>
        </w:tc>
      </w:tr>
      <w:tr>
        <w:trPr>
          <w:trHeight w:val="185"/>
        </w:trPr>
        <w:tc>
          <w:tcPr>
            <w:tcW w:w="316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32,969</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32,969</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29,128</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29,128</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31,174</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31,174</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15,070</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14,931</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18,378</w:t>
            </w: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18,378</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24,391</w:t>
            </w:r>
          </w:p>
        </w:tc>
        <w:tc>
          <w:tcPr>
            <w:tcW w:w="10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24,391</w:t>
            </w:r>
          </w:p>
        </w:tc>
        <w:tc>
          <w:tcPr>
            <w:tcW w:w="0" w:type="dxa"/>
            <w:vAlign w:val="bottom"/>
          </w:tcPr>
          <w:p>
            <w:pPr>
              <w:spacing w:after="0"/>
              <w:rPr>
                <w:sz w:val="1"/>
                <w:szCs w:val="1"/>
                <w:color w:val="auto"/>
              </w:rPr>
            </w:pPr>
          </w:p>
        </w:tc>
      </w:tr>
      <w:tr>
        <w:trPr>
          <w:trHeight w:val="178"/>
        </w:trPr>
        <w:tc>
          <w:tcPr>
            <w:tcW w:w="3160" w:type="dxa"/>
            <w:vAlign w:val="bottom"/>
          </w:tcPr>
          <w:p>
            <w:pPr>
              <w:ind w:left="340"/>
              <w:spacing w:after="0"/>
              <w:rPr>
                <w:sz w:val="20"/>
                <w:szCs w:val="20"/>
                <w:color w:val="auto"/>
              </w:rPr>
            </w:pPr>
            <w:r>
              <w:rPr>
                <w:rFonts w:ascii="Arial" w:cs="Arial" w:eastAsia="Arial" w:hAnsi="Arial"/>
                <w:sz w:val="14"/>
                <w:szCs w:val="14"/>
                <w:color w:val="auto"/>
              </w:rPr>
              <w:t>Total current assets</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140,530</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(289)</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140,241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99,012</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99,012</w:t>
            </w:r>
          </w:p>
        </w:tc>
        <w:tc>
          <w:tcPr>
            <w:tcW w:w="10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538,511</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538,511</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64,632</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64,632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62,097</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62,097</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60,333</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60,333</w:t>
            </w:r>
          </w:p>
        </w:tc>
        <w:tc>
          <w:tcPr>
            <w:tcW w:w="0" w:type="dxa"/>
            <w:vAlign w:val="bottom"/>
          </w:tcPr>
          <w:p>
            <w:pPr>
              <w:spacing w:after="0"/>
              <w:rPr>
                <w:sz w:val="1"/>
                <w:szCs w:val="1"/>
                <w:color w:val="auto"/>
              </w:rPr>
            </w:pPr>
          </w:p>
        </w:tc>
      </w:tr>
      <w:tr>
        <w:trPr>
          <w:trHeight w:val="185"/>
        </w:trPr>
        <w:tc>
          <w:tcPr>
            <w:tcW w:w="316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10,828</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10,828</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10,828</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10,828</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900</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900</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3,596</w:t>
            </w: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3,596</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3,596</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3,613</w:t>
            </w:r>
          </w:p>
        </w:tc>
        <w:tc>
          <w:tcPr>
            <w:tcW w:w="10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3,613</w:t>
            </w:r>
          </w:p>
        </w:tc>
        <w:tc>
          <w:tcPr>
            <w:tcW w:w="0" w:type="dxa"/>
            <w:vAlign w:val="bottom"/>
          </w:tcPr>
          <w:p>
            <w:pPr>
              <w:spacing w:after="0"/>
              <w:rPr>
                <w:sz w:val="1"/>
                <w:szCs w:val="1"/>
                <w:color w:val="auto"/>
              </w:rPr>
            </w:pPr>
          </w:p>
        </w:tc>
      </w:tr>
      <w:tr>
        <w:trPr>
          <w:trHeight w:val="180"/>
        </w:trPr>
        <w:tc>
          <w:tcPr>
            <w:tcW w:w="316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219,586</w:t>
            </w: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(289)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219,297</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175,533</w:t>
            </w: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175,533</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603,357</w:t>
            </w:r>
          </w:p>
        </w:tc>
        <w:tc>
          <w:tcPr>
            <w:tcW w:w="10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603,357</w:t>
            </w:r>
          </w:p>
        </w:tc>
        <w:tc>
          <w:tcPr>
            <w:tcW w:w="0" w:type="dxa"/>
            <w:vAlign w:val="bottom"/>
          </w:tcPr>
          <w:p>
            <w:pPr>
              <w:spacing w:after="0"/>
              <w:rPr>
                <w:sz w:val="1"/>
                <w:szCs w:val="1"/>
                <w:color w:val="auto"/>
              </w:rPr>
            </w:pPr>
          </w:p>
        </w:tc>
      </w:tr>
      <w:tr>
        <w:trPr>
          <w:trHeight w:val="40"/>
        </w:trPr>
        <w:tc>
          <w:tcPr>
            <w:tcW w:w="3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5840" w:type="dxa"/>
            <w:vAlign w:val="bottom"/>
            <w:gridSpan w:val="5"/>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Equity (Deficit)</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9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60" w:type="dxa"/>
            <w:vAlign w:val="bottom"/>
          </w:tcPr>
          <w:p>
            <w:pPr>
              <w:ind w:left="180"/>
              <w:spacing w:after="0"/>
              <w:rPr>
                <w:sz w:val="20"/>
                <w:szCs w:val="20"/>
                <w:color w:val="auto"/>
              </w:rPr>
            </w:pPr>
            <w:r>
              <w:rPr>
                <w:rFonts w:ascii="Arial" w:cs="Arial" w:eastAsia="Arial" w:hAnsi="Arial"/>
                <w:sz w:val="14"/>
                <w:szCs w:val="14"/>
                <w:color w:val="auto"/>
              </w:rPr>
              <w:t>Accounts payable and accrued expenses</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41,609</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493</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42,102</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43,650</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1,581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45,231</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43,079</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242</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43,321</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to related parties</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797</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797</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1,278</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1,425</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1,425</w:t>
            </w:r>
          </w:p>
        </w:tc>
        <w:tc>
          <w:tcPr>
            <w:tcW w:w="0" w:type="dxa"/>
            <w:vAlign w:val="bottom"/>
          </w:tcPr>
          <w:p>
            <w:pPr>
              <w:spacing w:after="0"/>
              <w:rPr>
                <w:sz w:val="1"/>
                <w:szCs w:val="1"/>
                <w:color w:val="auto"/>
              </w:rPr>
            </w:pPr>
          </w:p>
        </w:tc>
      </w:tr>
      <w:tr>
        <w:trPr>
          <w:trHeight w:val="185"/>
        </w:trPr>
        <w:tc>
          <w:tcPr>
            <w:tcW w:w="3160" w:type="dxa"/>
            <w:vAlign w:val="bottom"/>
          </w:tcPr>
          <w:p>
            <w:pPr>
              <w:ind w:left="180"/>
              <w:spacing w:after="0"/>
              <w:rPr>
                <w:sz w:val="20"/>
                <w:szCs w:val="20"/>
                <w:color w:val="auto"/>
              </w:rPr>
            </w:pPr>
            <w:r>
              <w:rPr>
                <w:rFonts w:ascii="Arial" w:cs="Arial" w:eastAsia="Arial" w:hAnsi="Arial"/>
                <w:sz w:val="14"/>
                <w:szCs w:val="14"/>
                <w:color w:val="auto"/>
              </w:rPr>
              <w:t>Current contract liabilities</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2,810</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2,810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1,341</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1,341</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493</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493</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liabilities</w:t>
            </w: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22,991</w:t>
            </w: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22,991</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24,764</w:t>
            </w: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24,764</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26,369</w:t>
            </w:r>
          </w:p>
        </w:tc>
        <w:tc>
          <w:tcPr>
            <w:tcW w:w="10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26,369</w:t>
            </w:r>
          </w:p>
        </w:tc>
        <w:tc>
          <w:tcPr>
            <w:tcW w:w="0" w:type="dxa"/>
            <w:vAlign w:val="bottom"/>
          </w:tcPr>
          <w:p>
            <w:pPr>
              <w:spacing w:after="0"/>
              <w:rPr>
                <w:sz w:val="1"/>
                <w:szCs w:val="1"/>
                <w:color w:val="auto"/>
              </w:rPr>
            </w:pPr>
          </w:p>
        </w:tc>
      </w:tr>
      <w:tr>
        <w:trPr>
          <w:trHeight w:val="178"/>
        </w:trPr>
        <w:tc>
          <w:tcPr>
            <w:tcW w:w="3160" w:type="dxa"/>
            <w:vAlign w:val="bottom"/>
          </w:tcPr>
          <w:p>
            <w:pPr>
              <w:ind w:left="340"/>
              <w:spacing w:after="0"/>
              <w:rPr>
                <w:sz w:val="20"/>
                <w:szCs w:val="20"/>
                <w:color w:val="auto"/>
              </w:rPr>
            </w:pPr>
            <w:r>
              <w:rPr>
                <w:rFonts w:ascii="Arial" w:cs="Arial" w:eastAsia="Arial" w:hAnsi="Arial"/>
                <w:sz w:val="14"/>
                <w:szCs w:val="14"/>
                <w:color w:val="auto"/>
              </w:rPr>
              <w:t>Total current liabilities</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68,207</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493</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68,700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71,033</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1,581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72,614</w:t>
            </w:r>
          </w:p>
        </w:tc>
        <w:tc>
          <w:tcPr>
            <w:tcW w:w="10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71,366</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242</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71,608</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net of current portion</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18,502</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18,502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18,028</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18,028</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11,000</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11,000</w:t>
            </w:r>
          </w:p>
        </w:tc>
        <w:tc>
          <w:tcPr>
            <w:tcW w:w="0" w:type="dxa"/>
            <w:vAlign w:val="bottom"/>
          </w:tcPr>
          <w:p>
            <w:pPr>
              <w:spacing w:after="0"/>
              <w:rPr>
                <w:sz w:val="1"/>
                <w:szCs w:val="1"/>
                <w:color w:val="auto"/>
              </w:rPr>
            </w:pPr>
          </w:p>
        </w:tc>
      </w:tr>
      <w:tr>
        <w:trPr>
          <w:trHeight w:val="185"/>
        </w:trPr>
        <w:tc>
          <w:tcPr>
            <w:tcW w:w="3160" w:type="dxa"/>
            <w:vAlign w:val="bottom"/>
          </w:tcPr>
          <w:p>
            <w:pPr>
              <w:ind w:left="20"/>
              <w:spacing w:after="0"/>
              <w:rPr>
                <w:sz w:val="20"/>
                <w:szCs w:val="20"/>
                <w:color w:val="auto"/>
              </w:rPr>
            </w:pPr>
            <w:r>
              <w:rPr>
                <w:rFonts w:ascii="Arial" w:cs="Arial" w:eastAsia="Arial" w:hAnsi="Arial"/>
                <w:sz w:val="14"/>
                <w:szCs w:val="14"/>
                <w:color w:val="auto"/>
              </w:rPr>
              <w:t>Stock-based compensation liabilities</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296,952</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296,952</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295,049</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295,049</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46,629</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46,629</w:t>
            </w:r>
          </w:p>
        </w:tc>
        <w:tc>
          <w:tcPr>
            <w:tcW w:w="0" w:type="dxa"/>
            <w:vAlign w:val="bottom"/>
          </w:tcPr>
          <w:p>
            <w:pPr>
              <w:spacing w:after="0"/>
              <w:rPr>
                <w:sz w:val="1"/>
                <w:szCs w:val="1"/>
                <w:color w:val="auto"/>
              </w:rPr>
            </w:pPr>
          </w:p>
        </w:tc>
      </w:tr>
      <w:tr>
        <w:trPr>
          <w:trHeight w:val="185"/>
        </w:trPr>
        <w:tc>
          <w:tcPr>
            <w:tcW w:w="3160" w:type="dxa"/>
            <w:vAlign w:val="bottom"/>
          </w:tcPr>
          <w:p>
            <w:pPr>
              <w:ind w:left="20"/>
              <w:spacing w:after="0"/>
              <w:rPr>
                <w:sz w:val="20"/>
                <w:szCs w:val="20"/>
                <w:color w:val="auto"/>
              </w:rPr>
            </w:pPr>
            <w:r>
              <w:rPr>
                <w:rFonts w:ascii="Arial" w:cs="Arial" w:eastAsia="Arial" w:hAnsi="Arial"/>
                <w:sz w:val="14"/>
                <w:szCs w:val="14"/>
                <w:color w:val="auto"/>
              </w:rPr>
              <w:t>Earn-out contingent liability</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61,400</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61,400</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22,530</w:t>
            </w: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22,530</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21,907</w:t>
            </w: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21,907</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21,699</w:t>
            </w:r>
          </w:p>
        </w:tc>
        <w:tc>
          <w:tcPr>
            <w:tcW w:w="10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21,699</w:t>
            </w:r>
          </w:p>
        </w:tc>
        <w:tc>
          <w:tcPr>
            <w:tcW w:w="0" w:type="dxa"/>
            <w:vAlign w:val="bottom"/>
          </w:tcPr>
          <w:p>
            <w:pPr>
              <w:spacing w:after="0"/>
              <w:rPr>
                <w:sz w:val="1"/>
                <w:szCs w:val="1"/>
                <w:color w:val="auto"/>
              </w:rPr>
            </w:pPr>
          </w:p>
        </w:tc>
      </w:tr>
      <w:tr>
        <w:trPr>
          <w:trHeight w:val="180"/>
        </w:trPr>
        <w:tc>
          <w:tcPr>
            <w:tcW w:w="3160" w:type="dxa"/>
            <w:vAlign w:val="bottom"/>
          </w:tcPr>
          <w:p>
            <w:pPr>
              <w:ind w:left="340"/>
              <w:spacing w:after="0"/>
              <w:rPr>
                <w:sz w:val="20"/>
                <w:szCs w:val="20"/>
                <w:color w:val="auto"/>
              </w:rPr>
            </w:pPr>
            <w:r>
              <w:rPr>
                <w:rFonts w:ascii="Arial" w:cs="Arial" w:eastAsia="Arial" w:hAnsi="Arial"/>
                <w:sz w:val="14"/>
                <w:szCs w:val="14"/>
                <w:color w:val="auto"/>
              </w:rPr>
              <w:t>Total liabilities</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406,191</w:t>
            </w: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493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406,684</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406,017</w:t>
            </w: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1,581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407,598</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212,094</w:t>
            </w:r>
          </w:p>
        </w:tc>
        <w:tc>
          <w:tcPr>
            <w:tcW w:w="10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242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212,336</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6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Series A-1 redeemable convertible preferred stock</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51,811</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51,811</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51,811</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51,811</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3160" w:type="dxa"/>
            <w:vAlign w:val="bottom"/>
          </w:tcPr>
          <w:p>
            <w:pPr>
              <w:ind w:left="180"/>
              <w:spacing w:after="0"/>
              <w:rPr>
                <w:sz w:val="20"/>
                <w:szCs w:val="20"/>
                <w:color w:val="auto"/>
              </w:rPr>
            </w:pPr>
            <w:r>
              <w:rPr>
                <w:rFonts w:ascii="Arial" w:cs="Arial" w:eastAsia="Arial" w:hAnsi="Arial"/>
                <w:sz w:val="14"/>
                <w:szCs w:val="14"/>
                <w:color w:val="auto"/>
                <w:w w:val="94"/>
              </w:rPr>
              <w:t>Series A-2 redeemable convertible preferred stock</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46,480</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46,480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46,480</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46,480</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Series B redeemable convertible preferred stock</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118,824</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118,824</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118,824</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118,824</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w w:val="98"/>
              </w:rPr>
              <w:t>Series C redeemable convertible preferred stock</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117,324</w:t>
            </w: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117,324</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117,324</w:t>
            </w: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117,324</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Redeemable convertible preferred stock</w:t>
            </w: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334,439</w:t>
            </w: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334,439</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334,439</w:t>
            </w: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334,439</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316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24</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B convertible common stock</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316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1,483</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1,483</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926,253</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926,253</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(521,044)</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(782)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(521,826)</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(566,406)</w:t>
            </w: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(1,581)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(567,987)</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(535,014)</w:t>
            </w:r>
          </w:p>
        </w:tc>
        <w:tc>
          <w:tcPr>
            <w:tcW w:w="10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(242)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(535,256)</w:t>
            </w:r>
          </w:p>
        </w:tc>
        <w:tc>
          <w:tcPr>
            <w:tcW w:w="0" w:type="dxa"/>
            <w:vAlign w:val="bottom"/>
          </w:tcPr>
          <w:p>
            <w:pPr>
              <w:spacing w:after="0"/>
              <w:rPr>
                <w:sz w:val="1"/>
                <w:szCs w:val="1"/>
                <w:color w:val="auto"/>
              </w:rPr>
            </w:pPr>
          </w:p>
        </w:tc>
      </w:tr>
      <w:tr>
        <w:trPr>
          <w:trHeight w:val="178"/>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stockholders’ (deficit) equity</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(521,044)</w:t>
            </w: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(782)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(521,826)</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(564,923)</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(1,581)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(566,504)</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391,263</w:t>
            </w: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(242)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391,021</w:t>
            </w:r>
          </w:p>
        </w:tc>
        <w:tc>
          <w:tcPr>
            <w:tcW w:w="0" w:type="dxa"/>
            <w:vAlign w:val="bottom"/>
          </w:tcPr>
          <w:p>
            <w:pPr>
              <w:spacing w:after="0"/>
              <w:rPr>
                <w:sz w:val="1"/>
                <w:szCs w:val="1"/>
                <w:color w:val="auto"/>
              </w:rPr>
            </w:pPr>
          </w:p>
        </w:tc>
      </w:tr>
      <w:tr>
        <w:trPr>
          <w:trHeight w:val="113"/>
        </w:trPr>
        <w:tc>
          <w:tcPr>
            <w:tcW w:w="3160" w:type="dxa"/>
            <w:vAlign w:val="bottom"/>
            <w:shd w:val="clear" w:color="auto" w:fill="CCEEFF"/>
          </w:tcPr>
          <w:p>
            <w:pPr>
              <w:ind w:left="180"/>
              <w:spacing w:after="0" w:line="113" w:lineRule="exact"/>
              <w:rPr>
                <w:sz w:val="20"/>
                <w:szCs w:val="20"/>
                <w:color w:val="auto"/>
              </w:rPr>
            </w:pPr>
            <w:r>
              <w:rPr>
                <w:rFonts w:ascii="Arial" w:cs="Arial" w:eastAsia="Arial" w:hAnsi="Arial"/>
                <w:sz w:val="13"/>
                <w:szCs w:val="13"/>
                <w:color w:val="auto"/>
              </w:rPr>
              <w:t>Total liabilities, redeemable convertible preferred</w:t>
            </w:r>
          </w:p>
        </w:tc>
        <w:tc>
          <w:tcPr>
            <w:tcW w:w="9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219,586</w:t>
            </w: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(289)</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219,297</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175,533</w:t>
            </w:r>
          </w:p>
        </w:tc>
        <w:tc>
          <w:tcPr>
            <w:tcW w:w="9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175,533</w:t>
            </w: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603,357</w:t>
            </w:r>
          </w:p>
        </w:tc>
        <w:tc>
          <w:tcPr>
            <w:tcW w:w="100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603,357</w:t>
            </w:r>
          </w:p>
        </w:tc>
        <w:tc>
          <w:tcPr>
            <w:tcW w:w="0" w:type="dxa"/>
            <w:vAlign w:val="bottom"/>
          </w:tcPr>
          <w:p>
            <w:pPr>
              <w:spacing w:after="0"/>
              <w:rPr>
                <w:sz w:val="1"/>
                <w:szCs w:val="1"/>
                <w:color w:val="auto"/>
              </w:rPr>
            </w:pPr>
          </w:p>
        </w:tc>
      </w:tr>
      <w:tr>
        <w:trPr>
          <w:trHeight w:val="179"/>
        </w:trPr>
        <w:tc>
          <w:tcPr>
            <w:tcW w:w="3160" w:type="dxa"/>
            <w:vAlign w:val="bottom"/>
            <w:tcBorders>
              <w:bottom w:val="single" w:sz="8" w:color="CCEEFF"/>
            </w:tcBorders>
            <w:shd w:val="clear" w:color="auto" w:fill="CCEEFF"/>
          </w:tcPr>
          <w:p>
            <w:pPr>
              <w:ind w:left="340"/>
              <w:spacing w:after="0" w:line="159" w:lineRule="exact"/>
              <w:rPr>
                <w:sz w:val="20"/>
                <w:szCs w:val="20"/>
                <w:color w:val="auto"/>
              </w:rPr>
            </w:pPr>
            <w:r>
              <w:rPr>
                <w:rFonts w:ascii="Arial" w:cs="Arial" w:eastAsia="Arial" w:hAnsi="Arial"/>
                <w:sz w:val="14"/>
                <w:szCs w:val="14"/>
                <w:color w:val="auto"/>
              </w:rPr>
              <w:t>stock and stockholders’ equity</w:t>
            </w: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adjustments did not have any impact on the net cash used in operating or investing activities, or net cash used or provided by financing activities previously reported in the condensed statements of cash flows. However, certain line items within the operating section of the condensed statements of cash flows would change by immaterial amounts.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preparation of consolidated financial statements requires management to make certain estimates, judgments and assumptions that affect the reported amounts of assets and liabilities and the related disclosures at the date of the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inventory, earn-out contingent liability and earn-out RSUs. Actual results could differ materially from those estimates, judgments and assumptions.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3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as of December 31, 2021 and 2020 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each significant payor, revenue as a percentage of total revenues and accounts receivable as a percentage of total accounts receivable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Revenue</w:t>
            </w:r>
          </w:p>
        </w:tc>
        <w:tc>
          <w:tcPr>
            <w:tcW w:w="1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869"/>
              <w:spacing w:after="0"/>
              <w:rPr>
                <w:sz w:val="20"/>
                <w:szCs w:val="20"/>
                <w:color w:val="auto"/>
              </w:rPr>
            </w:pPr>
            <w:r>
              <w:rPr>
                <w:rFonts w:ascii="Arial" w:cs="Arial" w:eastAsia="Arial" w:hAnsi="Arial"/>
                <w:sz w:val="14"/>
                <w:szCs w:val="14"/>
                <w:b w:val="1"/>
                <w:bCs w:val="1"/>
                <w:color w:val="auto"/>
                <w:w w:val="88"/>
              </w:rPr>
              <w:t>Accounts Receivable</w:t>
            </w:r>
          </w:p>
        </w:tc>
      </w:tr>
      <w:tr>
        <w:trPr>
          <w:trHeight w:val="183"/>
        </w:trPr>
        <w:tc>
          <w:tcPr>
            <w:tcW w:w="306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center"/>
              <w:ind w:right="889"/>
              <w:spacing w:after="0"/>
              <w:rPr>
                <w:sz w:val="20"/>
                <w:szCs w:val="20"/>
                <w:color w:val="auto"/>
              </w:rPr>
            </w:pPr>
            <w:r>
              <w:rPr>
                <w:rFonts w:ascii="Arial" w:cs="Arial" w:eastAsia="Arial" w:hAnsi="Arial"/>
                <w:sz w:val="14"/>
                <w:szCs w:val="14"/>
                <w:b w:val="1"/>
                <w:bCs w:val="1"/>
                <w:color w:val="auto"/>
                <w:w w:val="90"/>
              </w:rPr>
              <w:t>As of December 31,</w:t>
            </w:r>
          </w:p>
        </w:tc>
      </w:tr>
      <w:tr>
        <w:trPr>
          <w:trHeight w:val="179"/>
        </w:trPr>
        <w:tc>
          <w:tcPr>
            <w:tcW w:w="306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ind w:left="515"/>
              <w:spacing w:after="0"/>
              <w:rPr>
                <w:sz w:val="20"/>
                <w:szCs w:val="20"/>
                <w:color w:val="auto"/>
              </w:rPr>
            </w:pPr>
            <w:r>
              <w:rPr>
                <w:rFonts w:ascii="Arial" w:cs="Arial" w:eastAsia="Arial" w:hAnsi="Arial"/>
                <w:sz w:val="14"/>
                <w:szCs w:val="14"/>
                <w:b w:val="1"/>
                <w:bCs w:val="1"/>
                <w:color w:val="auto"/>
                <w:w w:val="89"/>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22%</w:t>
            </w:r>
          </w:p>
        </w:tc>
        <w:tc>
          <w:tcPr>
            <w:tcW w:w="164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4"/>
              </w:rPr>
              <w:t>27%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88"/>
              </w:rPr>
              <w:t>15%</w:t>
            </w:r>
          </w:p>
        </w:tc>
        <w:tc>
          <w:tcPr>
            <w:tcW w:w="2260" w:type="dxa"/>
            <w:vAlign w:val="bottom"/>
            <w:gridSpan w:val="3"/>
            <w:shd w:val="clear" w:color="auto" w:fill="CCEEFF"/>
          </w:tcPr>
          <w:p>
            <w:pPr>
              <w:jc w:val="center"/>
              <w:ind w:left="618"/>
              <w:spacing w:after="0"/>
              <w:rPr>
                <w:sz w:val="20"/>
                <w:szCs w:val="20"/>
                <w:color w:val="auto"/>
              </w:rPr>
            </w:pPr>
            <w:r>
              <w:rPr>
                <w:rFonts w:ascii="Arial" w:cs="Arial" w:eastAsia="Arial" w:hAnsi="Arial"/>
                <w:sz w:val="18"/>
                <w:szCs w:val="18"/>
                <w:color w:val="auto"/>
                <w:w w:val="88"/>
              </w:rPr>
              <w:t>10%</w:t>
            </w:r>
          </w:p>
        </w:tc>
      </w:tr>
      <w:tr>
        <w:trPr>
          <w:trHeight w:val="225"/>
        </w:trPr>
        <w:tc>
          <w:tcPr>
            <w:tcW w:w="3060" w:type="dxa"/>
            <w:vAlign w:val="bottom"/>
          </w:tcPr>
          <w:p>
            <w:pPr>
              <w:ind w:left="20"/>
              <w:spacing w:after="0"/>
              <w:rPr>
                <w:sz w:val="20"/>
                <w:szCs w:val="20"/>
                <w:color w:val="auto"/>
              </w:rPr>
            </w:pPr>
            <w:r>
              <w:rPr>
                <w:rFonts w:ascii="Arial" w:cs="Arial" w:eastAsia="Arial" w:hAnsi="Arial"/>
                <w:sz w:val="18"/>
                <w:szCs w:val="18"/>
                <w:color w:val="auto"/>
              </w:rPr>
              <w:t>Payor B</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13%</w:t>
            </w:r>
          </w:p>
        </w:tc>
        <w:tc>
          <w:tcPr>
            <w:tcW w:w="1640" w:type="dxa"/>
            <w:vAlign w:val="bottom"/>
            <w:gridSpan w:val="2"/>
          </w:tcPr>
          <w:p>
            <w:pPr>
              <w:jc w:val="center"/>
              <w:ind w:left="15"/>
              <w:spacing w:after="0"/>
              <w:rPr>
                <w:sz w:val="20"/>
                <w:szCs w:val="20"/>
                <w:color w:val="auto"/>
              </w:rPr>
            </w:pPr>
            <w:r>
              <w:rPr>
                <w:rFonts w:ascii="Arial" w:cs="Arial" w:eastAsia="Arial" w:hAnsi="Arial"/>
                <w:sz w:val="18"/>
                <w:szCs w:val="18"/>
                <w:color w:val="auto"/>
                <w:w w:val="94"/>
              </w:rPr>
              <w:t>14%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center"/>
              <w:ind w:left="515"/>
              <w:spacing w:after="0"/>
              <w:rPr>
                <w:sz w:val="20"/>
                <w:szCs w:val="20"/>
                <w:color w:val="auto"/>
              </w:rPr>
            </w:pPr>
            <w:r>
              <w:rPr>
                <w:rFonts w:ascii="Arial" w:cs="Arial" w:eastAsia="Arial" w:hAnsi="Arial"/>
                <w:sz w:val="18"/>
                <w:szCs w:val="18"/>
                <w:color w:val="auto"/>
              </w:rPr>
              <w:t>*</w:t>
            </w:r>
          </w:p>
        </w:tc>
        <w:tc>
          <w:tcPr>
            <w:tcW w:w="2260" w:type="dxa"/>
            <w:vAlign w:val="bottom"/>
            <w:gridSpan w:val="3"/>
          </w:tcPr>
          <w:p>
            <w:pPr>
              <w:jc w:val="center"/>
              <w:ind w:left="618"/>
              <w:spacing w:after="0"/>
              <w:rPr>
                <w:sz w:val="20"/>
                <w:szCs w:val="20"/>
                <w:color w:val="auto"/>
              </w:rPr>
            </w:pPr>
            <w:r>
              <w:rPr>
                <w:rFonts w:ascii="Arial" w:cs="Arial" w:eastAsia="Arial" w:hAnsi="Arial"/>
                <w:sz w:val="18"/>
                <w:szCs w:val="18"/>
                <w:color w:val="auto"/>
              </w:rPr>
              <w:t>*</w:t>
            </w:r>
          </w:p>
        </w:tc>
      </w:tr>
      <w:tr>
        <w:trPr>
          <w:trHeight w:val="22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rPr>
              <w:t>*</w:t>
            </w:r>
          </w:p>
        </w:tc>
        <w:tc>
          <w:tcPr>
            <w:tcW w:w="2260" w:type="dxa"/>
            <w:vAlign w:val="bottom"/>
            <w:gridSpan w:val="3"/>
            <w:shd w:val="clear" w:color="auto" w:fill="CCEEFF"/>
          </w:tcPr>
          <w:p>
            <w:pPr>
              <w:jc w:val="center"/>
              <w:ind w:left="618"/>
              <w:spacing w:after="0"/>
              <w:rPr>
                <w:sz w:val="20"/>
                <w:szCs w:val="20"/>
                <w:color w:val="auto"/>
              </w:rPr>
            </w:pPr>
            <w:r>
              <w:rPr>
                <w:rFonts w:ascii="Arial" w:cs="Arial" w:eastAsia="Arial" w:hAnsi="Arial"/>
                <w:sz w:val="18"/>
                <w:szCs w:val="18"/>
                <w:color w:val="auto"/>
                <w:w w:val="88"/>
              </w:rPr>
              <w:t>20%</w:t>
            </w: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Payor D</w:t>
            </w: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center"/>
              <w:ind w:lef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24%</w:t>
            </w:r>
          </w:p>
        </w:tc>
        <w:tc>
          <w:tcPr>
            <w:tcW w:w="140" w:type="dxa"/>
            <w:vAlign w:val="bottom"/>
          </w:tcPr>
          <w:p>
            <w:pPr>
              <w:spacing w:after="0"/>
              <w:rPr>
                <w:sz w:val="19"/>
                <w:szCs w:val="19"/>
                <w:color w:val="auto"/>
              </w:rPr>
            </w:pPr>
          </w:p>
        </w:tc>
        <w:tc>
          <w:tcPr>
            <w:tcW w:w="960" w:type="dxa"/>
            <w:vAlign w:val="bottom"/>
          </w:tcPr>
          <w:p>
            <w:pPr>
              <w:jc w:val="center"/>
              <w:ind w:left="515"/>
              <w:spacing w:after="0"/>
              <w:rPr>
                <w:sz w:val="20"/>
                <w:szCs w:val="20"/>
                <w:color w:val="auto"/>
              </w:rPr>
            </w:pPr>
            <w:r>
              <w:rPr>
                <w:rFonts w:ascii="Arial" w:cs="Arial" w:eastAsia="Arial" w:hAnsi="Arial"/>
                <w:sz w:val="18"/>
                <w:szCs w:val="18"/>
                <w:color w:val="auto"/>
                <w:w w:val="88"/>
              </w:rPr>
              <w:t>15%</w:t>
            </w:r>
          </w:p>
        </w:tc>
        <w:tc>
          <w:tcPr>
            <w:tcW w:w="2260" w:type="dxa"/>
            <w:vAlign w:val="bottom"/>
            <w:gridSpan w:val="3"/>
          </w:tcPr>
          <w:p>
            <w:pPr>
              <w:jc w:val="center"/>
              <w:ind w:left="618"/>
              <w:spacing w:after="0"/>
              <w:rPr>
                <w:sz w:val="20"/>
                <w:szCs w:val="20"/>
                <w:color w:val="auto"/>
              </w:rPr>
            </w:pPr>
            <w:r>
              <w:rPr>
                <w:rFonts w:ascii="Arial" w:cs="Arial" w:eastAsia="Arial" w:hAnsi="Arial"/>
                <w:sz w:val="18"/>
                <w:szCs w:val="18"/>
                <w:color w:val="auto"/>
              </w:rPr>
              <w:t>*</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1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is subject to a concentration of risk from a limited number of suppliers for certain reagents and laboratory supplies. One supplier accounted for approximately 7%, 11% and 15% for the years ended December 31, 2021, 2020 and 2019, respectively. Another supplier accounted for approximately 11%, 10% and 12% for the years ended December 31, 2021, 2020 and 2019, respectively. This risk is managed by maintaining a target quantity of surplus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March 2020, the World Health Organization declared the COVID-19 outbreak a global pandemic. The ongoing COVID-19 pandemic has had, and continues to have, an extensive impact on global health and economic conditions. Many jurisdictions, including those in which the Company has current operations, have implemented measures to combat the spread and resurgence of COVID-19, such as travel restrictions and shelter in place orders. In addition, the healthcare sector generally experienced a decline in discretionary care services at the onset of the pandemic.</w:t>
      </w:r>
    </w:p>
    <w:p>
      <w:pPr>
        <w:spacing w:after="0" w:line="15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Beginning in April 2020, the Company’s diagnostic test volumes decreased significantly as compared to the prior year as a result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While test volumes have since improved, the Company continues to experience changes in the mix of tests due to the impact of the COVID-19 pandemic. COVID-19 could continue to have a material impact on the Company’s results of operations, cash flows and financial condition for the foreseeable future.</w:t>
      </w:r>
    </w:p>
    <w:p>
      <w:pPr>
        <w:spacing w:after="0" w:line="9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and reflected in this balance as of December 31, 2020 and December 31, 2021.</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2021, the Company received an additional $5.6 million during 2021 under the PRF distribution, which was recognized in other income (expense), net in the consolidated statements of operations and comprehensive loss.</w:t>
      </w:r>
    </w:p>
    <w:p>
      <w:pPr>
        <w:spacing w:after="0" w:line="114"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Additionally, under the CARES Act, the Company deferred payment of U.S. social security taxes in 2020 . As a result, $3.8 million of employer payroll tax payments were deferred as of December 31, 2020 with $1.9 million paid in December 2021 and the remaining $1.9 million payment will be made in December 2022. As of December 31, 2021, the remaining payable is recorded in other current liabilities.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December 15, 2021, it was announced that COVID-19 testing services would be discontinued by March 31,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sheets that sum to the total of the same amounts shown on the statements of cash flows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401,469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Restricted cash as of December 31, 2021 consists of money market deposit accounts that secure an irrevocable standby letter of credit that serve as collateral for security deposits for operating leases (see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Accounts receivable consists of amounts due from customers and third party payors for services performed and reflect the consideration to which the Company expects to be entitled in exchange for providing those services. Accounts receivable are estimated and recorded in the period the related revenue is recorded. During the years ended December 31, 2021 and 2020, the Company did not record provisions for doubtful accounts. The Company did not write off any accounts receivable balances for the year ended December 31, 2021 and $0.2 million of accounts receivable was written off for the year ended December 31,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net</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Inventory, net which primarily consists of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The Company recorded a reserve for excess and obsolete inventory of $2.1 million as of December 31, 2021. There was no reserve recorded as of December 31,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Property and equipment, net are stated at cost less accumulated depreciation and amortization. Equipment includes assets under capital lease. Improvements are capitalized, while maintenance and repairs are expensed as incurred. When assets are retired or otherwise disposed of, the cost and accumulated depreciation and amortization are removed from the balance sheets and any resulting gain or loss is reflected in the statements of operations and comprehensive loss in the period realized.</w:t>
      </w:r>
    </w:p>
    <w:p>
      <w:pPr>
        <w:spacing w:after="0" w:line="13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Capital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5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There were no long-lived asset impairment losses recorded for any periods presented.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capitalize certain costs incurred related to the development of our software applications for internal use during the application development state.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w:t>
      </w:r>
    </w:p>
    <w:p>
      <w:pPr>
        <w:spacing w:after="0" w:line="93"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hierarchy lists three levels of fair value based on the extent to which inputs used in measuring fair value are observable in the market:</w:t>
      </w:r>
    </w:p>
    <w:p>
      <w:pPr>
        <w:spacing w:after="0" w:line="164"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28"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significant to the measurement of fair value but are supported by little to no market data.</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Company’s capital leases are classified within level 1 of the fair value hierarchy because such agreements bear interest at rates for instruments with similar characteristics; accordingly, the carrying value of these liabilities approximate their fair values.</w:t>
      </w:r>
    </w:p>
    <w:p>
      <w:pPr>
        <w:spacing w:after="0" w:line="114" w:lineRule="exact"/>
        <w:rPr>
          <w:sz w:val="20"/>
          <w:szCs w:val="20"/>
          <w:color w:val="auto"/>
        </w:rPr>
      </w:pPr>
    </w:p>
    <w:p>
      <w:pPr>
        <w:jc w:val="both"/>
        <w:ind w:right="160"/>
        <w:spacing w:after="0" w:line="293" w:lineRule="auto"/>
        <w:rPr>
          <w:sz w:val="20"/>
          <w:szCs w:val="20"/>
          <w:color w:val="auto"/>
        </w:rPr>
      </w:pPr>
      <w:r>
        <w:rPr>
          <w:rFonts w:ascii="Arial" w:cs="Arial" w:eastAsia="Arial" w:hAnsi="Arial"/>
          <w:sz w:val="15"/>
          <w:szCs w:val="15"/>
          <w:color w:val="auto"/>
        </w:rPr>
        <w:t>The Company’s loan from the Connecticut Department of Economic and Community Development is classified within level 2 of the fair value hierarchy. As of December 31, 2021, the long-term debt is recorded at its carrying value of $11.0 million in the consolidated balance sheet. The fair value is $10.2 million, which is estimated based on discounted cash flows using the yields of similar debt instruments of other companies with similar credit profiles.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of the consummation of the Merger in July 2021, there were 21,995,000 warrants to purchase shares of Class A common stock outstanding, including 14,758,333 public warrants and 7,236,667 private placement warrants. As of December 31,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may redeem the outstanding public warrants if the price per share of the Class A common stock equals or exceeds $18.00 as described below:</w:t>
      </w:r>
    </w:p>
    <w:p>
      <w:pPr>
        <w:spacing w:after="0" w:line="379"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may redeem the outstanding public warrants if the price per share of the common stock equals or exceeds $10.00 as described below:</w:t>
      </w:r>
    </w:p>
    <w:p>
      <w:pPr>
        <w:spacing w:after="0" w:line="278" w:lineRule="exact"/>
        <w:rPr>
          <w:sz w:val="20"/>
          <w:szCs w:val="20"/>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right="20" w:hanging="316"/>
        <w:spacing w:after="0" w:line="365" w:lineRule="auto"/>
        <w:tabs>
          <w:tab w:leader="none" w:pos="635" w:val="left"/>
        </w:tabs>
        <w:numPr>
          <w:ilvl w:val="0"/>
          <w:numId w:val="47"/>
        </w:numPr>
        <w:rPr>
          <w:rFonts w:ascii="Arial" w:cs="Arial" w:eastAsia="Arial" w:hAnsi="Arial"/>
          <w:sz w:val="15"/>
          <w:szCs w:val="15"/>
          <w:color w:val="auto"/>
        </w:rPr>
      </w:pPr>
      <w:r>
        <w:rPr>
          <w:rFonts w:ascii="Arial" w:cs="Arial" w:eastAsia="Arial" w:hAnsi="Arial"/>
          <w:sz w:val="15"/>
          <w:szCs w:val="15"/>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58" w:lineRule="exact"/>
        <w:rPr>
          <w:rFonts w:ascii="Arial" w:cs="Arial" w:eastAsia="Arial" w:hAnsi="Arial"/>
          <w:sz w:val="15"/>
          <w:szCs w:val="15"/>
          <w:color w:val="auto"/>
        </w:rPr>
      </w:pPr>
    </w:p>
    <w:p>
      <w:pPr>
        <w:ind w:left="640" w:hanging="316"/>
        <w:spacing w:after="0" w:line="294"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104"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5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connection with the Merger, all Legacy Sema4 stockholders and option holders at that time became entitled to a pro rata share of 19,021,576 earn-out shares and earn-out Restricted Stock Units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consolidated statements of operations and comprehensive loss.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determined the fair value of the earn-out shares issued to the Legacy Sema4 stockholders as of December 31, 2021 was $10.2 million.</w:t>
      </w:r>
    </w:p>
    <w:p>
      <w:pPr>
        <w:spacing w:after="0" w:line="21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stock-compensation expense is recognized over the longer of the expected achievement period for the market-based requirement and the service requirement. The Company recorded $0.2 million in relation to the earn-out RSU for the year ended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2021.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estimated fair value of the earn-out is determined using a Monte Carlo valuation analysis.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measures stock-based compensation at the grant date based on the fair value of the award and recognizes stock-based compensation expense over the requisite service period for each separate vesting portion of the award on a straight-line basis. Determining the fair value of stock option awards requires judgment, including estimating stock price volatility and expected option life. Restricted stock awards are valued based on the fair value of the stock on the grant date. The Company uses the Black-Scholes option-pricing model to estimate the fair value of its stock option awards.</w:t>
      </w:r>
    </w:p>
    <w:p>
      <w:pPr>
        <w:spacing w:after="0" w:line="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issues new shares upon share option exercise and vesting of a restricted share unit. Forfeitures of stock-based compensation are recognized as they occur.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Income taxes are accounted for under the asset and liability method. The provision for income taxes represents income taxes paid or payable for the current year plus the change in deferred taxes during the year. Current and deferred income taxes are measured based on the tax laws that are enacted as of the balance sheet date of the relevant reporting period. Deferred tax assets and liabilities are recognized for the expected future tax consequences of temporary differences between the carrying amounts of assets and liabilities and their respective tax bases using tax rates in effect for the year in which the differences are expected to reverse. The effect on deferred tax assets and liabilities of a change in tax rates is recognized in the statements of operations and comprehensive loss in the period when the change is enacted.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recognizes the effect of a tax position when it is more likely than not, based on technical merits, that the position will be sustained upon examination by the appropriate taxing authorities. The amount of tax benefit recognized for an uncertain tax position is the largest amount of benefit with a greater than 50 percent likelihood of being realized. Unrecognized tax benefits are included within other liabilities if recognized and are charged to earnings in the period that such determination is made. The Company records interest and penalties related to tax uncertainties, if applicable, as a component of income tax expense.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categorizes lease agreements at their inception as either operating or capital leases.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For operating leases, the Company recognizes related rent expense on a straight-line basis over the term of the applicable lease agreement. Certain lease agreements contain rent holidays, scheduled rent increases and lease incentives. Rent holidays and scheduled rent increases are included in the determination of rent expense to be recorded over the lease term. Any lease incentives reduce rent expense the Company records on a straight-line basis over the term of the lease. The Company recognizes rent expense beginning on the date it obtains the legal right to use and control the leased space.</w:t>
      </w:r>
    </w:p>
    <w:p>
      <w:pPr>
        <w:spacing w:after="0" w:line="93"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For capital leases, the Company records a leased asset with a corresponding liability. Payments are recorded as reductions to the liability with an interest charge recorded based on the remaining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Company adopted Accounting Standards Codification (“ASC”) Topic 606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on January 1, 2019 using the modified retrospective method applied to contracts which were not completed as of the adoption date. The Company recognizes revenue when control of the promised goods or services is transferred to the customer in an amount that reflects the consideration which the Company expects to be entitled to in exchange for those goods or services. If any changes in customer credit issues are identified which were not assessed at the date of service, provisions for doubtful accounts are recognized and recorded.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Company’s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generally transferred at a point in time when the customer obtains control of the promised service which is upon delivery of the test.</w:t>
      </w:r>
    </w:p>
    <w:p>
      <w:pPr>
        <w:spacing w:after="0" w:line="11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arrangements with third-party insurance payors, the transaction price is stated within the contract, however, the Company accepts payments from third-party payors that are less than the contractually stated price and is therefore variable consideration and the transaction price is estimated.</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w:t>
      </w:r>
    </w:p>
    <w:p>
      <w:pPr>
        <w:spacing w:after="0" w:line="14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For institutional clients, the customer is the institution. The Company determines the transaction price associated with services rendered in accordance with the contractual rates established with each customer.</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Payment terms and conditions vary by contract and customer, however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enters into both short-term and long-term project-based collaboration and service agreements with customers. Certain of these contracts include the transfer of a license to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consideration generally includes non-refundable upfront payments and variable payments based upon the achievement of certain milestones or fixed monthly payments during the contract term. Non-refundable upfront payments received prior to the Company performing performance obligation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9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satisfies its performance obligation generally over time if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consolidated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operates and manages its business as one reportable operating segment based on how the Chief Executive Officer, who is the Company’s chief operating decision maker (“CODM”), assesses performance and allocates resources across the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Effective January 1, 2021, the Company adopted Accounting Standards Update (“ASU”) 2018-18, Collaborative Arrangements: Clarifying the Interaction between Topic 808 and Topic 606 (“ASU 2018-18”), which clarifies that certain transactions between participants in a collaborative arrangement should be accounted for under ASC Topic 606 (“ASC 606”), Revenue from Contracts with Customers, when the counterparty is a customer. In addition, ASC Topic 808 (“ASC 808”), Collaborative Arrangements precludes an entity from presenting consideration from a transaction in a collaborative arrangement as revenue from contracts with customers if the counterparty is not a customer for that transaction. Adoption of ASU 2018-18 did not have an impact on the Company’s consolidated financial statements as the Company is not currently a participant in any such collaborative arrangements.</w:t>
      </w:r>
    </w:p>
    <w:p>
      <w:pPr>
        <w:spacing w:after="0" w:line="11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adopted ASU 2018-15, Intangibles – Goodwill and Other – Internal-Use Software (Subtopic 350-40): Customer’s Accounting for Implementation Costs Incurred in a Cloud Computing Arrangement That Is a Service Contract (“ASU 2018-15”) for the annual period ended December 31, 2021. ASU 2018-15 aligns the accounting for costs incurred to implement a cloud computing arrangement that is a service arrangement with the guidance on capitalizing costs associated with developing or obtaining internal-use software. The Company adopted and applied this update prospectively to all implementation costs incurred during the year ended December 31, 2021, $2.3 million of implementation costs are capitalized and recorded in other current and non-current assets.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Company capitalizes certain costs incurred during the application development stage and all costs incurred during the preliminary project and post-implementation stages are expensed as incurred. Amortization begins when the cloud computing arrangement is ready for its intended use and is calculated on a straight-line basis over the fixed noncancellable periods plus renewal periods the Company deems it reasonably certain to exercise.</w:t>
      </w:r>
    </w:p>
    <w:p>
      <w:pPr>
        <w:spacing w:after="0" w:line="14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adopted ASU 2019-12, Income Taxes (Topic 740): Simplifying the Accounting for Income Taxes (“ASU 2019-12”). ASU 2019-12 updates specific areas of ASC 740, Income Taxes, to reduce complexity while maintaining or improving the usefulness of the information provided to users of financial statements. The Company has adopted the new standard in the fourth quarter of 2021 and upon adoption we did not have a material impact on our consolidated financial position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February 2016, the FASB issued ASU 2016-02, Leases (“Topic 842”), which requires lessees to recognize right-of-use assets and lease liabilities for most leases on their balance sheets. Expense recognition for lessees under Topic 842 is similar to current lease accounting and once adopted, it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Company elected to adopt the Topic 842 under the extended transition period available to entities in the “all other” category, which would be effective for the annual period beginning on January 1, 2022 and all interim periods within the year ended December 31, 2023. Early adoption is permitted. The Company has selected an information system application to centralize the tracking and accounting for the Company’s leases and is currently in the process of completing implementation of that application. The Company plans to adopt the Topic 842 using the modified retrospective transition method and will not restate comparative periods. The modified retrospective transition method requires the cumulative effect, if any, of initially applying the guidance to be recognized as an adjustment to our accumulated deficit as of that adoption date. The Company plans to elect the package of practical expedients permitted under the transition guidance within the Topic 842, which allows the Company to carry forward prior conclusions about lease identification, classification and initial direct costs for leases entered into prior to adoption of the Topic 842. Additionally, the Company plans to not separate lease and non-lease components of the leases. For leases with a term of 12 months or less, the Company plans to elect the short-term lease exemption, which allows it to not recognize right-of-use assets or lease liabilities for qualifying leases existing at transition and new leases we may enter into in the future. The Company is currently in the process of quantifying the impact, but is currently unable to estimate the impact on the consolidated financial statements.</w:t>
      </w:r>
    </w:p>
    <w:p>
      <w:pPr>
        <w:spacing w:after="0" w:line="11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 – 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w:t>
      </w:r>
      <w:r>
        <w:rPr>
          <w:rFonts w:ascii="Arial" w:cs="Arial" w:eastAsia="Arial" w:hAnsi="Arial"/>
          <w:sz w:val="15"/>
          <w:szCs w:val="15"/>
          <w:color w:val="auto"/>
        </w:rPr>
        <w:t>(“ASU 2016-13”). The new credit losses standard changes the impairment model for most financial assets and certain other instruments. For trade</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30" w:lineRule="exact"/>
        <w:rPr>
          <w:sz w:val="20"/>
          <w:szCs w:val="20"/>
          <w:color w:val="auto"/>
        </w:rPr>
      </w:pPr>
    </w:p>
    <w:p>
      <w:pPr>
        <w:jc w:val="both"/>
        <w:ind w:firstLine="318"/>
        <w:spacing w:after="0" w:line="290" w:lineRule="auto"/>
        <w:rPr>
          <w:sz w:val="20"/>
          <w:szCs w:val="20"/>
          <w:color w:val="auto"/>
        </w:rPr>
      </w:pPr>
      <w:r>
        <w:rPr>
          <w:rFonts w:ascii="Arial" w:cs="Arial" w:eastAsia="Arial" w:hAnsi="Arial"/>
          <w:sz w:val="15"/>
          <w:szCs w:val="15"/>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The Company does not expect the impact of adopting this new accounting guidance to have a material effect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discussed in Note 1, on July 22, 2021, the Company consummated the Business Combination and received net cash proceeds of $510.0 million.</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Pursuant to the Business Combination, the following occurred:</w:t>
      </w:r>
    </w:p>
    <w:p>
      <w:pPr>
        <w:spacing w:after="0" w:line="16" w:lineRule="exact"/>
        <w:rPr>
          <w:sz w:val="20"/>
          <w:szCs w:val="20"/>
          <w:color w:val="auto"/>
        </w:rPr>
      </w:pPr>
    </w:p>
    <w:p>
      <w:pPr>
        <w:jc w:val="both"/>
        <w:ind w:left="640" w:hanging="316"/>
        <w:spacing w:after="0" w:line="248"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Holders of 10,188 shares of CMLS’s Class A common stock sold in its initial public offering (the “public shares”) exercised their right to have such shares redeemed for a full pro rata portion of the trust account holding the proceeds from CMLS’s initial public offering (the “IPO”), which was approximately $10.00 per share, or $101,880 in aggregate.</w:t>
      </w:r>
    </w:p>
    <w:p>
      <w:pPr>
        <w:spacing w:after="0" w:line="141"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share of CMLS’s Class B common stock was automatically converted into common stock of the Company.</w:t>
      </w:r>
    </w:p>
    <w:p>
      <w:pPr>
        <w:spacing w:after="0" w:line="16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spacing w:after="0" w:line="137"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Pursuant to subscription agreements entered into on February 9, 2021, certain investors agreed to subscribe for an aggregate of 35,000,000 newly-issued shares of common stock at a purchase price of $10.00 per share for an aggregate purchase price of $350,000,000 (the “PIPE Investment”). Concurrently with the closing of the Business Combination, the Company consummated the PIPE Investment.</w:t>
      </w:r>
    </w:p>
    <w:p>
      <w:pPr>
        <w:spacing w:after="0" w:line="118" w:lineRule="exact"/>
        <w:rPr>
          <w:rFonts w:ascii="Arial" w:cs="Arial" w:eastAsia="Arial" w:hAnsi="Arial"/>
          <w:sz w:val="17"/>
          <w:szCs w:val="17"/>
          <w:color w:val="auto"/>
        </w:rPr>
      </w:pPr>
    </w:p>
    <w:p>
      <w:pPr>
        <w:ind w:left="640" w:hanging="316"/>
        <w:spacing w:after="0" w:line="365" w:lineRule="auto"/>
        <w:tabs>
          <w:tab w:leader="none" w:pos="635" w:val="left"/>
        </w:tabs>
        <w:numPr>
          <w:ilvl w:val="0"/>
          <w:numId w:val="48"/>
        </w:numPr>
        <w:rPr>
          <w:rFonts w:ascii="Arial" w:cs="Arial" w:eastAsia="Arial" w:hAnsi="Arial"/>
          <w:sz w:val="15"/>
          <w:szCs w:val="15"/>
          <w:color w:val="auto"/>
        </w:rPr>
      </w:pPr>
      <w:r>
        <w:rPr>
          <w:rFonts w:ascii="Arial" w:cs="Arial" w:eastAsia="Arial" w:hAnsi="Arial"/>
          <w:sz w:val="15"/>
          <w:szCs w:val="15"/>
          <w:color w:val="auto"/>
        </w:rPr>
        <w:t>After giving effect to the Merger, the redemption of public shares and the conversion of the CMLS Class B common stock as described above, and the consummation of the PIPE Investment, there were 240,190,402 shares of the Company’s common stock issued and outstanding.</w:t>
      </w:r>
    </w:p>
    <w:p>
      <w:pPr>
        <w:spacing w:after="0" w:line="7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recorded $51.8 million of transaction costs which consist of direct, incremental legal, professional, accounting, and other third-party fees that were directly related to the execution of the Merger in additional paid-in capital. Upon consummation of the Merger, $9.0 million of the transaction costs relates to costs incurred by Legacy Sema4 and reclassed to offset against equity from prepaid expense and other current assets.</w:t>
      </w:r>
    </w:p>
    <w:p>
      <w:pPr>
        <w:spacing w:after="0" w:line="3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Revenue Recognition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disaggregated revenue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06"/>
        </w:trPr>
        <w:tc>
          <w:tcPr>
            <w:tcW w:w="63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Diagnostic test revenue:</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Patients with third-party insurance</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169,576</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138,153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169,538</w:t>
            </w: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Institutional customers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r>
      <w:tr>
        <w:trPr>
          <w:trHeight w:val="225"/>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Self-pay patients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r>
      <w:tr>
        <w:trPr>
          <w:trHeight w:val="25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r>
      <w:tr>
        <w:trPr>
          <w:trHeight w:val="26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212,195</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196,174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Reassessment of variable consideration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variable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consideration estimated quarterly. Our assessment performed at year-end did not result in material adjustments to the Company’s previously reported revenue or accounts receivable amounts.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Due to the long-term nature of the collaboration service agreement, the Company’s obligations pursuant to such agreements represent partially unsatisfied performance obligations as of December 31, 2021. The revenues under existing service agreements with original expected durations of more than one year are estimated to be approximately $10.2 million. The Company expects to recognize the majority of this revenue over the next 3.3 years.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Contract</w:t>
            </w:r>
          </w:p>
        </w:tc>
        <w:tc>
          <w:tcPr>
            <w:tcW w:w="200" w:type="dxa"/>
            <w:vAlign w:val="bottom"/>
          </w:tcPr>
          <w:p>
            <w:pPr>
              <w:spacing w:after="0"/>
              <w:rPr>
                <w:sz w:val="14"/>
                <w:szCs w:val="14"/>
                <w:color w:val="auto"/>
              </w:rPr>
            </w:pPr>
          </w:p>
        </w:tc>
        <w:tc>
          <w:tcPr>
            <w:tcW w:w="1000" w:type="dxa"/>
            <w:vAlign w:val="bottom"/>
          </w:tcPr>
          <w:p>
            <w:pPr>
              <w:jc w:val="right"/>
              <w:ind w:right="257"/>
              <w:spacing w:after="0"/>
              <w:rPr>
                <w:sz w:val="20"/>
                <w:szCs w:val="20"/>
                <w:color w:val="auto"/>
              </w:rPr>
            </w:pPr>
            <w:r>
              <w:rPr>
                <w:rFonts w:ascii="Arial" w:cs="Arial" w:eastAsia="Arial" w:hAnsi="Arial"/>
                <w:sz w:val="14"/>
                <w:szCs w:val="14"/>
                <w:b w:val="1"/>
                <w:bCs w:val="1"/>
                <w:color w:val="auto"/>
              </w:rPr>
              <w:t>Contract</w:t>
            </w:r>
          </w:p>
        </w:tc>
      </w:tr>
      <w:tr>
        <w:trPr>
          <w:trHeight w:val="185"/>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6"/>
                <w:szCs w:val="16"/>
                <w:color w:val="auto"/>
              </w:rPr>
            </w:pPr>
          </w:p>
        </w:tc>
        <w:tc>
          <w:tcPr>
            <w:tcW w:w="1000" w:type="dxa"/>
            <w:vAlign w:val="bottom"/>
          </w:tcPr>
          <w:p>
            <w:pPr>
              <w:jc w:val="right"/>
              <w:ind w:right="217"/>
              <w:spacing w:after="0"/>
              <w:rPr>
                <w:sz w:val="20"/>
                <w:szCs w:val="20"/>
                <w:color w:val="auto"/>
              </w:rPr>
            </w:pPr>
            <w:r>
              <w:rPr>
                <w:rFonts w:ascii="Arial" w:cs="Arial" w:eastAsia="Arial" w:hAnsi="Arial"/>
                <w:sz w:val="14"/>
                <w:szCs w:val="14"/>
                <w:b w:val="1"/>
                <w:bCs w:val="1"/>
                <w:color w:val="auto"/>
              </w:rPr>
              <w:t>Liabilities</w:t>
            </w:r>
          </w:p>
        </w:tc>
      </w:tr>
      <w:tr>
        <w:trPr>
          <w:trHeight w:val="219"/>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r>
      <w:tr>
        <w:trPr>
          <w:trHeight w:val="225"/>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increase in contract assets as of December 31, 2021 is primarily due to the execution of a service agreement with a customer during the year. The Company presents contracts assets and contract liabilities arising from this customer contract on a net basis on its balance sheets. As of December 31, 2021 and December 31, 2020, $0.5 million and $1.8 million are recorded as current contract liabilities,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fulfill contracts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asset based upon forecasted performance.</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and 2020, the Company had outstanding deferred costs to fulfill contracts of $1.8 million and $3.0 million, respectively. At each period, all outstanding deferred costs were recorded as other current assets.</w:t>
      </w:r>
    </w:p>
    <w:p>
      <w:pPr>
        <w:spacing w:after="0" w:line="12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Amortization of deferred costs was $1.4 million, $0.9 million and $0.7 million for the years ended December 31, 2021, 2020 and 2019, respectively. The amortization of these costs is recorded in cost of services of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hanging="314"/>
        <w:spacing w:after="0"/>
        <w:tabs>
          <w:tab w:leader="none" w:pos="3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3"/>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1220" w:type="dxa"/>
            <w:vAlign w:val="bottom"/>
          </w:tcPr>
          <w:p>
            <w:pPr>
              <w:jc w:val="right"/>
              <w:ind w:right="475"/>
              <w:spacing w:after="0"/>
              <w:rPr>
                <w:sz w:val="20"/>
                <w:szCs w:val="20"/>
                <w:color w:val="auto"/>
              </w:rPr>
            </w:pPr>
            <w:r>
              <w:rPr>
                <w:rFonts w:ascii="Arial" w:cs="Arial" w:eastAsia="Arial" w:hAnsi="Arial"/>
                <w:sz w:val="14"/>
                <w:szCs w:val="14"/>
                <w:b w:val="1"/>
                <w:bCs w:val="1"/>
                <w:color w:val="auto"/>
              </w:rPr>
              <w:t>Level 3</w:t>
            </w:r>
          </w:p>
        </w:tc>
      </w:tr>
      <w:tr>
        <w:trPr>
          <w:trHeight w:val="20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385,370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4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Public warrant liability</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14,463</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 liability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Earn-out contingent liability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10,244</w:t>
            </w:r>
          </w:p>
        </w:tc>
      </w:tr>
      <w:tr>
        <w:trPr>
          <w:trHeight w:val="244"/>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829"/>
        </w:trPr>
        <w:tc>
          <w:tcPr>
            <w:tcW w:w="47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83"/>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1220" w:type="dxa"/>
            <w:vAlign w:val="bottom"/>
          </w:tcPr>
          <w:p>
            <w:pPr>
              <w:jc w:val="right"/>
              <w:ind w:right="475"/>
              <w:spacing w:after="0"/>
              <w:rPr>
                <w:sz w:val="20"/>
                <w:szCs w:val="20"/>
                <w:color w:val="auto"/>
              </w:rPr>
            </w:pPr>
            <w:r>
              <w:rPr>
                <w:rFonts w:ascii="Arial" w:cs="Arial" w:eastAsia="Arial" w:hAnsi="Arial"/>
                <w:sz w:val="14"/>
                <w:szCs w:val="14"/>
                <w:b w:val="1"/>
                <w:bCs w:val="1"/>
                <w:color w:val="auto"/>
              </w:rPr>
              <w:t>Level 3</w:t>
            </w:r>
          </w:p>
        </w:tc>
      </w:tr>
      <w:tr>
        <w:trPr>
          <w:trHeight w:val="20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Of the $400.6 million cash and cash equivalents presented on the consolidated balance sheets, $385.4 million is in money market funds and is classified within Level 1 of the fair value hierarchy as the fair value is based on quoted prices in active markets.</w:t>
      </w:r>
    </w:p>
    <w:p>
      <w:pPr>
        <w:spacing w:after="0" w:line="12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 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consolidated statements of operations and comprehensive loss at each reporting date. As of December 31, 2021,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w:t>
      </w:r>
    </w:p>
    <w:p>
      <w:pPr>
        <w:spacing w:after="0" w:line="88"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7"/>
          <w:szCs w:val="17"/>
          <w:color w:val="auto"/>
        </w:rPr>
        <w:t>The contingent obligation to issue earn-out shares for Legacy Sema4 stockholders is accounted for as a liability and required remeasurement at each reporting date. The estimated fair value of the total earn-out shares as of December 31, 2021 is determined based on a Monte Carlo simulation valuation model. The fair value of the earn-out contingent liability is sensitive to expected volatility estimated based on selected guideline public companies and Company’s common stock price which is sensitive to changes in the forecasts of earnings and/or the relevant operating metrics. The key assumptions utilized in determining the valuation as of December 31, 2021 and Closing Date were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3320" w:type="dxa"/>
            <w:vAlign w:val="bottom"/>
            <w:gridSpan w:val="2"/>
          </w:tcPr>
          <w:p>
            <w:pPr>
              <w:ind w:left="1200"/>
              <w:spacing w:after="0"/>
              <w:rPr>
                <w:sz w:val="20"/>
                <w:szCs w:val="20"/>
                <w:color w:val="auto"/>
              </w:rPr>
            </w:pPr>
            <w:r>
              <w:rPr>
                <w:rFonts w:ascii="Arial" w:cs="Arial" w:eastAsia="Arial" w:hAnsi="Arial"/>
                <w:sz w:val="14"/>
                <w:szCs w:val="14"/>
                <w:b w:val="1"/>
                <w:bCs w:val="1"/>
                <w:color w:val="auto"/>
              </w:rPr>
              <w:t>December 31, 2021</w:t>
            </w:r>
          </w:p>
        </w:tc>
        <w:tc>
          <w:tcPr>
            <w:tcW w:w="2580" w:type="dxa"/>
            <w:vAlign w:val="bottom"/>
          </w:tcPr>
          <w:p>
            <w:pPr>
              <w:ind w:left="1060"/>
              <w:spacing w:after="0"/>
              <w:rPr>
                <w:sz w:val="20"/>
                <w:szCs w:val="20"/>
                <w:color w:val="auto"/>
              </w:rPr>
            </w:pPr>
            <w:r>
              <w:rPr>
                <w:rFonts w:ascii="Arial" w:cs="Arial" w:eastAsia="Arial" w:hAnsi="Arial"/>
                <w:sz w:val="14"/>
                <w:szCs w:val="14"/>
                <w:b w:val="1"/>
                <w:bCs w:val="1"/>
                <w:color w:val="auto"/>
              </w:rPr>
              <w:t>Closing Date</w:t>
            </w:r>
          </w:p>
        </w:tc>
      </w:tr>
      <w:tr>
        <w:trPr>
          <w:trHeight w:val="224"/>
        </w:trPr>
        <w:tc>
          <w:tcPr>
            <w:tcW w:w="45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 price</w:t>
            </w:r>
          </w:p>
        </w:tc>
        <w:tc>
          <w:tcPr>
            <w:tcW w:w="3220" w:type="dxa"/>
            <w:vAlign w:val="bottom"/>
            <w:tcBorders>
              <w:top w:val="single" w:sz="8" w:color="auto"/>
            </w:tcBorders>
            <w:shd w:val="clear" w:color="auto" w:fill="CCEEFF"/>
          </w:tcPr>
          <w:p>
            <w:pPr>
              <w:jc w:val="center"/>
              <w:ind w:left="255"/>
              <w:spacing w:after="0"/>
              <w:rPr>
                <w:sz w:val="20"/>
                <w:szCs w:val="20"/>
                <w:color w:val="auto"/>
              </w:rPr>
            </w:pPr>
            <w:r>
              <w:rPr>
                <w:rFonts w:ascii="Arial" w:cs="Arial" w:eastAsia="Arial" w:hAnsi="Arial"/>
                <w:sz w:val="18"/>
                <w:szCs w:val="18"/>
                <w:color w:val="auto"/>
                <w:w w:val="88"/>
              </w:rPr>
              <w:t>$4.46</w:t>
            </w: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center"/>
              <w:ind w:left="255"/>
              <w:spacing w:after="0"/>
              <w:rPr>
                <w:sz w:val="20"/>
                <w:szCs w:val="20"/>
                <w:color w:val="auto"/>
              </w:rPr>
            </w:pPr>
            <w:r>
              <w:rPr>
                <w:rFonts w:ascii="Arial" w:cs="Arial" w:eastAsia="Arial" w:hAnsi="Arial"/>
                <w:sz w:val="18"/>
                <w:szCs w:val="18"/>
                <w:color w:val="auto"/>
                <w:w w:val="87"/>
              </w:rPr>
              <w:t>$11.60</w:t>
            </w:r>
          </w:p>
        </w:tc>
      </w:tr>
      <w:tr>
        <w:trPr>
          <w:trHeight w:val="225"/>
        </w:trPr>
        <w:tc>
          <w:tcPr>
            <w:tcW w:w="4540" w:type="dxa"/>
            <w:vAlign w:val="bottom"/>
          </w:tcPr>
          <w:p>
            <w:pPr>
              <w:ind w:left="340"/>
              <w:spacing w:after="0"/>
              <w:rPr>
                <w:sz w:val="20"/>
                <w:szCs w:val="20"/>
                <w:color w:val="auto"/>
              </w:rPr>
            </w:pPr>
            <w:r>
              <w:rPr>
                <w:rFonts w:ascii="Arial" w:cs="Arial" w:eastAsia="Arial" w:hAnsi="Arial"/>
                <w:sz w:val="18"/>
                <w:szCs w:val="18"/>
                <w:color w:val="auto"/>
              </w:rPr>
              <w:t>Expected volatility</w:t>
            </w:r>
          </w:p>
        </w:tc>
        <w:tc>
          <w:tcPr>
            <w:tcW w:w="3220" w:type="dxa"/>
            <w:vAlign w:val="bottom"/>
          </w:tcPr>
          <w:p>
            <w:pPr>
              <w:jc w:val="center"/>
              <w:ind w:left="235"/>
              <w:spacing w:after="0"/>
              <w:rPr>
                <w:sz w:val="20"/>
                <w:szCs w:val="20"/>
                <w:color w:val="auto"/>
              </w:rPr>
            </w:pPr>
            <w:r>
              <w:rPr>
                <w:rFonts w:ascii="Arial" w:cs="Arial" w:eastAsia="Arial" w:hAnsi="Arial"/>
                <w:sz w:val="18"/>
                <w:szCs w:val="18"/>
                <w:color w:val="auto"/>
                <w:w w:val="90"/>
              </w:rPr>
              <w:t>62.5%</w:t>
            </w:r>
          </w:p>
        </w:tc>
        <w:tc>
          <w:tcPr>
            <w:tcW w:w="100" w:type="dxa"/>
            <w:vAlign w:val="bottom"/>
          </w:tcPr>
          <w:p>
            <w:pPr>
              <w:spacing w:after="0"/>
              <w:rPr>
                <w:sz w:val="19"/>
                <w:szCs w:val="19"/>
                <w:color w:val="auto"/>
              </w:rPr>
            </w:pPr>
          </w:p>
        </w:tc>
        <w:tc>
          <w:tcPr>
            <w:tcW w:w="2580" w:type="dxa"/>
            <w:vAlign w:val="bottom"/>
          </w:tcPr>
          <w:p>
            <w:pPr>
              <w:jc w:val="center"/>
              <w:ind w:left="235"/>
              <w:spacing w:after="0"/>
              <w:rPr>
                <w:sz w:val="20"/>
                <w:szCs w:val="20"/>
                <w:color w:val="auto"/>
              </w:rPr>
            </w:pPr>
            <w:r>
              <w:rPr>
                <w:rFonts w:ascii="Arial" w:cs="Arial" w:eastAsia="Arial" w:hAnsi="Arial"/>
                <w:sz w:val="18"/>
                <w:szCs w:val="18"/>
                <w:color w:val="auto"/>
                <w:w w:val="90"/>
              </w:rPr>
              <w:t>70.0%</w:t>
            </w:r>
          </w:p>
        </w:tc>
      </w:tr>
      <w:tr>
        <w:trPr>
          <w:trHeight w:val="226"/>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term (in years)</w:t>
            </w:r>
          </w:p>
        </w:tc>
        <w:tc>
          <w:tcPr>
            <w:tcW w:w="322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87"/>
              </w:rPr>
              <w:t>1.6</w:t>
            </w: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87"/>
              </w:rPr>
              <w:t>2.0</w:t>
            </w:r>
          </w:p>
        </w:tc>
      </w:tr>
      <w:tr>
        <w:trPr>
          <w:trHeight w:val="224"/>
        </w:trPr>
        <w:tc>
          <w:tcPr>
            <w:tcW w:w="4540" w:type="dxa"/>
            <w:vAlign w:val="bottom"/>
          </w:tcPr>
          <w:p>
            <w:pPr>
              <w:ind w:left="340"/>
              <w:spacing w:after="0"/>
              <w:rPr>
                <w:sz w:val="20"/>
                <w:szCs w:val="20"/>
                <w:color w:val="auto"/>
              </w:rPr>
            </w:pPr>
            <w:r>
              <w:rPr>
                <w:rFonts w:ascii="Arial" w:cs="Arial" w:eastAsia="Arial" w:hAnsi="Arial"/>
                <w:sz w:val="18"/>
                <w:szCs w:val="18"/>
                <w:color w:val="auto"/>
              </w:rPr>
              <w:t>Risk-free interest rate</w:t>
            </w:r>
          </w:p>
        </w:tc>
        <w:tc>
          <w:tcPr>
            <w:tcW w:w="3220" w:type="dxa"/>
            <w:vAlign w:val="bottom"/>
          </w:tcPr>
          <w:p>
            <w:pPr>
              <w:jc w:val="center"/>
              <w:ind w:left="235"/>
              <w:spacing w:after="0"/>
              <w:rPr>
                <w:sz w:val="20"/>
                <w:szCs w:val="20"/>
                <w:color w:val="auto"/>
              </w:rPr>
            </w:pPr>
            <w:r>
              <w:rPr>
                <w:rFonts w:ascii="Arial" w:cs="Arial" w:eastAsia="Arial" w:hAnsi="Arial"/>
                <w:sz w:val="18"/>
                <w:szCs w:val="18"/>
                <w:color w:val="auto"/>
                <w:w w:val="90"/>
              </w:rPr>
              <w:t>0.58%</w:t>
            </w:r>
          </w:p>
        </w:tc>
        <w:tc>
          <w:tcPr>
            <w:tcW w:w="100" w:type="dxa"/>
            <w:vAlign w:val="bottom"/>
          </w:tcPr>
          <w:p>
            <w:pPr>
              <w:spacing w:after="0"/>
              <w:rPr>
                <w:sz w:val="19"/>
                <w:szCs w:val="19"/>
                <w:color w:val="auto"/>
              </w:rPr>
            </w:pPr>
          </w:p>
        </w:tc>
        <w:tc>
          <w:tcPr>
            <w:tcW w:w="2580" w:type="dxa"/>
            <w:vAlign w:val="bottom"/>
          </w:tcPr>
          <w:p>
            <w:pPr>
              <w:jc w:val="center"/>
              <w:ind w:left="235"/>
              <w:spacing w:after="0"/>
              <w:rPr>
                <w:sz w:val="20"/>
                <w:szCs w:val="20"/>
                <w:color w:val="auto"/>
              </w:rPr>
            </w:pPr>
            <w:r>
              <w:rPr>
                <w:rFonts w:ascii="Arial" w:cs="Arial" w:eastAsia="Arial" w:hAnsi="Arial"/>
                <w:sz w:val="18"/>
                <w:szCs w:val="18"/>
                <w:color w:val="auto"/>
                <w:w w:val="90"/>
              </w:rPr>
              <w:t>0.20%</w:t>
            </w:r>
          </w:p>
        </w:tc>
      </w:tr>
    </w:tbl>
    <w:p>
      <w:pPr>
        <w:spacing w:after="0" w:line="307" w:lineRule="exact"/>
        <w:rPr>
          <w:sz w:val="20"/>
          <w:szCs w:val="20"/>
          <w:color w:val="auto"/>
        </w:rPr>
      </w:pPr>
    </w:p>
    <w:p>
      <w:pPr>
        <w:jc w:val="both"/>
        <w:ind w:firstLine="318"/>
        <w:spacing w:after="0" w:line="226" w:lineRule="auto"/>
        <w:rPr>
          <w:sz w:val="20"/>
          <w:szCs w:val="20"/>
          <w:color w:val="auto"/>
        </w:rPr>
      </w:pPr>
      <w:r>
        <w:rPr>
          <w:rFonts w:ascii="Arial" w:cs="Arial" w:eastAsia="Arial" w:hAnsi="Arial"/>
          <w:sz w:val="18"/>
          <w:szCs w:val="18"/>
          <w:color w:val="auto"/>
        </w:rPr>
        <w:t>The earn-out contingent liability is categorized as Level 3 of the fair value hierarchy as the Company utilizes unobservable inputs in estimating volatility rate. Initial fair value determined and recorded at the Closing Date was $143.1 million and a gain of $132.9 million was recorded in the change in fair market value of warrant and earn-out contingent liability in the consolidated statements of operations and comprehensive loss based on re-measurement performed as of December 31, 2021.</w:t>
      </w:r>
    </w:p>
    <w:p>
      <w:pPr>
        <w:spacing w:after="0" w:line="208" w:lineRule="exact"/>
        <w:rPr>
          <w:sz w:val="20"/>
          <w:szCs w:val="20"/>
          <w:color w:val="auto"/>
        </w:rPr>
      </w:pPr>
    </w:p>
    <w:p>
      <w:pPr>
        <w:ind w:left="320" w:hanging="314"/>
        <w:spacing w:after="0"/>
        <w:tabs>
          <w:tab w:leader="none" w:pos="3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 December 31,</w:t>
            </w:r>
          </w:p>
        </w:tc>
        <w:tc>
          <w:tcPr>
            <w:tcW w:w="98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20,743</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14,631</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4,673</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fixtures and other equipment</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and equipment</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114,625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93,209</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(51,906)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(30,099)</w:t>
            </w: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92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62,719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For the years ended December 31, 2021, 2020 and 2019, depreciation and amortization expense was $21.8 million, $11.7 million and $6.4 million, respectively, which included software amortization expense of $5.6 million, $3.0 million and $1.2 million for the years ended December 31, 2021, 2020 and 2019, respectively. Depreciation and amortization expense is included within the statements of operations and comprehensive loss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14,094</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r>
      <w:tr>
        <w:trPr>
          <w:trHeight w:val="23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 expenses</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21,807</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Related Party Transactions</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June 1, 2017, the Company signed a contribution and funding agreement and other agreements with ISMMS, whereby ISMMS contributed certain assets and liabilities related to the Company’s operations,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spacing w:after="0" w:line="16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For years ended December 31, 2021, 2020 and 2019, the Company incurred certain costs with ISMMS. Expenses recognized under the TSA totaled $1.4 million, $7.2 million and $7.8 million for the years ended December 31, 2021, 2020 and 2019, respectively, and are presented within related party expenses in the consolidated statements of operations and comprehensive loss. The Company had TSA payables due to ISMMS of $0 and $0.6 million as of December 31, 2021 and 2020, respectively. These amounts are included within due to related parties on the Company’s consolidated balance sheets.</w:t>
      </w:r>
    </w:p>
    <w:p>
      <w:pPr>
        <w:spacing w:after="0" w:line="1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Expenses recognized pursuant to other service arrangements with ISMMS totaled $7.0 million, $4.4 million and $3.5 million for the years ended December 31, 2021, 2020 and 2019, respectively. These amounts are included in either cost of services or related party expenses on the consolidated statements of operations and comprehensive loss depending on the particular activity to which the costs relate. Payables due to ISMMS for the other service arrangements were $2.6 million and $0.8 million as of December 30, 2021 and 2020, respectively. These amounts are included within due to related parties on the Company’s consolidated balance sheets.</w:t>
      </w:r>
    </w:p>
    <w:p>
      <w:pPr>
        <w:spacing w:after="0" w:line="1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the Company incurred $1.3 million in purchases of diagnostic testing kits and materials for the year ended December 31, 2021 from an affiliate of a member of the Board of Directors who has served in the role since July 2021. The prices paid represent market rates. Payables due were $0.1 million as of December 31, 2021.</w:t>
      </w:r>
    </w:p>
    <w:p>
      <w:pPr>
        <w:spacing w:after="0" w:line="162"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consolidated statements of operations and comprehensive loss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w:t>
            </w: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r>
      <w:tr>
        <w:trPr>
          <w:trHeight w:val="23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related party costs</w:t>
            </w: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Long-Term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 (the “SVB Agreement”)</w:t>
      </w:r>
    </w:p>
    <w:p>
      <w:pPr>
        <w:spacing w:after="0" w:line="138"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On November 15, 2021, the Company and Sema4 OpCo (together, the “Borrower”) entered into the SVB Agreement with Silicon Valley Bank (“SVB”). The SVB Agreement provides for a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obligations under the SVB Agreement are secured by a first priority perfected security interest in substantially all of the Company’s assets except for</w:t>
      </w:r>
    </w:p>
    <w:p>
      <w:pPr>
        <w:spacing w:after="0" w:line="51" w:lineRule="exact"/>
        <w:rPr>
          <w:sz w:val="20"/>
          <w:szCs w:val="20"/>
          <w:color w:val="auto"/>
        </w:rPr>
      </w:pPr>
    </w:p>
    <w:p>
      <w:pPr>
        <w:jc w:val="both"/>
        <w:ind w:firstLine="6"/>
        <w:spacing w:after="0" w:line="248" w:lineRule="auto"/>
        <w:tabs>
          <w:tab w:leader="none" w:pos="233" w:val="left"/>
        </w:tabs>
        <w:numPr>
          <w:ilvl w:val="0"/>
          <w:numId w:val="51"/>
        </w:numPr>
        <w:rPr>
          <w:rFonts w:ascii="Arial" w:cs="Arial" w:eastAsia="Arial" w:hAnsi="Arial"/>
          <w:sz w:val="18"/>
          <w:szCs w:val="18"/>
          <w:color w:val="auto"/>
        </w:rPr>
      </w:pPr>
      <w:r>
        <w:rPr>
          <w:rFonts w:ascii="Arial" w:cs="Arial" w:eastAsia="Arial" w:hAnsi="Arial"/>
          <w:sz w:val="18"/>
          <w:szCs w:val="18"/>
          <w:color w:val="auto"/>
        </w:rPr>
        <w:t>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22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SVB Agreement contains affirmative and negative covenants, including, among other things, restrictions on indebtedness, liens, investments, mergers, dispositions, and dividends and other distributions.</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greater than or equal to 1.25 to 1.0. The Borrower must also maintain certain trailing six-month minimum revenue targets through maturity if outstanding borrowings under the Revolver exceed $50.0 million.</w:t>
      </w:r>
    </w:p>
    <w:p>
      <w:pPr>
        <w:spacing w:after="0" w:line="20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is in compliance with all covenants as of December 31, 2021.</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amounts have been drawn under the SVB Agreement as of December 31,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Sema4 OpCo, Inc. (“OpCo”). ISMMS guaranteed and continues to guarantee’s obligation to repay the DECD. Debt due to the DECD is collateralized by providing a security interest in certain machinery and equipment the Company acquired from ISMMS, as defined in a separate security agreement (the “DECD Security Agreement”). The DECD Security Agreement provides a security for the payment and performance of meeting the Company’s obligations to the DECD until the obligations have been fully satisfied.</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June 2018, the Company amended the existing $9.5 million DECD Loan Agreement (the “Amended DECD Loan Agreement”) with the DECD by increasing the total loan commitment to $15.5 million at the same fixed annual interest rate of 2.0% for a term of 10 years from the date the new funds are disbursed (“Phase 3” of funding for the Project). The terms of the Amended DECD Loan Agreement require the Company to make interest-only payments through July 2023 and principal and interest payments commencing in August 2023 through July 2028.</w:t>
      </w:r>
    </w:p>
    <w:p>
      <w:pPr>
        <w:spacing w:after="0" w:line="12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 addition, under the terms of the Amended DECD Loan Agreement, the DECD may grant partial principal loan forgiveness of up to $12.3 million in the aggregate. Such forgiveness is contingent upon the Company achieving job creation and retention milestones, specifically:</w:t>
      </w:r>
    </w:p>
    <w:p>
      <w:pPr>
        <w:spacing w:after="0" w:line="104" w:lineRule="exact"/>
        <w:rPr>
          <w:sz w:val="20"/>
          <w:szCs w:val="20"/>
          <w:color w:val="auto"/>
        </w:rPr>
      </w:pPr>
    </w:p>
    <w:p>
      <w:pPr>
        <w:ind w:left="640" w:hanging="318"/>
        <w:spacing w:after="0" w:line="294" w:lineRule="auto"/>
        <w:rPr>
          <w:sz w:val="20"/>
          <w:szCs w:val="20"/>
          <w:color w:val="auto"/>
        </w:rPr>
      </w:pPr>
      <w:r>
        <w:rPr>
          <w:rFonts w:ascii="Arial" w:cs="Arial" w:eastAsia="Arial" w:hAnsi="Arial"/>
          <w:sz w:val="17"/>
          <w:szCs w:val="17"/>
          <w:color w:val="auto"/>
        </w:rPr>
        <w:t>– $4.5 million of Phase 1 funding ($5.0 million) was forgiven in September 2018 based on creating and maintaining 35 new full-time positions in Connecticut, with a combined annual average compensation of $70,000 for a period of 24 continuous months by December 31, 2017;</w:t>
      </w:r>
    </w:p>
    <w:p>
      <w:pPr>
        <w:spacing w:after="0" w:line="104" w:lineRule="exact"/>
        <w:rPr>
          <w:sz w:val="20"/>
          <w:szCs w:val="20"/>
          <w:color w:val="auto"/>
        </w:rPr>
      </w:pPr>
    </w:p>
    <w:p>
      <w:pPr>
        <w:ind w:left="640" w:hanging="318"/>
        <w:spacing w:after="0" w:line="255" w:lineRule="auto"/>
        <w:rPr>
          <w:sz w:val="20"/>
          <w:szCs w:val="20"/>
          <w:color w:val="auto"/>
        </w:rPr>
      </w:pPr>
      <w:r>
        <w:rPr>
          <w:rFonts w:ascii="Arial" w:cs="Arial" w:eastAsia="Arial" w:hAnsi="Arial"/>
          <w:sz w:val="18"/>
          <w:szCs w:val="18"/>
          <w:color w:val="auto"/>
        </w:rPr>
        <w:t>– $2.8 million of Phase 2 funding ($4.5 million) will be forgiven based on creating 228 new full-time positions in Connecticut, with a combined annual average compensation of $83,000, and maintaining an average of 269 full-time positions for a period of 24 continuous months by December 31, 2021;</w:t>
      </w:r>
    </w:p>
    <w:p>
      <w:pPr>
        <w:spacing w:after="0" w:line="135" w:lineRule="exact"/>
        <w:rPr>
          <w:sz w:val="20"/>
          <w:szCs w:val="20"/>
          <w:color w:val="auto"/>
        </w:rPr>
      </w:pPr>
    </w:p>
    <w:p>
      <w:pPr>
        <w:ind w:left="640" w:hanging="318"/>
        <w:spacing w:after="0" w:line="255" w:lineRule="auto"/>
        <w:rPr>
          <w:sz w:val="20"/>
          <w:szCs w:val="20"/>
          <w:color w:val="auto"/>
        </w:rPr>
      </w:pPr>
      <w:r>
        <w:rPr>
          <w:rFonts w:ascii="Arial" w:cs="Arial" w:eastAsia="Arial" w:hAnsi="Arial"/>
          <w:sz w:val="18"/>
          <w:szCs w:val="18"/>
          <w:color w:val="auto"/>
        </w:rPr>
        <w:t>– $3.0 million of Phase 3 funding ($6.0 million) will be forgiven based on creating an additional 181 full-time positions in Connecticut, with a combined annual average compensation of $83,000, and maintaining an average of 450 full-time positions for a period of 24 continuous months by December 31, 2022; and</w:t>
      </w:r>
    </w:p>
    <w:p>
      <w:pPr>
        <w:spacing w:after="0" w:line="135" w:lineRule="exact"/>
        <w:rPr>
          <w:sz w:val="20"/>
          <w:szCs w:val="20"/>
          <w:color w:val="auto"/>
        </w:rPr>
      </w:pPr>
    </w:p>
    <w:p>
      <w:pPr>
        <w:ind w:left="640" w:hanging="318"/>
        <w:spacing w:after="0" w:line="255" w:lineRule="auto"/>
        <w:rPr>
          <w:sz w:val="20"/>
          <w:szCs w:val="20"/>
          <w:color w:val="auto"/>
        </w:rPr>
      </w:pPr>
      <w:r>
        <w:rPr>
          <w:rFonts w:ascii="Arial" w:cs="Arial" w:eastAsia="Arial" w:hAnsi="Arial"/>
          <w:sz w:val="18"/>
          <w:szCs w:val="18"/>
          <w:color w:val="auto"/>
        </w:rPr>
        <w:t>– An additional $2.0 million of funding will be forgiven based on creating an additional 103 full-time positions in Connecticut, with a combined annual average compensation of $83,000, and maintaining an average of 553 full-time positions for a period of 24 continuous months by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Pr>
          <w:p>
            <w:pPr>
              <w:ind w:left="320"/>
              <w:spacing w:after="0"/>
              <w:rPr>
                <w:sz w:val="20"/>
                <w:szCs w:val="20"/>
                <w:color w:val="auto"/>
              </w:rPr>
            </w:pPr>
            <w:r>
              <w:rPr>
                <w:rFonts w:ascii="Arial" w:cs="Arial" w:eastAsia="Arial" w:hAnsi="Arial"/>
                <w:sz w:val="18"/>
                <w:szCs w:val="18"/>
                <w:color w:val="auto"/>
              </w:rPr>
              <w:t>The outstanding loan balance from the DECD was $11.0 million at December 31, 2021 and 2020.</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71"/>
        </w:trPr>
        <w:tc>
          <w:tcPr>
            <w:tcW w:w="9680" w:type="dxa"/>
            <w:vAlign w:val="bottom"/>
          </w:tcPr>
          <w:p>
            <w:pPr>
              <w:ind w:left="320"/>
              <w:spacing w:after="0"/>
              <w:rPr>
                <w:sz w:val="20"/>
                <w:szCs w:val="20"/>
                <w:color w:val="auto"/>
              </w:rPr>
            </w:pPr>
            <w:r>
              <w:rPr>
                <w:rFonts w:ascii="Arial" w:cs="Arial" w:eastAsia="Arial" w:hAnsi="Arial"/>
                <w:sz w:val="18"/>
                <w:szCs w:val="18"/>
                <w:color w:val="auto"/>
              </w:rPr>
              <w:t>As of December 31, 2021, long-term debt matures as follows (in thousands):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7"/>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2,174</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Debt due to the DECD is collateralized by providing a security interest in certain machinery and equipment the Company acquired from ISMMS, as defined in a separate security agreement. The DECD Security Agreement provides a security for the payment and performance of meeting the Company’s obligations to the DECD until the obligations have been fully satisfied.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August 2020, the Company entered into a loan and security agreement with a bank (the “Master Loan Agreement”), in which the Company received a loan of $6.3 million and deposited the proceeds into a deposit account held by the bank. The Company was required to make sixty consecutive monthly payments of principal and interest at a fixed monthly amount of $0.1 million beginning in November 2020. Interest payments were fixed at an annual interest rate of 4.75%.</w:t>
      </w:r>
    </w:p>
    <w:p>
      <w:pPr>
        <w:spacing w:after="0" w:line="15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recorded the $6.3 million proceeds as restricted cash on the consolidated balance sheets at December 31, 2020. The outstanding loan balance was $6.1 million at December 31, 2020. In July 2021, the Company terminated the Master Loan Agreement by paying off the full amount, including $5.4 million principal and interest and $0.1 million in early payment penalties assessed pursuant to the terms of the agreement which is included in other income, net in the consolidated statements of operations and comprehensive loss.</w:t>
      </w: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7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w:t>
      </w:r>
    </w:p>
    <w:p>
      <w:pPr>
        <w:spacing w:after="0" w:line="1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 The Company was in compliance with the covenants as of December 31, 2020.</w:t>
      </w:r>
    </w:p>
    <w:p>
      <w:pPr>
        <w:spacing w:after="0" w:line="1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recorded the $3.6 million proceeds as restricted cash on the consolidated balance sheets at December 31, 2020. The outstanding loan balance was $3.6 million at December 31, 2020. In July 2021, the Company terminated the Master Lease Agreement by paying off the full amount, including $3.3 million principal and interest and early payment penalties of $0.2 million assessed pursuant to the terms of the agreement which is included in other income, net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operating lease arrangements are principally for office space and laboratory facilities. The Company’s headquarter lease was initially entered into via sub-lease agreements with ISMMS and a third party and they will expire in 2034. The agreements include escalating rent and rent-free period provisions. The third-party sub-lease agreement required the Company to deliver a letter of credit from a financial institution equal to the amount of the security deposit on the office space. Accordingly, in February 2020, a financial institution issued an irrevocable standby letter of credit to the third party for $0.9 million, which is recorded as restricted cash on the consolidated balance sheets as of December 31, 2021.</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capital lease and the land as an operating lease.</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January 2020, the Company entered into a lease agreement which expanded our existing laboratory facility in Branford, Connecticut. The lease commenced in February 2020 with a 10 year term. The lease includes escalating rent fees over the lease term.</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Pr>
          <w:p>
            <w:pPr>
              <w:ind w:left="320"/>
              <w:spacing w:after="0"/>
              <w:rPr>
                <w:sz w:val="20"/>
                <w:szCs w:val="20"/>
                <w:color w:val="auto"/>
              </w:rPr>
            </w:pPr>
            <w:r>
              <w:rPr>
                <w:rFonts w:ascii="Arial" w:cs="Arial" w:eastAsia="Arial" w:hAnsi="Arial"/>
                <w:sz w:val="18"/>
                <w:szCs w:val="18"/>
                <w:color w:val="auto"/>
                <w:w w:val="95"/>
              </w:rPr>
              <w:t>Future minimum payments under non-cancelable operating leases as of December 31, 2021 are as follows (in thousands):</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7"/>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4,474</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4,684</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45,463</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obligations</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Rent expense is recognized on a straight-line basis over the lease term and the Company recorded rent expense related to non-cancelable operating leases of $5.7 million, $5.3 million and $0.8 million for the years ended December 31, 2021, 2020 and 2019, respectively. Rent expense related to month-to-month operating leases was $1.2 million, $3.2 million, and $2.8 million for the years ended December 31, 2021, 2020 and 2019,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3.7% to 12.0% The leases are secured by the underlying equipment. Interest rate for the Stamford Lease is 13.1%.</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Property and equipment under capital leases was $27.7 million and $27.0 million as of December 31, 2021 and 2020, respectively. Accumulated amortization on capital lease assets was $13.6 million and $9.7 million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100" w:firstLine="318"/>
        <w:spacing w:after="0" w:line="365" w:lineRule="auto"/>
        <w:rPr>
          <w:sz w:val="20"/>
          <w:szCs w:val="20"/>
          <w:color w:val="auto"/>
        </w:rPr>
      </w:pPr>
      <w:r>
        <w:rPr>
          <w:rFonts w:ascii="Arial" w:cs="Arial" w:eastAsia="Arial" w:hAnsi="Arial"/>
          <w:sz w:val="15"/>
          <w:szCs w:val="15"/>
          <w:color w:val="auto"/>
        </w:rPr>
        <w:t>For all capital leases, the portion of the future payments designated as principal repayment is recorded as a capital lease obligation on the Company’s consolidated balance sheets in accordance with repayment terms. Future payments under capital leases at December 31, 2021, are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3,584</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2,451</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49,883</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65,574</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(43,728)</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21,846</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Assets acquired under capital leases was $0.6 million, $7.5 million and $9.8 million for the years ended December 31, 2021, 2020 and 2019,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related to capital leases was $2.3 million, $2.2 million and $0.7 million for the years ended December 31, 2021, 2020 and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sets forth purchase obligations as of December 31, 2021 with a remaining term of at least one year (in thousands):</w:t>
      </w:r>
    </w:p>
    <w:p>
      <w:pPr>
        <w:spacing w:after="0" w:line="183" w:lineRule="exact"/>
        <w:rPr>
          <w:sz w:val="20"/>
          <w:szCs w:val="20"/>
          <w:color w:val="auto"/>
        </w:rPr>
      </w:pPr>
    </w:p>
    <w:tbl>
      <w:tblPr>
        <w:tblLayout w:type="fixed"/>
        <w:tblInd w:w="320" w:type="dxa"/>
        <w:tblCellMar>
          <w:top w:w="0" w:type="dxa"/>
          <w:left w:w="0" w:type="dxa"/>
          <w:bottom w:w="0" w:type="dxa"/>
          <w:right w:w="0" w:type="dxa"/>
        </w:tblCellMar>
      </w:tblPr>
      <w:tr>
        <w:trPr>
          <w:trHeight w:val="198"/>
        </w:trPr>
        <w:tc>
          <w:tcPr>
            <w:tcW w:w="35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Total Commitment</w:t>
            </w:r>
          </w:p>
        </w:tc>
      </w:tr>
      <w:tr>
        <w:trPr>
          <w:trHeight w:val="219"/>
        </w:trPr>
        <w:tc>
          <w:tcPr>
            <w:tcW w:w="3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Materials, services and reagents provider</w:t>
            </w: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5"/>
        </w:trPr>
        <w:tc>
          <w:tcPr>
            <w:tcW w:w="3680" w:type="dxa"/>
            <w:vAlign w:val="bottom"/>
            <w:gridSpan w:val="2"/>
          </w:tcPr>
          <w:p>
            <w:pPr>
              <w:ind w:left="340"/>
              <w:spacing w:after="0"/>
              <w:rPr>
                <w:sz w:val="20"/>
                <w:szCs w:val="20"/>
                <w:color w:val="auto"/>
              </w:rPr>
            </w:pPr>
            <w:r>
              <w:rPr>
                <w:rFonts w:ascii="Arial" w:cs="Arial" w:eastAsia="Arial" w:hAnsi="Arial"/>
                <w:sz w:val="18"/>
                <w:szCs w:val="18"/>
                <w:color w:val="auto"/>
              </w:rPr>
              <w:t>Software provider</w:t>
            </w: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3,092</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6"/>
        </w:trPr>
        <w:tc>
          <w:tcPr>
            <w:tcW w:w="3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36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Equipment provider</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Company enters into contracts with suppliers to purchase materials needed for diagnostic testing. These contracts generally do not require multiple-year purchase commitments.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91"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The Company is a party to various actions and claims arising in the normal course of business. The Company does not believe that the outcome of these matters will have a material effect on the Company’s consolidated financial position, results of operations or cash flows. However, no assurance can be given that the final outcome of such proceedings will not materially impact the Company’s financial condition or results of operations.</w:t>
      </w:r>
    </w:p>
    <w:p>
      <w:pPr>
        <w:spacing w:after="0" w:line="97"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Company was not a party to any material legal proceedings as of December 31, 2021, nor is it a party to any legal proceedings as of the date of issuance of these consolidated financial statements.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91"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Substantially all of the Company’s employees in the U.S. are eligible to participate in the defined contribution plan the Company sponsors. The defined contribution plan allows employees to contribute a portion of their compensation in accordance with specified guidelines. The Company, at its discretion, makes matching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contributions. The Company contributed $8 million, $5.5 million and $4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Stock-Based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1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July 22, 2021, in connection with the Business Combination, the 2021 Plan became effective and 32,734,983 authorized shares of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and the awards granted under the 2021 Plan generally vest over a four-year period on a graded vesting basis.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December 31, 2021, there was an aggregate of 15,467,838 shares available for grants of stock options or other awards under the 2021 Plan.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2021 Employee Stock Purchase Plan (the “2021 ESPP”) became effective in connection with the Business Combination. The 2021 ESPP authorizes the issuance of shares of common stock pursuant to purchase rights granted to employees. A total of 4,804,011 shares of common stock have been reserved for future issuance under the 2021 ESPP. On each January 1 of each of 2022 through 2031, the aggregate number of shares of common stock reserved for issuance under the 2021 Plan may be increased automatically by the number of shares equal to one percent (1%) of the total number of shares of all classes of common stock issued and outstanding on the immediately preceding December 31. The Company did not make any grants of purchase rights under the 2021 ESPP during the year ended December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w:t>
      </w:r>
    </w:p>
    <w:p>
      <w:pPr>
        <w:spacing w:after="0" w:line="15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statements as of July 22, 2021. An incremental expense of $0.4 million resulting from the modification event was recorded in the year ended December 31, 2021.</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stock options granted under the 2021 Plan are accounted for as equity awards.</w:t>
      </w:r>
    </w:p>
    <w:p>
      <w:pPr>
        <w:spacing w:after="0" w:line="17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Stock Options</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14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1"/>
                <w:szCs w:val="11"/>
                <w:color w:val="auto"/>
              </w:rPr>
            </w:pPr>
          </w:p>
        </w:tc>
        <w:tc>
          <w:tcPr>
            <w:tcW w:w="13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4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Exercise Price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120" w:type="dxa"/>
            <w:vAlign w:val="bottom"/>
          </w:tcPr>
          <w:p>
            <w:pPr>
              <w:spacing w:after="0"/>
              <w:rPr>
                <w:sz w:val="16"/>
                <w:szCs w:val="16"/>
                <w:color w:val="auto"/>
              </w:rPr>
            </w:pPr>
          </w:p>
        </w:tc>
        <w:tc>
          <w:tcPr>
            <w:tcW w:w="1380" w:type="dxa"/>
            <w:vAlign w:val="bottom"/>
          </w:tcPr>
          <w:p>
            <w:pPr>
              <w:jc w:val="right"/>
              <w:ind w:right="49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32,339,970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159,899</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3,474,905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(2,248,705)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Options forfeited and canceled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(2,660,627)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30,905,543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109,887</w:t>
            </w:r>
          </w:p>
        </w:tc>
        <w:tc>
          <w:tcPr>
            <w:tcW w:w="0" w:type="dxa"/>
            <w:vAlign w:val="bottom"/>
          </w:tcPr>
          <w:p>
            <w:pPr>
              <w:spacing w:after="0"/>
              <w:rPr>
                <w:sz w:val="1"/>
                <w:szCs w:val="1"/>
                <w:color w:val="auto"/>
              </w:rPr>
            </w:pPr>
          </w:p>
        </w:tc>
      </w:tr>
      <w:tr>
        <w:trPr>
          <w:trHeight w:val="224"/>
        </w:trPr>
        <w:tc>
          <w:tcPr>
            <w:tcW w:w="5560" w:type="dxa"/>
            <w:vAlign w:val="bottom"/>
          </w:tcPr>
          <w:p>
            <w:pPr>
              <w:ind w:left="180"/>
              <w:spacing w:after="0"/>
              <w:rPr>
                <w:sz w:val="20"/>
                <w:szCs w:val="20"/>
                <w:color w:val="auto"/>
              </w:rPr>
            </w:pPr>
            <w:r>
              <w:rPr>
                <w:rFonts w:ascii="Arial" w:cs="Arial" w:eastAsia="Arial" w:hAnsi="Arial"/>
                <w:sz w:val="18"/>
                <w:szCs w:val="18"/>
                <w:color w:val="auto"/>
              </w:rPr>
              <w:t>Options exercisable at December 31, 2021</w:t>
            </w:r>
          </w:p>
        </w:tc>
        <w:tc>
          <w:tcPr>
            <w:tcW w:w="1300" w:type="dxa"/>
            <w:vAlign w:val="bottom"/>
          </w:tcPr>
          <w:p>
            <w:pPr>
              <w:jc w:val="right"/>
              <w:spacing w:after="0"/>
              <w:rPr>
                <w:sz w:val="20"/>
                <w:szCs w:val="20"/>
                <w:color w:val="auto"/>
              </w:rPr>
            </w:pPr>
            <w:r>
              <w:rPr>
                <w:rFonts w:ascii="Arial" w:cs="Arial" w:eastAsia="Arial" w:hAnsi="Arial"/>
                <w:sz w:val="18"/>
                <w:szCs w:val="18"/>
                <w:color w:val="auto"/>
              </w:rPr>
              <w:t>22,930,309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92,974</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Nonvested options outstanding at the end of the year was 7,975,234 with weighted average grant-date fair value of $8.38.</w:t>
      </w:r>
    </w:p>
    <w:p>
      <w:pPr>
        <w:spacing w:after="0" w:line="19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weighted-average grant-date fair value of options granted and total fair value of the options with tranches vested was $4.97 and $44.6 million for the year ended December 31, 2021, respectively. The weighted-average grant-date fair value of options forfeited and canceled was $10.52 for the year ended December 31, 2021. The aggregate intrinsic value of exercised options was $17.1 million, $0.6 million and $0.0 million in the years ended December 31, 2021, 2020 and 2019, respectively, and is calculated based on the difference between the exercise price and the fair value of the Company’s common stock as of the exercise date. The total payments for share-based liabilities were $0.1 million, $0.3 million and $1.0 million in the years ended December 31, 2021, 2020 and 2019, respectively.</w:t>
      </w:r>
    </w:p>
    <w:p>
      <w:pPr>
        <w:spacing w:after="0" w:line="156"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Due to the historical accounting under the liability awards and modification accounting applied upon consummation of the Business Combination, as described above, the Company used the fair value determined on the modification date when calculating the grant-date and total fair value disclosed.</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fair value of the stock option awards for the period ended December 31, 2021, and as of December 31, 2020, and 2019 were estimated using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with the following assumptions: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49.60%-67.70%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r>
      <w:tr>
        <w:trPr>
          <w:trHeight w:val="225"/>
        </w:trPr>
        <w:tc>
          <w:tcPr>
            <w:tcW w:w="6080" w:type="dxa"/>
            <w:vAlign w:val="bottom"/>
          </w:tcPr>
          <w:p>
            <w:pPr>
              <w:ind w:left="20"/>
              <w:spacing w:after="0"/>
              <w:rPr>
                <w:sz w:val="20"/>
                <w:szCs w:val="20"/>
                <w:color w:val="auto"/>
              </w:rPr>
            </w:pPr>
            <w:r>
              <w:rPr>
                <w:rFonts w:ascii="Arial" w:cs="Arial" w:eastAsia="Arial" w:hAnsi="Arial"/>
                <w:sz w:val="18"/>
                <w:szCs w:val="18"/>
                <w:color w:val="auto"/>
              </w:rPr>
              <w:t>Weighted-average expected volatility</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66.15%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65.80%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60.00%</w:t>
            </w:r>
          </w:p>
        </w:tc>
      </w:tr>
      <w:tr>
        <w:trPr>
          <w:trHeight w:val="22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5.00-6.06</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0.50–1.49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3.00–5.00</w:t>
            </w:r>
          </w:p>
        </w:tc>
      </w:tr>
      <w:tr>
        <w:trPr>
          <w:trHeight w:val="225"/>
        </w:trPr>
        <w:tc>
          <w:tcPr>
            <w:tcW w:w="60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0.71%-1.26%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0.10%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1.40%–1.43%</w:t>
            </w:r>
          </w:p>
        </w:tc>
      </w:tr>
      <w:tr>
        <w:trPr>
          <w:trHeight w:val="22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r>
      <w:tr>
        <w:trPr>
          <w:trHeight w:val="224"/>
        </w:trPr>
        <w:tc>
          <w:tcPr>
            <w:tcW w:w="6080" w:type="dxa"/>
            <w:vAlign w:val="bottom"/>
          </w:tcPr>
          <w:p>
            <w:pPr>
              <w:ind w:left="20"/>
              <w:spacing w:after="0"/>
              <w:rPr>
                <w:sz w:val="20"/>
                <w:szCs w:val="20"/>
                <w:color w:val="auto"/>
              </w:rPr>
            </w:pPr>
            <w:r>
              <w:rPr>
                <w:rFonts w:ascii="Arial" w:cs="Arial" w:eastAsia="Arial" w:hAnsi="Arial"/>
                <w:sz w:val="18"/>
                <w:szCs w:val="18"/>
                <w:color w:val="auto"/>
              </w:rPr>
              <w:t>Fair value of Class A common stock</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$7.62-$11.60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$5.49</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$0.77</w:t>
            </w:r>
          </w:p>
        </w:tc>
      </w:tr>
    </w:tbl>
    <w:p>
      <w:pPr>
        <w:spacing w:after="0" w:line="227" w:lineRule="exact"/>
        <w:rPr>
          <w:sz w:val="20"/>
          <w:szCs w:val="20"/>
          <w:color w:val="auto"/>
        </w:rPr>
      </w:pPr>
    </w:p>
    <w:p>
      <w:pPr>
        <w:ind w:right="280" w:firstLine="318"/>
        <w:spacing w:after="0" w:line="237" w:lineRule="auto"/>
        <w:rPr>
          <w:sz w:val="20"/>
          <w:szCs w:val="20"/>
          <w:color w:val="auto"/>
        </w:rPr>
      </w:pPr>
      <w:r>
        <w:rPr>
          <w:rFonts w:ascii="Arial" w:cs="Arial" w:eastAsia="Arial" w:hAnsi="Arial"/>
          <w:sz w:val="17"/>
          <w:szCs w:val="17"/>
          <w:color w:val="auto"/>
        </w:rPr>
        <w:t>We estimated a volatility factor for the Company’s options based on analysis of historical share prices of a peer group of public companies. We did not rely on the volatility of the Company’s common stock because its limited trading history. We estimated the expected term of options granted using the “simplified method,” which is the mid-point between the vesting date and the ending date of the contractual term. We did not rely on the historical holding periods of the Company’s options due to the limited availability of exercise data. We used a risk-free interest rate based on the U.S. Treasury yield curve in effect for bonds with maturities consistent with the expected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issued time-based RSUs to employees under the 2021 Plan. The RSUs automatically convert to common stock on a one-for-one basis as the awards vest. The Company measures the value of RSUs at fair value based on the closing price of the underlying common stock on the grant date. The RSUs granted generally vest over a four year vesting period from the grant date, however, the Company also granted certain RSUs during the three months ended December 31, 2021, which were vesting beginning 12 months from the grant date and vesting immediately on the grant date. The following table summarizes the activity related to the Company's time-based RSUs:</w:t>
      </w:r>
    </w:p>
    <w:p>
      <w:pPr>
        <w:spacing w:after="0" w:line="13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100" w:type="dxa"/>
            <w:vAlign w:val="bottom"/>
            <w:gridSpan w:val="2"/>
          </w:tcPr>
          <w:p>
            <w:pPr>
              <w:ind w:left="480"/>
              <w:spacing w:after="0"/>
              <w:rPr>
                <w:sz w:val="20"/>
                <w:szCs w:val="20"/>
                <w:color w:val="auto"/>
              </w:rPr>
            </w:pPr>
            <w:r>
              <w:rPr>
                <w:rFonts w:ascii="Arial" w:cs="Arial" w:eastAsia="Arial" w:hAnsi="Arial"/>
                <w:sz w:val="14"/>
                <w:szCs w:val="14"/>
                <w:b w:val="1"/>
                <w:bCs w:val="1"/>
                <w:color w:val="auto"/>
              </w:rPr>
              <w:t>Restricted Stock Units</w:t>
            </w:r>
          </w:p>
        </w:tc>
        <w:tc>
          <w:tcPr>
            <w:tcW w:w="2380" w:type="dxa"/>
            <w:vAlign w:val="bottom"/>
          </w:tcPr>
          <w:p>
            <w:pPr>
              <w:jc w:val="right"/>
              <w:ind w:right="57"/>
              <w:spacing w:after="0"/>
              <w:rPr>
                <w:sz w:val="20"/>
                <w:szCs w:val="20"/>
                <w:color w:val="auto"/>
              </w:rPr>
            </w:pPr>
            <w:r>
              <w:rPr>
                <w:rFonts w:ascii="Arial" w:cs="Arial" w:eastAsia="Arial" w:hAnsi="Arial"/>
                <w:sz w:val="14"/>
                <w:szCs w:val="14"/>
                <w:b w:val="1"/>
                <w:bCs w:val="1"/>
                <w:color w:val="auto"/>
              </w:rPr>
              <w:t>Weighted Average Grant Date</w:t>
            </w:r>
          </w:p>
        </w:tc>
      </w:tr>
      <w:tr>
        <w:trPr>
          <w:trHeight w:val="185"/>
        </w:trPr>
        <w:tc>
          <w:tcPr>
            <w:tcW w:w="57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Fair Value Per Unit</w:t>
            </w:r>
          </w:p>
        </w:tc>
      </w:tr>
      <w:tr>
        <w:trPr>
          <w:trHeight w:val="219"/>
        </w:trPr>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at December 31, 2020</w:t>
            </w: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700" w:type="dxa"/>
            <w:vAlign w:val="bottom"/>
          </w:tcPr>
          <w:p>
            <w:pPr>
              <w:ind w:left="500"/>
              <w:spacing w:after="0"/>
              <w:rPr>
                <w:sz w:val="20"/>
                <w:szCs w:val="20"/>
                <w:color w:val="auto"/>
              </w:rPr>
            </w:pPr>
            <w:r>
              <w:rPr>
                <w:rFonts w:ascii="Arial" w:cs="Arial" w:eastAsia="Arial" w:hAnsi="Arial"/>
                <w:sz w:val="18"/>
                <w:szCs w:val="18"/>
                <w:color w:val="auto"/>
              </w:rPr>
              <w:t>Restricted Stock Units granted</w:t>
            </w:r>
          </w:p>
        </w:tc>
        <w:tc>
          <w:tcPr>
            <w:tcW w:w="2000" w:type="dxa"/>
            <w:vAlign w:val="bottom"/>
          </w:tcPr>
          <w:p>
            <w:pPr>
              <w:jc w:val="right"/>
              <w:spacing w:after="0"/>
              <w:rPr>
                <w:sz w:val="20"/>
                <w:szCs w:val="20"/>
                <w:color w:val="auto"/>
              </w:rPr>
            </w:pPr>
            <w:r>
              <w:rPr>
                <w:rFonts w:ascii="Arial" w:cs="Arial" w:eastAsia="Arial" w:hAnsi="Arial"/>
                <w:sz w:val="18"/>
                <w:szCs w:val="18"/>
                <w:color w:val="auto"/>
              </w:rPr>
              <w:t>14,250,909</w:t>
            </w:r>
          </w:p>
        </w:tc>
        <w:tc>
          <w:tcPr>
            <w:tcW w:w="1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26"/>
        </w:trPr>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Restricted Stock Units vested</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(1,466,010)</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25"/>
        </w:trPr>
        <w:tc>
          <w:tcPr>
            <w:tcW w:w="5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Restricted Stock Units forfeited</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(195,341)</w:t>
            </w:r>
          </w:p>
        </w:tc>
        <w:tc>
          <w:tcPr>
            <w:tcW w:w="100" w:type="dxa"/>
            <w:vAlign w:val="bottom"/>
            <w:tcBorders>
              <w:bottom w:val="single" w:sz="8" w:color="CCEEFF"/>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r>
      <w:tr>
        <w:trPr>
          <w:trHeight w:val="219"/>
        </w:trPr>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at December 31, 2021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12,589,558</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r>
    </w:tbl>
    <w:p>
      <w:pPr>
        <w:spacing w:after="0" w:line="2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Nonvested RSUs outstanding at the end of the year was 12,589,558 with weighted average grant-date fair value of $7.64. The total fair value of RSUs vested for the year ended December 31, 2021 was $9.9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RSUs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grant date fair value determined for Triggering Event I, II and III was $1.82, $1.39 and $0.94 per unit, respectively. Any re-allocated RSUs due to the Sema4 Legacy option holders’ forfeiture activities were accounted for as new grants and the fair value determined for Triggering Event I, II and III was $0.86, $0.61 and $0.41 per unit, respectively. Based on the grant date fair value, the Company expects to record total expense related to the Earn-out RSU Awards of $3.5 million. The Company expects to recognize the stock-compensation cost over the longer of the derived service period or service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 (SAR) Activity</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during the year ended December 31, 2021. There were no outstanding SARs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Stock-based compensation expense is included within the consolidated statements of operations and comprehensive loss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19"/>
        </w:trPr>
        <w:tc>
          <w:tcPr>
            <w:tcW w:w="6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(Restated) (1)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22,567</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219,421</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5,482</w:t>
            </w:r>
          </w:p>
        </w:tc>
      </w:tr>
      <w:tr>
        <w:trPr>
          <w:trHeight w:val="20"/>
        </w:trPr>
        <w:tc>
          <w:tcPr>
            <w:tcW w:w="6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(1) Refer to Note 2, “Summary of Significant Accounting Policies.” for further details and discussions.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December 31, 2021, unrecognized stock-based compensation cost related to the unvested portion of the Company’s stock options was $29.7 million, which is expected to be recognized on a graded-vesting basis over a weighted-average period of 1.6 years. As of December 31, 2021, unrecognized stock-based compensation cost related to the Company’s RSUs was $78.4 million, which is expected to be recognized on a graded-vesting basis over a weighted-average period of 1.7 years.</w:t>
      </w:r>
    </w:p>
    <w:p>
      <w:pPr>
        <w:spacing w:after="0" w:line="200" w:lineRule="exact"/>
        <w:rPr>
          <w:sz w:val="20"/>
          <w:szCs w:val="20"/>
          <w:color w:val="auto"/>
        </w:rPr>
      </w:pPr>
    </w:p>
    <w:p>
      <w:pPr>
        <w:spacing w:after="0" w:line="3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Redeemable Convertible Preferred Stock</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were no shares of Redeemable Convertible Preferred Stock outstanding as of December 31, 2021. Redeemable Convertible Preferred Stock as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consisted of the following (in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6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 Authorized</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Shares Issued and</w:t>
            </w:r>
          </w:p>
        </w:tc>
        <w:tc>
          <w:tcPr>
            <w:tcW w:w="320" w:type="dxa"/>
            <w:vAlign w:val="bottom"/>
          </w:tcPr>
          <w:p>
            <w:pPr>
              <w:spacing w:after="0"/>
              <w:rPr>
                <w:sz w:val="14"/>
                <w:szCs w:val="14"/>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Aggregate Liquidation</w:t>
            </w: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Outstanding</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55,399,943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55,399,943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580" w:type="dxa"/>
            <w:vAlign w:val="bottom"/>
          </w:tcPr>
          <w:p>
            <w:pPr>
              <w:jc w:val="right"/>
              <w:spacing w:after="0"/>
              <w:rPr>
                <w:sz w:val="20"/>
                <w:szCs w:val="20"/>
                <w:color w:val="auto"/>
              </w:rPr>
            </w:pPr>
            <w:r>
              <w:rPr>
                <w:rFonts w:ascii="Arial" w:cs="Arial" w:eastAsia="Arial" w:hAnsi="Arial"/>
                <w:sz w:val="18"/>
                <w:szCs w:val="18"/>
                <w:color w:val="auto"/>
              </w:rPr>
              <w:t>64,718,940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49,700,364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24,497,317</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24,496,946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186,554,160</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171,535,213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Prior to the completion of the Business Combination, there were no significant changes to the terms of the Convertible Preferred Stock. Upon closing of the Merger, each share Preferred Stock (as defined in the Proxy Statement) was cancelled and received a portion of the merger consideration, resulting in certain Legacy Sema4 preferred stockholders receiving $230.0 million of cash and an aggregate of 148,543,062 shares of common stock. The Company recorded the conversion at the carrying value of the Redeemable Convertible Preferred Stock at the time of Closing.</w:t>
      </w:r>
    </w:p>
    <w:p>
      <w:pPr>
        <w:spacing w:after="0" w:line="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Common Stock</w:t>
      </w:r>
    </w:p>
    <w:p>
      <w:pPr>
        <w:spacing w:after="0" w:line="16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were 242,647,604 shares of Sema4 Holdings Class A common stock and 124 shares of Legacy Sema4 Class A common stock issued and outstanding as of December 31, 2021 and 2020, respectively. There were 0 and 130,557 shares of Class B common stock issued and outstanding as of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Income Taxes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income before incomes taxes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3"/>
        </w:trPr>
        <w:tc>
          <w:tcPr>
            <w:tcW w:w="61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25"/>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Domestic</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74"/>
              <w:spacing w:after="0"/>
              <w:rPr>
                <w:sz w:val="20"/>
                <w:szCs w:val="20"/>
                <w:color w:val="auto"/>
              </w:rPr>
            </w:pPr>
            <w:r>
              <w:rPr>
                <w:rFonts w:ascii="Arial" w:cs="Arial" w:eastAsia="Arial" w:hAnsi="Arial"/>
                <w:sz w:val="18"/>
                <w:szCs w:val="18"/>
                <w:color w:val="auto"/>
                <w:w w:val="88"/>
              </w:rPr>
              <w:t>(245,390)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89"/>
              </w:rPr>
              <w:t>(29,704)</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474"/>
              <w:spacing w:after="0"/>
              <w:rPr>
                <w:sz w:val="20"/>
                <w:szCs w:val="20"/>
                <w:color w:val="auto"/>
              </w:rPr>
            </w:pPr>
            <w:r>
              <w:rPr>
                <w:rFonts w:ascii="Arial" w:cs="Arial" w:eastAsia="Arial" w:hAnsi="Arial"/>
                <w:sz w:val="18"/>
                <w:szCs w:val="18"/>
                <w:color w:val="auto"/>
                <w:w w:val="88"/>
              </w:rPr>
              <w:t>(245,390)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9"/>
              </w:rPr>
              <w:t>(29,704)</w:t>
            </w:r>
          </w:p>
        </w:tc>
      </w:tr>
      <w:tr>
        <w:trPr>
          <w:trHeight w:val="299"/>
        </w:trPr>
        <w:tc>
          <w:tcPr>
            <w:tcW w:w="6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83"/>
        </w:trPr>
        <w:tc>
          <w:tcPr>
            <w:tcW w:w="6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800" w:type="dxa"/>
            <w:vAlign w:val="bottom"/>
            <w:gridSpan w:val="5"/>
            <w:shd w:val="clear" w:color="auto" w:fill="CCEEFF"/>
          </w:tcPr>
          <w:p>
            <w:pPr>
              <w:jc w:val="right"/>
              <w:ind w:right="152"/>
              <w:spacing w:after="0"/>
              <w:rPr>
                <w:sz w:val="20"/>
                <w:szCs w:val="20"/>
                <w:color w:val="auto"/>
              </w:rPr>
            </w:pPr>
            <w:r>
              <w:rPr>
                <w:rFonts w:ascii="Arial" w:cs="Arial" w:eastAsia="Arial" w:hAnsi="Arial"/>
                <w:sz w:val="18"/>
                <w:szCs w:val="18"/>
                <w:color w:val="auto"/>
              </w:rPr>
              <w:t>— — % $</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25"/>
        </w:trPr>
        <w:tc>
          <w:tcPr>
            <w:tcW w:w="6180" w:type="dxa"/>
            <w:vAlign w:val="bottom"/>
          </w:tcPr>
          <w:p>
            <w:pPr>
              <w:ind w:left="2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1280" w:type="dxa"/>
            <w:vAlign w:val="bottom"/>
            <w:gridSpan w:val="2"/>
          </w:tcPr>
          <w:p>
            <w:pPr>
              <w:jc w:val="center"/>
              <w:ind w:left="454"/>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2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454"/>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25"/>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674"/>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gridSpan w:val="2"/>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r>
      <w:tr>
        <w:trPr>
          <w:trHeight w:val="218"/>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454"/>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32"/>
        </w:trPr>
        <w:tc>
          <w:tcPr>
            <w:tcW w:w="6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6180" w:type="dxa"/>
            <w:vAlign w:val="bottom"/>
          </w:tcPr>
          <w:p>
            <w:pPr>
              <w:ind w:left="2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1280" w:type="dxa"/>
            <w:vAlign w:val="bottom"/>
            <w:gridSpan w:val="2"/>
          </w:tcPr>
          <w:p>
            <w:pPr>
              <w:jc w:val="center"/>
              <w:ind w:left="454"/>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2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454"/>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25"/>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674"/>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gridSpan w:val="2"/>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r>
      <w:tr>
        <w:trPr>
          <w:trHeight w:val="218"/>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674"/>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19"/>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Total Tax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1280" w:type="dxa"/>
            <w:vAlign w:val="bottom"/>
            <w:gridSpan w:val="2"/>
          </w:tcPr>
          <w:p>
            <w:pPr>
              <w:jc w:val="center"/>
              <w:ind w:left="454"/>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0"/>
        </w:trPr>
        <w:tc>
          <w:tcPr>
            <w:tcW w:w="6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the years ended December 31, 2021, 2020 and 2019, the Company did not have a current or deferred income tax expense or (benefit). Accordingly, the effective tax rate for the Company for the years ended December 31, 2021, 2020 and 2019 was zero percent. A reconciliation of the anticipated income tax expense/(benefit) computed by applying the statutory federal income tax rate of 21% to income before taxes to the amount reported in the statement of operations and comprehensive loss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156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taxes at statutory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66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90"/>
              </w:rPr>
              <w:t>21.0%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21.0%</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660" w:type="dxa"/>
            <w:vAlign w:val="bottom"/>
            <w:gridSpan w:val="2"/>
          </w:tcPr>
          <w:p>
            <w:pPr>
              <w:jc w:val="center"/>
              <w:ind w:left="35"/>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3.5</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66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Non-deductible stock-based compensation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(11.3)</w:t>
            </w:r>
          </w:p>
        </w:tc>
        <w:tc>
          <w:tcPr>
            <w:tcW w:w="1660" w:type="dxa"/>
            <w:vAlign w:val="bottom"/>
            <w:gridSpan w:val="2"/>
          </w:tcPr>
          <w:p>
            <w:pPr>
              <w:jc w:val="center"/>
              <w:ind w:left="35"/>
              <w:spacing w:after="0"/>
              <w:rPr>
                <w:sz w:val="20"/>
                <w:szCs w:val="20"/>
                <w:color w:val="auto"/>
              </w:rPr>
            </w:pPr>
            <w:r>
              <w:rPr>
                <w:rFonts w:ascii="Arial" w:cs="Arial" w:eastAsia="Arial" w:hAnsi="Arial"/>
                <w:sz w:val="18"/>
                <w:szCs w:val="18"/>
                <w:color w:val="auto"/>
                <w:w w:val="91"/>
              </w:rPr>
              <w:t>(7.8)</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(3.3)</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162(m) Limitation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19"/>
                <w:szCs w:val="19"/>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(0.5)</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fair market value gain on warrants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17.0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(32.0)</w:t>
            </w:r>
          </w:p>
        </w:tc>
        <w:tc>
          <w:tcPr>
            <w:tcW w:w="1660" w:type="dxa"/>
            <w:vAlign w:val="bottom"/>
            <w:gridSpan w:val="2"/>
          </w:tcPr>
          <w:p>
            <w:pPr>
              <w:jc w:val="center"/>
              <w:ind w:left="35"/>
              <w:spacing w:after="0"/>
              <w:rPr>
                <w:sz w:val="20"/>
                <w:szCs w:val="20"/>
                <w:color w:val="auto"/>
              </w:rPr>
            </w:pPr>
            <w:r>
              <w:rPr>
                <w:rFonts w:ascii="Arial" w:cs="Arial" w:eastAsia="Arial" w:hAnsi="Arial"/>
                <w:sz w:val="18"/>
                <w:szCs w:val="18"/>
                <w:color w:val="auto"/>
                <w:w w:val="89"/>
              </w:rPr>
              <w:t>(15.9)</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(24.1)</w:t>
            </w:r>
          </w:p>
        </w:tc>
      </w:tr>
      <w:tr>
        <w:trPr>
          <w:trHeight w:val="24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net deferred tax assets were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132,075</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44,583</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2,337</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costs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4,667</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Unearned revenue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employer taxes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Obsolete inventory reserve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Gross deferred tax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160,463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61,356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8"/>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(58,264)</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1"/>
        </w:trPr>
        <w:tc>
          <w:tcPr>
            <w:tcW w:w="80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25"/>
        </w:trPr>
        <w:tc>
          <w:tcPr>
            <w:tcW w:w="80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Capitalized software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r>
      <w:tr>
        <w:trPr>
          <w:trHeight w:val="244"/>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Arial" w:cs="Arial" w:eastAsia="Arial" w:hAnsi="Arial"/>
                <w:sz w:val="18"/>
                <w:szCs w:val="18"/>
                <w:color w:val="auto"/>
              </w:rPr>
              <w:t>Net deferred tax assets</w:t>
            </w:r>
          </w:p>
        </w:tc>
        <w:tc>
          <w:tcPr>
            <w:tcW w:w="380" w:type="dxa"/>
            <w:vAlign w:val="bottom"/>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9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December 31, 2021, the Company had the following tax net operating loss carryforwards available to reduce future federal and state taxable income, and tax credit carryforwards available to offset future federal and Connecticut income taxes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660" w:type="dxa"/>
            <w:vAlign w:val="bottom"/>
            <w:gridSpan w:val="2"/>
          </w:tcPr>
          <w:p>
            <w:pPr>
              <w:ind w:left="54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 period</w:t>
            </w: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net operating loss carryforwards: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Federal (pre-2018 net operating losses)</w:t>
            </w:r>
          </w:p>
        </w:tc>
        <w:tc>
          <w:tcPr>
            <w:tcW w:w="1560" w:type="dxa"/>
            <w:vAlign w:val="bottom"/>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2036-2037</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(post-2017 net operating losses)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 expiration</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560" w:type="dxa"/>
            <w:vAlign w:val="bottom"/>
          </w:tcPr>
          <w:p>
            <w:pPr>
              <w:jc w:val="right"/>
              <w:spacing w:after="0"/>
              <w:rPr>
                <w:sz w:val="20"/>
                <w:szCs w:val="20"/>
                <w:color w:val="auto"/>
              </w:rPr>
            </w:pPr>
            <w:r>
              <w:rPr>
                <w:rFonts w:ascii="Arial" w:cs="Arial" w:eastAsia="Arial" w:hAnsi="Arial"/>
                <w:sz w:val="18"/>
                <w:szCs w:val="18"/>
                <w:color w:val="auto"/>
              </w:rPr>
              <w:t>589,584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2028-2042</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 expiration</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2038-2040</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Connecticut research and experimental</w:t>
            </w:r>
          </w:p>
        </w:tc>
        <w:tc>
          <w:tcPr>
            <w:tcW w:w="1560" w:type="dxa"/>
            <w:vAlign w:val="bottom"/>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2034-2035</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Connecticut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 expiration</w:t>
            </w: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had the following deferred tax valuation allowance balances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1120" w:type="dxa"/>
            <w:vAlign w:val="bottom"/>
            <w:tcBorders>
              <w:bottom w:val="single" w:sz="8" w:color="auto"/>
            </w:tcBorders>
          </w:tcPr>
          <w:p>
            <w:pPr>
              <w:jc w:val="center"/>
              <w:ind w:left="116"/>
              <w:spacing w:after="0"/>
              <w:rPr>
                <w:sz w:val="20"/>
                <w:szCs w:val="20"/>
                <w:color w:val="auto"/>
              </w:rPr>
            </w:pPr>
            <w:r>
              <w:rPr>
                <w:rFonts w:ascii="Arial" w:cs="Arial" w:eastAsia="Arial" w:hAnsi="Arial"/>
                <w:sz w:val="14"/>
                <w:szCs w:val="14"/>
                <w:b w:val="1"/>
                <w:bCs w:val="1"/>
                <w:color w:val="auto"/>
                <w:w w:val="92"/>
              </w:rPr>
              <w:t>Year</w:t>
            </w:r>
          </w:p>
        </w:tc>
        <w:tc>
          <w:tcPr>
            <w:tcW w:w="298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4"/>
                <w:szCs w:val="14"/>
                <w:b w:val="1"/>
                <w:bCs w:val="1"/>
                <w:color w:val="auto"/>
              </w:rPr>
              <w:t>Balance at the Beginning of Period</w:t>
            </w:r>
          </w:p>
        </w:tc>
        <w:tc>
          <w:tcPr>
            <w:tcW w:w="2280" w:type="dxa"/>
            <w:vAlign w:val="bottom"/>
            <w:tcBorders>
              <w:bottom w:val="single" w:sz="8" w:color="auto"/>
            </w:tcBorders>
          </w:tcPr>
          <w:p>
            <w:pPr>
              <w:jc w:val="right"/>
              <w:ind w:right="1096"/>
              <w:spacing w:after="0"/>
              <w:rPr>
                <w:sz w:val="20"/>
                <w:szCs w:val="20"/>
                <w:color w:val="auto"/>
              </w:rPr>
            </w:pPr>
            <w:r>
              <w:rPr>
                <w:rFonts w:ascii="Arial" w:cs="Arial" w:eastAsia="Arial" w:hAnsi="Arial"/>
                <w:sz w:val="14"/>
                <w:szCs w:val="14"/>
                <w:b w:val="1"/>
                <w:bCs w:val="1"/>
                <w:color w:val="auto"/>
              </w:rPr>
              <w:t>Additions</w:t>
            </w:r>
          </w:p>
        </w:tc>
        <w:tc>
          <w:tcPr>
            <w:tcW w:w="20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Write-Offs/Other</w:t>
            </w:r>
          </w:p>
        </w:tc>
        <w:tc>
          <w:tcPr>
            <w:tcW w:w="2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4"/>
              </w:rPr>
              <w:t>Balance at the End of Period</w:t>
            </w:r>
          </w:p>
        </w:tc>
      </w:tr>
      <w:tr>
        <w:trPr>
          <w:trHeight w:val="224"/>
        </w:trPr>
        <w:tc>
          <w:tcPr>
            <w:tcW w:w="112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w w:val="89"/>
              </w:rPr>
              <w:t>2021</w:t>
            </w:r>
          </w:p>
        </w:tc>
        <w:tc>
          <w:tcPr>
            <w:tcW w:w="12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58,264</w:t>
            </w:r>
          </w:p>
        </w:tc>
        <w:tc>
          <w:tcPr>
            <w:tcW w:w="22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97,404</w:t>
            </w:r>
          </w:p>
        </w:tc>
        <w:tc>
          <w:tcPr>
            <w:tcW w:w="20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155,668</w:t>
            </w:r>
          </w:p>
        </w:tc>
      </w:tr>
      <w:tr>
        <w:trPr>
          <w:trHeight w:val="225"/>
        </w:trPr>
        <w:tc>
          <w:tcPr>
            <w:tcW w:w="1120" w:type="dxa"/>
            <w:vAlign w:val="bottom"/>
          </w:tcPr>
          <w:p>
            <w:pPr>
              <w:jc w:val="center"/>
              <w:ind w:left="116"/>
              <w:spacing w:after="0"/>
              <w:rPr>
                <w:sz w:val="20"/>
                <w:szCs w:val="20"/>
                <w:color w:val="auto"/>
              </w:rPr>
            </w:pPr>
            <w:r>
              <w:rPr>
                <w:rFonts w:ascii="Arial" w:cs="Arial" w:eastAsia="Arial" w:hAnsi="Arial"/>
                <w:sz w:val="18"/>
                <w:szCs w:val="18"/>
                <w:color w:val="auto"/>
                <w:w w:val="89"/>
              </w:rPr>
              <w:t>2020</w:t>
            </w:r>
          </w:p>
        </w:tc>
        <w:tc>
          <w:tcPr>
            <w:tcW w:w="1200" w:type="dxa"/>
            <w:vAlign w:val="bottom"/>
          </w:tcPr>
          <w:p>
            <w:pPr>
              <w:jc w:val="right"/>
              <w:ind w:right="716"/>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20,082</w:t>
            </w:r>
          </w:p>
        </w:tc>
        <w:tc>
          <w:tcPr>
            <w:tcW w:w="2280" w:type="dxa"/>
            <w:vAlign w:val="bottom"/>
          </w:tcPr>
          <w:p>
            <w:pPr>
              <w:jc w:val="right"/>
              <w:ind w:right="276"/>
              <w:spacing w:after="0"/>
              <w:rPr>
                <w:sz w:val="20"/>
                <w:szCs w:val="20"/>
                <w:color w:val="auto"/>
              </w:rPr>
            </w:pPr>
            <w:r>
              <w:rPr>
                <w:rFonts w:ascii="Arial" w:cs="Arial" w:eastAsia="Arial" w:hAnsi="Arial"/>
                <w:sz w:val="18"/>
                <w:szCs w:val="18"/>
                <w:color w:val="auto"/>
              </w:rPr>
              <w:t>38,182</w:t>
            </w:r>
          </w:p>
        </w:tc>
        <w:tc>
          <w:tcPr>
            <w:tcW w:w="2040" w:type="dxa"/>
            <w:vAlign w:val="bottom"/>
          </w:tcPr>
          <w:p>
            <w:pPr>
              <w:ind w:left="17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58,264</w:t>
            </w:r>
          </w:p>
        </w:tc>
      </w:tr>
      <w:tr>
        <w:trPr>
          <w:trHeight w:val="226"/>
        </w:trPr>
        <w:tc>
          <w:tcPr>
            <w:tcW w:w="112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w w:val="89"/>
              </w:rPr>
              <w:t>2019</w:t>
            </w:r>
          </w:p>
        </w:tc>
        <w:tc>
          <w:tcPr>
            <w:tcW w:w="12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12,928</w:t>
            </w:r>
          </w:p>
        </w:tc>
        <w:tc>
          <w:tcPr>
            <w:tcW w:w="22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7,154</w:t>
            </w:r>
          </w:p>
        </w:tc>
        <w:tc>
          <w:tcPr>
            <w:tcW w:w="20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w:t>
            </w: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spacing w:after="0" w:line="13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 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spacing w:after="0" w:line="12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Future realization of the tax benefits of existing temporary differences and carryforwards ultimately depends on the existence of sufficient taxable income within the carryforward period. As of December 31, 2021 and 2020, the Company performed an evaluation to determine whether a valuation allowance was needed. Based on the Company’s analysis, which considered all available evidence, both positive and negative, the Company determined that it is more likely than not that its net deferred tax assets will not be realized. Accordingly, the Company maintained a full valuation allowance as of December 31, 2021, 2020 and 2019. The valuation allowance increased by $97.4 million in 2021, $38.1 million in 2020 and $7.1 million in 2019 primarily due to the increase in net operating loss carryforwards, research and development tax credits, accrued compensation expenses, stock-based compensation and deferred rent expense.</w:t>
      </w:r>
    </w:p>
    <w:p>
      <w:pPr>
        <w:spacing w:after="0" w:line="9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ASC 740 addresses the determination of whether tax benefits claimed or expected to be claimed on a tax return should be recorded in the financial statements by prescribing a model for recognizing, measuring, and disclosing uncertain tax positions. Unrecognized income tax benefits represent income tax positions taken on income tax returns but not yet recognized in the financial statements.</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December 31, 2021, 2020 and 2019,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 reconciliation of the beginning and ending amounts of unrecognized tax benefits for the years ended December 31, 2021, 2020 and 2019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3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8"/>
        </w:trPr>
        <w:tc>
          <w:tcPr>
            <w:tcW w:w="63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3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1080" w:type="dxa"/>
            <w:vAlign w:val="bottom"/>
            <w:tcBorders>
              <w:bottom w:val="single" w:sz="8" w:color="CCEEFF"/>
            </w:tcBorders>
            <w:shd w:val="clear" w:color="auto" w:fill="CCEEFF"/>
          </w:tcPr>
          <w:p>
            <w:pPr>
              <w:jc w:val="right"/>
              <w:ind w:right="87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64"/>
        </w:trPr>
        <w:tc>
          <w:tcPr>
            <w:tcW w:w="6360" w:type="dxa"/>
            <w:vAlign w:val="bottom"/>
          </w:tcPr>
          <w:p>
            <w:pPr>
              <w:ind w:left="240"/>
              <w:spacing w:after="0"/>
              <w:rPr>
                <w:sz w:val="20"/>
                <w:szCs w:val="20"/>
                <w:color w:val="auto"/>
              </w:rPr>
            </w:pPr>
            <w:r>
              <w:rPr>
                <w:rFonts w:ascii="Arial" w:cs="Arial" w:eastAsia="Arial" w:hAnsi="Arial"/>
                <w:sz w:val="18"/>
                <w:szCs w:val="18"/>
                <w:color w:val="auto"/>
              </w:rPr>
              <w:t>Gross increases – tax positions in current period</w:t>
            </w:r>
          </w:p>
        </w:tc>
        <w:tc>
          <w:tcPr>
            <w:tcW w:w="108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1"/>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1080" w:type="dxa"/>
            <w:vAlign w:val="bottom"/>
            <w:tcBorders>
              <w:top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8"/>
        </w:trPr>
        <w:tc>
          <w:tcPr>
            <w:tcW w:w="6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the extent penalties and interest would be assessed on any underpayment of income tax, the Company’s policy is that such amounts would be accrued and classified as a component of income tax expense in the financial statements. As of December 31, 2021, 2020 and 2019, the Company has not accrued interest or penalties related to uncertain tax positions.</w:t>
      </w:r>
    </w:p>
    <w:p>
      <w:pPr>
        <w:spacing w:after="0" w:line="13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 statutes of limitations remain open from 2016 and forward until the net operating loss carryforwards are utilized or expire prior to utilization.</w:t>
      </w:r>
    </w:p>
    <w:p>
      <w:pPr>
        <w:spacing w:after="0" w:line="1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Net Loss per Share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The following table sets forth the computation of basic and diluted net loss per share attributable to common stockholders (in thousands, except for share and per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0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(245,390)</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(32,743)</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89"/>
              </w:rPr>
              <w:t>Denominator for basic and diluted earnings per share-weighted-average common shares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1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(264,056)</w:t>
            </w:r>
          </w:p>
        </w:tc>
      </w:tr>
    </w:tbl>
    <w:p>
      <w:pPr>
        <w:spacing w:after="0" w:line="25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a result of the Merger, the Company has retroactively adjusted the weighted-average number of shares of common stock outstanding prior to the Merger by multiplying them by the conversion ratio of 123.8339 used to determine the number of shares of common stock into which they converted. The common stock issued as a result of the redeemable convertible preferred stock conversion upon closing of the Merger was included in the basic and diluted (loss) per share calculation on a prospective basis.</w:t>
      </w:r>
    </w:p>
    <w:p>
      <w:pPr>
        <w:spacing w:after="0" w:line="15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Prior to the consummation of the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Merger, all outstanding Legacy Sema4 Class B common stock has been retroactively converted to the Sema4 Holdings Class A common stock.</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tables summarize the outstanding shares of potentially dilutive securities that were excluded from the computation of diluted net loss per share attributable to common stockholders for the period presented because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5" w:name="page146"/>
    <w:bookmarkEnd w:id="1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60" w:type="dxa"/>
            <w:vAlign w:val="bottom"/>
            <w:gridSpan w:val="2"/>
          </w:tcPr>
          <w:p>
            <w:pPr>
              <w:spacing w:after="0"/>
              <w:rPr>
                <w:sz w:val="20"/>
                <w:szCs w:val="20"/>
                <w:color w:val="auto"/>
              </w:rPr>
            </w:pPr>
            <w:r>
              <w:rPr>
                <w:rFonts w:ascii="Arial" w:cs="Arial" w:eastAsia="Arial" w:hAnsi="Arial"/>
                <w:sz w:val="18"/>
                <w:szCs w:val="18"/>
                <w:color w:val="auto"/>
              </w:rPr>
              <w:t>including</w:t>
            </w:r>
          </w:p>
        </w:tc>
        <w:tc>
          <w:tcPr>
            <w:tcW w:w="1480" w:type="dxa"/>
            <w:vAlign w:val="bottom"/>
          </w:tcPr>
          <w:p>
            <w:pPr>
              <w:ind w:left="40"/>
              <w:spacing w:after="0"/>
              <w:rPr>
                <w:sz w:val="20"/>
                <w:szCs w:val="20"/>
                <w:color w:val="auto"/>
              </w:rPr>
            </w:pPr>
            <w:r>
              <w:rPr>
                <w:rFonts w:ascii="Arial" w:cs="Arial" w:eastAsia="Arial" w:hAnsi="Arial"/>
                <w:sz w:val="18"/>
                <w:szCs w:val="18"/>
                <w:color w:val="auto"/>
              </w:rPr>
              <w:t>them</w:t>
            </w:r>
          </w:p>
        </w:tc>
        <w:tc>
          <w:tcPr>
            <w:tcW w:w="2620" w:type="dxa"/>
            <w:vAlign w:val="bottom"/>
          </w:tcPr>
          <w:p>
            <w:pPr>
              <w:ind w:left="560"/>
              <w:spacing w:after="0"/>
              <w:rPr>
                <w:sz w:val="20"/>
                <w:szCs w:val="20"/>
                <w:color w:val="auto"/>
              </w:rPr>
            </w:pPr>
            <w:r>
              <w:rPr>
                <w:rFonts w:ascii="Arial" w:cs="Arial" w:eastAsia="Arial" w:hAnsi="Arial"/>
                <w:sz w:val="18"/>
                <w:szCs w:val="18"/>
                <w:color w:val="auto"/>
              </w:rPr>
              <w:t>would</w:t>
            </w:r>
          </w:p>
        </w:tc>
        <w:tc>
          <w:tcPr>
            <w:tcW w:w="1560" w:type="dxa"/>
            <w:vAlign w:val="bottom"/>
          </w:tcPr>
          <w:p>
            <w:pPr>
              <w:jc w:val="right"/>
              <w:ind w:right="1114"/>
              <w:spacing w:after="0"/>
              <w:rPr>
                <w:sz w:val="20"/>
                <w:szCs w:val="20"/>
                <w:color w:val="auto"/>
              </w:rPr>
            </w:pPr>
            <w:r>
              <w:rPr>
                <w:rFonts w:ascii="Arial" w:cs="Arial" w:eastAsia="Arial" w:hAnsi="Arial"/>
                <w:sz w:val="18"/>
                <w:szCs w:val="18"/>
                <w:color w:val="auto"/>
                <w:w w:val="86"/>
              </w:rPr>
              <w:t>have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been</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anti-dilutive:</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40" w:type="dxa"/>
            <w:vAlign w:val="bottom"/>
            <w:tcBorders>
              <w:bottom w:val="single" w:sz="8" w:color="CCEEFF"/>
            </w:tcBorders>
          </w:tcPr>
          <w:p>
            <w:pPr>
              <w:spacing w:after="0"/>
              <w:rPr>
                <w:sz w:val="15"/>
                <w:szCs w:val="15"/>
                <w:color w:val="auto"/>
              </w:rPr>
            </w:pPr>
          </w:p>
        </w:tc>
        <w:tc>
          <w:tcPr>
            <w:tcW w:w="20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26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Outstanding options and RSUs</w:t>
            </w:r>
          </w:p>
        </w:tc>
        <w:tc>
          <w:tcPr>
            <w:tcW w:w="148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35,519,867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32,339,971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22,491,757</w:t>
            </w:r>
          </w:p>
        </w:tc>
        <w:tc>
          <w:tcPr>
            <w:tcW w:w="0" w:type="dxa"/>
            <w:vAlign w:val="bottom"/>
          </w:tcPr>
          <w:p>
            <w:pPr>
              <w:spacing w:after="0"/>
              <w:rPr>
                <w:sz w:val="1"/>
                <w:szCs w:val="1"/>
                <w:color w:val="auto"/>
              </w:rPr>
            </w:pPr>
          </w:p>
        </w:tc>
      </w:tr>
      <w:tr>
        <w:trPr>
          <w:trHeight w:val="238"/>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Outstanding warrants</w:t>
            </w:r>
          </w:p>
        </w:tc>
        <w:tc>
          <w:tcPr>
            <w:tcW w:w="14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21,994,972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Outstanding earn-out shares</w:t>
            </w:r>
          </w:p>
        </w:tc>
        <w:tc>
          <w:tcPr>
            <w:tcW w:w="148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16,351,897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Outstanding earn-out RSUs</w:t>
            </w:r>
          </w:p>
        </w:tc>
        <w:tc>
          <w:tcPr>
            <w:tcW w:w="14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2,669,679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(on an if-converted basis)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157,618,388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121,298,525</w:t>
            </w:r>
          </w:p>
        </w:tc>
        <w:tc>
          <w:tcPr>
            <w:tcW w:w="0" w:type="dxa"/>
            <w:vAlign w:val="bottom"/>
          </w:tcPr>
          <w:p>
            <w:pPr>
              <w:spacing w:after="0"/>
              <w:rPr>
                <w:sz w:val="1"/>
                <w:szCs w:val="1"/>
                <w:color w:val="auto"/>
              </w:rPr>
            </w:pPr>
          </w:p>
        </w:tc>
      </w:tr>
      <w:tr>
        <w:trPr>
          <w:trHeight w:val="219"/>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76,536,415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189,958,359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143,790,282</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w w:val="87"/>
              </w:rPr>
              <w:t>15.</w:t>
            </w:r>
          </w:p>
        </w:tc>
        <w:tc>
          <w:tcPr>
            <w:tcW w:w="35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Supplemental Financial Information</w:t>
            </w:r>
          </w:p>
        </w:tc>
        <w:tc>
          <w:tcPr>
            <w:tcW w:w="26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40" w:type="dxa"/>
            <w:vAlign w:val="bottom"/>
            <w:vMerge w:val="continue"/>
          </w:tcPr>
          <w:p>
            <w:pPr>
              <w:spacing w:after="0"/>
              <w:rPr>
                <w:sz w:val="24"/>
                <w:szCs w:val="24"/>
                <w:color w:val="auto"/>
              </w:rPr>
            </w:pPr>
          </w:p>
        </w:tc>
        <w:tc>
          <w:tcPr>
            <w:tcW w:w="350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360" w:type="dxa"/>
            <w:vAlign w:val="bottom"/>
            <w:gridSpan w:val="4"/>
          </w:tcPr>
          <w:p>
            <w:pPr>
              <w:spacing w:after="0"/>
              <w:rPr>
                <w:sz w:val="20"/>
                <w:szCs w:val="20"/>
                <w:color w:val="auto"/>
              </w:rPr>
            </w:pPr>
            <w:r>
              <w:rPr>
                <w:rFonts w:ascii="Arial" w:cs="Arial" w:eastAsia="Arial" w:hAnsi="Arial"/>
                <w:sz w:val="18"/>
                <w:szCs w:val="18"/>
                <w:color w:val="auto"/>
              </w:rPr>
              <w:t>Other current liabilities consisted of the following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0" w:type="dxa"/>
            <w:vAlign w:val="bottom"/>
            <w:tcBorders>
              <w:bottom w:val="single" w:sz="8" w:color="CCEEFF"/>
            </w:tcBorders>
          </w:tcPr>
          <w:p>
            <w:pPr>
              <w:spacing w:after="0"/>
              <w:rPr>
                <w:sz w:val="15"/>
                <w:szCs w:val="15"/>
                <w:color w:val="auto"/>
              </w:rPr>
            </w:pPr>
          </w:p>
        </w:tc>
        <w:tc>
          <w:tcPr>
            <w:tcW w:w="20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262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Accrued bonus</w:t>
            </w:r>
          </w:p>
        </w:tc>
        <w:tc>
          <w:tcPr>
            <w:tcW w:w="148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Accrued payroll</w:t>
            </w:r>
          </w:p>
        </w:tc>
        <w:tc>
          <w:tcPr>
            <w:tcW w:w="14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26"/>
        </w:trPr>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Accrued benefits</w:t>
            </w:r>
          </w:p>
        </w:tc>
        <w:tc>
          <w:tcPr>
            <w:tcW w:w="148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Accrued commissions</w:t>
            </w:r>
          </w:p>
        </w:tc>
        <w:tc>
          <w:tcPr>
            <w:tcW w:w="14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26"/>
        </w:trPr>
        <w:tc>
          <w:tcPr>
            <w:tcW w:w="24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6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5"/>
        </w:trPr>
        <w:tc>
          <w:tcPr>
            <w:tcW w:w="24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CEEFF"/>
            </w:tcBorders>
          </w:tcPr>
          <w:p>
            <w:pPr>
              <w:spacing w:after="0"/>
              <w:rPr>
                <w:sz w:val="19"/>
                <w:szCs w:val="19"/>
                <w:color w:val="auto"/>
              </w:rPr>
            </w:pPr>
          </w:p>
        </w:tc>
        <w:tc>
          <w:tcPr>
            <w:tcW w:w="26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39"/>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other liabilities</w:t>
            </w:r>
          </w:p>
        </w:tc>
        <w:tc>
          <w:tcPr>
            <w:tcW w:w="148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29,968</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28,137</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87"/>
              </w:rPr>
              <w:t>16.</w:t>
            </w:r>
          </w:p>
        </w:tc>
        <w:tc>
          <w:tcPr>
            <w:tcW w:w="20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b w:val="1"/>
                <w:bCs w:val="1"/>
                <w:color w:val="auto"/>
              </w:rPr>
              <w:t>Subsequent Events</w:t>
            </w:r>
          </w:p>
        </w:tc>
        <w:tc>
          <w:tcPr>
            <w:tcW w:w="14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24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GeneDx Acquisition</w:t>
            </w:r>
          </w:p>
        </w:tc>
        <w:tc>
          <w:tcPr>
            <w:tcW w:w="1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On January 14, 2022, the Company entered into an Agreement and Plan of Merger and Reorganization (the “Merger Agreement”) with GeneDx, Inc., a New Jersey corporation (“GeneDx”) and a wholly-owned subsidiary of OPKO Health, inc, and the other parties thereto.</w:t>
      </w:r>
    </w:p>
    <w:p>
      <w:pPr>
        <w:spacing w:after="0" w:line="201"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7"/>
          <w:szCs w:val="17"/>
          <w:color w:val="auto"/>
        </w:rPr>
        <w:t>Subject to the terms and conditions of the Merger Agreement, the Company agreed to pay to OPKO Health Inc., of (i) $150 million in cash at the closing of the acquisition (the “Closing”), subject to certain adjustments as provided in the Merger Agreement, (ii) 80 million shares of the Company’s Class A common stock, to be issued at the Closing and (iii) up to $150 million payable following the Closing, if certain revenue-based milestones are achieved for each of the fiscal years ending December 31, 2022 and December 31, 2023 (the “Milestone Payments”). Each Milestone Payment, if and to the extent earned under the terms of the Merger Agreement, will be satisfied through the payment and/or issuance of a combination of cash and shares of Company Class A common stock (valued at $4.86 per share based on the average of the daily volume average weighted price of Company Class A common stock over the period of 30 trading days ended January 12, 2022), with such mix to be determined in Sema4’s sole discretion. The acquisition is expected to close in the first half of 2022, subject to the receipt of the required approval by the Company’s stockholders and the satisfaction of the closing conditions set forth in the Merger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 and PIPE Investment (Private Placement)</w:t>
      </w:r>
    </w:p>
    <w:p>
      <w:pPr>
        <w:spacing w:after="0" w:line="217"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On January 14, 2022, concurrently with the execution of the Merger Agreement, the Company entered into subscription agreements for a private placement financing to issue and sell $200 million in Class A common stock at a price of $4.00 per share to a syndicate of institutional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6" w:name="page147"/>
    <w:bookmarkEnd w:id="1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2021. Based on that evaluation, our Chief Executive Officer and Chief Financial Officer concluded that our disclosure controls and procedures were not effective as of December 31, 2021 because of the material weaknesses in internal control over financial reporting discussed below.</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Notwithstanding the material weakness in internal control over financial reporting described below, our management has concluded that our consolidated financial statements included in this Annual Report on Form 10-K are fairly stated in all material respects in accordance with accounting principles generally accepted in the United States of America.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0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In connection with the preparation of Legacy Sema4's audited financial statements for the years ended December 31, 2020, 2019 and 2018, we identified material weaknesses in our internal controls over financial reporting, as of December 31, 2020. These material weaknesses had not been fully remediated as of December 31, 2021. In addition, during 2021, management identified a misclassification of certain costs included within cost of services for the years ended December 31, 2021, 2020 and 2019.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262" w:lineRule="exact"/>
        <w:rPr>
          <w:sz w:val="20"/>
          <w:szCs w:val="20"/>
          <w:color w:val="auto"/>
        </w:rPr>
      </w:pPr>
    </w:p>
    <w:p>
      <w:pPr>
        <w:ind w:left="640" w:hanging="316"/>
        <w:spacing w:after="0" w:line="232" w:lineRule="auto"/>
        <w:tabs>
          <w:tab w:leader="none" w:pos="635" w:val="left"/>
        </w:tabs>
        <w:numPr>
          <w:ilvl w:val="0"/>
          <w:numId w:val="53"/>
        </w:numPr>
        <w:rPr>
          <w:rFonts w:ascii="Arial" w:cs="Arial" w:eastAsia="Arial" w:hAnsi="Arial"/>
          <w:sz w:val="21"/>
          <w:szCs w:val="21"/>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36" w:lineRule="exact"/>
        <w:rPr>
          <w:rFonts w:ascii="Arial" w:cs="Arial" w:eastAsia="Arial" w:hAnsi="Arial"/>
          <w:sz w:val="21"/>
          <w:szCs w:val="21"/>
          <w:color w:val="auto"/>
        </w:rPr>
      </w:pPr>
    </w:p>
    <w:p>
      <w:pPr>
        <w:jc w:val="both"/>
        <w:ind w:left="640" w:hanging="316"/>
        <w:spacing w:after="0" w:line="276" w:lineRule="auto"/>
        <w:tabs>
          <w:tab w:leader="none" w:pos="635" w:val="left"/>
        </w:tabs>
        <w:numPr>
          <w:ilvl w:val="0"/>
          <w:numId w:val="53"/>
        </w:numPr>
        <w:rPr>
          <w:rFonts w:ascii="Arial" w:cs="Arial" w:eastAsia="Arial" w:hAnsi="Arial"/>
          <w:sz w:val="19"/>
          <w:szCs w:val="19"/>
          <w:color w:val="auto"/>
        </w:rPr>
      </w:pPr>
      <w:r>
        <w:rPr>
          <w:rFonts w:ascii="Arial" w:cs="Arial" w:eastAsia="Arial" w:hAnsi="Arial"/>
          <w:sz w:val="16"/>
          <w:szCs w:val="16"/>
          <w:color w:val="auto"/>
        </w:rPr>
        <w:t>We did not design and maintain formal accounting policies, procedures and controls to achieve complete, accurate and timely financial accounting, reporting and disclosures, including controls over the preparation and review of account reconciliations, journal entries and classification of certain costs; the accounting for cost capitalization policies in accordance with ASC 330, Inventory, and ASC 350-40, Intangibles – Goodwill and Other – Internal-Use Software; and the application of ASC 840, Leases, ASC 340-40, Contracts with Customers and SEC Regulation S-X Article 5.</w:t>
      </w:r>
    </w:p>
    <w:p>
      <w:pPr>
        <w:spacing w:after="0" w:line="107" w:lineRule="exact"/>
        <w:rPr>
          <w:rFonts w:ascii="Arial" w:cs="Arial" w:eastAsia="Arial" w:hAnsi="Arial"/>
          <w:sz w:val="19"/>
          <w:szCs w:val="19"/>
          <w:color w:val="auto"/>
        </w:rPr>
      </w:pPr>
    </w:p>
    <w:p>
      <w:pPr>
        <w:ind w:left="640" w:hanging="316"/>
        <w:spacing w:after="0" w:line="232" w:lineRule="auto"/>
        <w:tabs>
          <w:tab w:leader="none" w:pos="635" w:val="left"/>
        </w:tabs>
        <w:numPr>
          <w:ilvl w:val="0"/>
          <w:numId w:val="53"/>
        </w:numPr>
        <w:rPr>
          <w:rFonts w:ascii="Arial" w:cs="Arial" w:eastAsia="Arial" w:hAnsi="Arial"/>
          <w:sz w:val="21"/>
          <w:szCs w:val="21"/>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7" w:name="page148"/>
    <w:bookmarkEnd w:id="1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effect across the organization, management has determined that these circumstances constitute a material weakness.</w:t>
      </w:r>
    </w:p>
    <w:p>
      <w:pPr>
        <w:spacing w:after="0" w:line="151" w:lineRule="exact"/>
        <w:rPr>
          <w:sz w:val="20"/>
          <w:szCs w:val="20"/>
          <w:color w:val="auto"/>
        </w:rPr>
      </w:pPr>
    </w:p>
    <w:p>
      <w:pPr>
        <w:ind w:left="640" w:hanging="316"/>
        <w:spacing w:after="0" w:line="232" w:lineRule="auto"/>
        <w:tabs>
          <w:tab w:leader="none" w:pos="635" w:val="left"/>
        </w:tabs>
        <w:numPr>
          <w:ilvl w:val="0"/>
          <w:numId w:val="54"/>
        </w:numPr>
        <w:rPr>
          <w:rFonts w:ascii="Arial" w:cs="Arial" w:eastAsia="Arial" w:hAnsi="Arial"/>
          <w:sz w:val="21"/>
          <w:szCs w:val="21"/>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36" w:lineRule="exact"/>
        <w:rPr>
          <w:rFonts w:ascii="Arial" w:cs="Arial" w:eastAsia="Arial" w:hAnsi="Arial"/>
          <w:sz w:val="21"/>
          <w:szCs w:val="21"/>
          <w:color w:val="auto"/>
        </w:rPr>
      </w:pPr>
    </w:p>
    <w:p>
      <w:pPr>
        <w:jc w:val="both"/>
        <w:ind w:left="640" w:hanging="316"/>
        <w:spacing w:after="0"/>
        <w:tabs>
          <w:tab w:leader="none" w:pos="635" w:val="left"/>
        </w:tabs>
        <w:numPr>
          <w:ilvl w:val="0"/>
          <w:numId w:val="54"/>
        </w:numPr>
        <w:rPr>
          <w:rFonts w:ascii="Arial" w:cs="Arial" w:eastAsia="Arial" w:hAnsi="Arial"/>
          <w:sz w:val="21"/>
          <w:szCs w:val="21"/>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management is actively engaged and committed to taking the steps necessary to remediate the control deficiencies that constituted the material weaknesses. During 2021, we made the following enhancements to our control environment:</w:t>
      </w:r>
    </w:p>
    <w:p>
      <w:pPr>
        <w:spacing w:after="0" w:line="167" w:lineRule="exact"/>
        <w:rPr>
          <w:sz w:val="20"/>
          <w:szCs w:val="20"/>
          <w:color w:val="auto"/>
        </w:rPr>
      </w:pPr>
    </w:p>
    <w:p>
      <w:pPr>
        <w:jc w:val="both"/>
        <w:ind w:left="640" w:hanging="316"/>
        <w:spacing w:after="0" w:line="237" w:lineRule="auto"/>
        <w:tabs>
          <w:tab w:leader="none" w:pos="635" w:val="left"/>
        </w:tabs>
        <w:numPr>
          <w:ilvl w:val="0"/>
          <w:numId w:val="55"/>
        </w:numPr>
        <w:rPr>
          <w:rFonts w:ascii="Arial" w:cs="Arial" w:eastAsia="Arial" w:hAnsi="Arial"/>
          <w:sz w:val="21"/>
          <w:szCs w:val="21"/>
          <w:color w:val="auto"/>
        </w:rPr>
      </w:pPr>
      <w:r>
        <w:rPr>
          <w:rFonts w:ascii="Arial" w:cs="Arial" w:eastAsia="Arial" w:hAnsi="Arial"/>
          <w:sz w:val="18"/>
          <w:szCs w:val="18"/>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controls.</w:t>
      </w:r>
    </w:p>
    <w:p>
      <w:pPr>
        <w:spacing w:after="0" w:line="134" w:lineRule="exact"/>
        <w:rPr>
          <w:rFonts w:ascii="Arial" w:cs="Arial" w:eastAsia="Arial" w:hAnsi="Arial"/>
          <w:sz w:val="21"/>
          <w:szCs w:val="21"/>
          <w:color w:val="auto"/>
        </w:rPr>
      </w:pPr>
    </w:p>
    <w:p>
      <w:pPr>
        <w:jc w:val="both"/>
        <w:ind w:left="640" w:hanging="316"/>
        <w:spacing w:after="0" w:line="276" w:lineRule="auto"/>
        <w:tabs>
          <w:tab w:leader="none" w:pos="635" w:val="left"/>
        </w:tabs>
        <w:numPr>
          <w:ilvl w:val="0"/>
          <w:numId w:val="55"/>
        </w:numPr>
        <w:rPr>
          <w:rFonts w:ascii="Arial" w:cs="Arial" w:eastAsia="Arial" w:hAnsi="Arial"/>
          <w:sz w:val="19"/>
          <w:szCs w:val="19"/>
          <w:color w:val="auto"/>
        </w:rPr>
      </w:pPr>
      <w:r>
        <w:rPr>
          <w:rFonts w:ascii="Arial" w:cs="Arial" w:eastAsia="Arial" w:hAnsi="Arial"/>
          <w:sz w:val="16"/>
          <w:szCs w:val="16"/>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controls. We expect to continue evaluating our needs for additional personnel. We expect to provide enhanced training to existing and new employees in order to enhance the level of communication and understanding of controls with personnel that provide key information and perform key roles within our financial accounting and reporting group.</w:t>
      </w:r>
    </w:p>
    <w:p>
      <w:pPr>
        <w:spacing w:after="0" w:line="108" w:lineRule="exact"/>
        <w:rPr>
          <w:rFonts w:ascii="Arial" w:cs="Arial" w:eastAsia="Arial" w:hAnsi="Arial"/>
          <w:sz w:val="19"/>
          <w:szCs w:val="19"/>
          <w:color w:val="auto"/>
        </w:rPr>
      </w:pPr>
    </w:p>
    <w:p>
      <w:pPr>
        <w:ind w:left="640" w:hanging="316"/>
        <w:spacing w:after="0" w:line="232" w:lineRule="auto"/>
        <w:tabs>
          <w:tab w:leader="none" w:pos="635" w:val="left"/>
        </w:tabs>
        <w:numPr>
          <w:ilvl w:val="0"/>
          <w:numId w:val="55"/>
        </w:numPr>
        <w:rPr>
          <w:rFonts w:ascii="Arial" w:cs="Arial" w:eastAsia="Arial" w:hAnsi="Arial"/>
          <w:sz w:val="21"/>
          <w:szCs w:val="21"/>
          <w:color w:val="auto"/>
        </w:rPr>
      </w:pPr>
      <w:r>
        <w:rPr>
          <w:rFonts w:ascii="Arial" w:cs="Arial" w:eastAsia="Arial" w:hAnsi="Arial"/>
          <w:sz w:val="18"/>
          <w:szCs w:val="18"/>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136" w:lineRule="exact"/>
        <w:rPr>
          <w:rFonts w:ascii="Arial" w:cs="Arial" w:eastAsia="Arial" w:hAnsi="Arial"/>
          <w:sz w:val="21"/>
          <w:szCs w:val="21"/>
          <w:color w:val="auto"/>
        </w:rPr>
      </w:pPr>
    </w:p>
    <w:p>
      <w:pPr>
        <w:ind w:left="640" w:hanging="316"/>
        <w:spacing w:after="0" w:line="252" w:lineRule="auto"/>
        <w:tabs>
          <w:tab w:leader="none" w:pos="635" w:val="left"/>
        </w:tabs>
        <w:numPr>
          <w:ilvl w:val="0"/>
          <w:numId w:val="55"/>
        </w:numPr>
        <w:rPr>
          <w:rFonts w:ascii="Arial" w:cs="Arial" w:eastAsia="Arial" w:hAnsi="Arial"/>
          <w:sz w:val="20"/>
          <w:szCs w:val="20"/>
          <w:color w:val="auto"/>
        </w:rPr>
      </w:pPr>
      <w:r>
        <w:rPr>
          <w:rFonts w:ascii="Arial" w:cs="Arial" w:eastAsia="Arial" w:hAnsi="Arial"/>
          <w:sz w:val="17"/>
          <w:szCs w:val="17"/>
          <w:color w:val="auto"/>
        </w:rPr>
        <w:t>We engaged outside consultants to assist us in the evaluation of our Enterprise Resource Planning (“ERP”) system in order to mitigate the internal control gaps and limitations with the current configuration, and to enhance the information technology general controls environment.</w:t>
      </w:r>
    </w:p>
    <w:p>
      <w:pPr>
        <w:spacing w:after="0" w:line="123" w:lineRule="exact"/>
        <w:rPr>
          <w:rFonts w:ascii="Arial" w:cs="Arial" w:eastAsia="Arial" w:hAnsi="Arial"/>
          <w:sz w:val="20"/>
          <w:szCs w:val="20"/>
          <w:color w:val="auto"/>
        </w:rPr>
      </w:pPr>
    </w:p>
    <w:p>
      <w:pPr>
        <w:ind w:left="640" w:right="20" w:hanging="316"/>
        <w:spacing w:after="0" w:line="232" w:lineRule="auto"/>
        <w:tabs>
          <w:tab w:leader="none" w:pos="635" w:val="left"/>
        </w:tabs>
        <w:numPr>
          <w:ilvl w:val="0"/>
          <w:numId w:val="55"/>
        </w:numPr>
        <w:rPr>
          <w:rFonts w:ascii="Arial" w:cs="Arial" w:eastAsia="Arial" w:hAnsi="Arial"/>
          <w:sz w:val="21"/>
          <w:szCs w:val="21"/>
          <w:color w:val="auto"/>
        </w:rPr>
      </w:pPr>
      <w:r>
        <w:rPr>
          <w:rFonts w:ascii="Arial" w:cs="Arial" w:eastAsia="Arial" w:hAnsi="Arial"/>
          <w:sz w:val="18"/>
          <w:szCs w:val="18"/>
          <w:color w:val="auto"/>
        </w:rPr>
        <w:t>Our remediation activities are continuing during 2022. In addition to the above actions, we expect to engage in additional activities, including, but not limited to:</w:t>
      </w:r>
    </w:p>
    <w:p>
      <w:pPr>
        <w:spacing w:after="0" w:line="118" w:lineRule="exact"/>
        <w:rPr>
          <w:rFonts w:ascii="Arial" w:cs="Arial" w:eastAsia="Arial" w:hAnsi="Arial"/>
          <w:sz w:val="21"/>
          <w:szCs w:val="21"/>
          <w:color w:val="auto"/>
        </w:rPr>
      </w:pPr>
    </w:p>
    <w:p>
      <w:pPr>
        <w:ind w:left="640" w:hanging="316"/>
        <w:spacing w:after="0"/>
        <w:tabs>
          <w:tab w:leader="none" w:pos="640" w:val="left"/>
        </w:tabs>
        <w:numPr>
          <w:ilvl w:val="0"/>
          <w:numId w:val="55"/>
        </w:numPr>
        <w:rPr>
          <w:rFonts w:ascii="Arial" w:cs="Arial" w:eastAsia="Arial" w:hAnsi="Arial"/>
          <w:sz w:val="21"/>
          <w:szCs w:val="21"/>
          <w:color w:val="auto"/>
        </w:rPr>
      </w:pPr>
      <w:r>
        <w:rPr>
          <w:rFonts w:ascii="Arial" w:cs="Arial" w:eastAsia="Arial" w:hAnsi="Arial"/>
          <w:sz w:val="18"/>
          <w:szCs w:val="18"/>
          <w:color w:val="auto"/>
        </w:rPr>
        <w:t>Hiring more technical accounting resources to enhance our control environment;</w:t>
      </w:r>
    </w:p>
    <w:p>
      <w:pPr>
        <w:spacing w:after="0" w:line="134" w:lineRule="exact"/>
        <w:rPr>
          <w:rFonts w:ascii="Arial" w:cs="Arial" w:eastAsia="Arial" w:hAnsi="Arial"/>
          <w:sz w:val="21"/>
          <w:szCs w:val="21"/>
          <w:color w:val="auto"/>
        </w:rPr>
      </w:pPr>
    </w:p>
    <w:p>
      <w:pPr>
        <w:ind w:left="640" w:hanging="316"/>
        <w:spacing w:after="0" w:line="252" w:lineRule="auto"/>
        <w:tabs>
          <w:tab w:leader="none" w:pos="635" w:val="left"/>
        </w:tabs>
        <w:numPr>
          <w:ilvl w:val="0"/>
          <w:numId w:val="55"/>
        </w:numPr>
        <w:rPr>
          <w:rFonts w:ascii="Arial" w:cs="Arial" w:eastAsia="Arial" w:hAnsi="Arial"/>
          <w:sz w:val="20"/>
          <w:szCs w:val="20"/>
          <w:color w:val="auto"/>
        </w:rPr>
      </w:pPr>
      <w:r>
        <w:rPr>
          <w:rFonts w:ascii="Arial" w:cs="Arial" w:eastAsia="Arial" w:hAnsi="Arial"/>
          <w:sz w:val="17"/>
          <w:szCs w:val="17"/>
          <w:color w:val="auto"/>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8" w:name="page149"/>
    <w:bookmarkEnd w:id="1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40" w:hanging="316"/>
        <w:spacing w:after="0" w:line="254" w:lineRule="auto"/>
        <w:tabs>
          <w:tab w:leader="none" w:pos="635" w:val="left"/>
        </w:tabs>
        <w:numPr>
          <w:ilvl w:val="0"/>
          <w:numId w:val="56"/>
        </w:numPr>
        <w:rPr>
          <w:rFonts w:ascii="Arial" w:cs="Arial" w:eastAsia="Arial" w:hAnsi="Arial"/>
          <w:sz w:val="20"/>
          <w:szCs w:val="20"/>
          <w:color w:val="auto"/>
        </w:rPr>
      </w:pPr>
      <w:r>
        <w:rPr>
          <w:rFonts w:ascii="Arial" w:cs="Arial" w:eastAsia="Arial" w:hAnsi="Arial"/>
          <w:sz w:val="17"/>
          <w:szCs w:val="17"/>
          <w:color w:val="auto"/>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spacing w:after="0" w:line="124" w:lineRule="exact"/>
        <w:rPr>
          <w:rFonts w:ascii="Arial" w:cs="Arial" w:eastAsia="Arial" w:hAnsi="Arial"/>
          <w:sz w:val="20"/>
          <w:szCs w:val="20"/>
          <w:color w:val="auto"/>
        </w:rPr>
      </w:pPr>
    </w:p>
    <w:p>
      <w:pPr>
        <w:ind w:left="640" w:hanging="316"/>
        <w:spacing w:after="0" w:line="232" w:lineRule="auto"/>
        <w:tabs>
          <w:tab w:leader="none" w:pos="635" w:val="left"/>
        </w:tabs>
        <w:numPr>
          <w:ilvl w:val="0"/>
          <w:numId w:val="56"/>
        </w:numPr>
        <w:rPr>
          <w:rFonts w:ascii="Arial" w:cs="Arial" w:eastAsia="Arial" w:hAnsi="Arial"/>
          <w:sz w:val="21"/>
          <w:szCs w:val="21"/>
          <w:color w:val="auto"/>
        </w:rPr>
      </w:pPr>
      <w:r>
        <w:rPr>
          <w:rFonts w:ascii="Arial" w:cs="Arial" w:eastAsia="Arial" w:hAnsi="Arial"/>
          <w:sz w:val="18"/>
          <w:szCs w:val="18"/>
          <w:color w:val="auto"/>
        </w:rPr>
        <w:t>Implementing improvements to our ERP system to enhance the accuracy of our financial records, enable the enforcement of systematic segregation of duties, and to improve our information technology general controls environment.</w:t>
      </w:r>
    </w:p>
    <w:p>
      <w:pPr>
        <w:spacing w:after="0" w:line="9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20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 internal control over financial reporting and disclosure controls and procedures, and we will make any changes to the design of our plan and take such other actions that we deem appropriate given the circumstances.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discussed elsewhere in this Annual Report on Form 10-K, we completed our business combination with CMLS on July 22, 2021. Prior to the business combination, CMLS was a special purpose acquisition company formed for the purpose of effecting a merger, capital stock exchange, asset acquisition, stock purchase, reorganization or other similar business combination with one or more operating businesses. As a result, CMLS’s previously existing internal controls are no longer applicable or comprehensive enough as of December 31, 2021, as CMLS’s operations prior to the business combination were insignificant compared to those of our consolidated company post-business combination.</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engaged in the process of design and implementation of our internal control over financial reporting in a manner commensurate with the scale of our operations subsequent to the business combination, including the enhancement of our internal and external technical accounting resources (as well as to address the material weaknesses discussed above). However, the design of internal control over financial reporting for our company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There was no change in our internal control over financial reporting that occurred during the fiscal year ended December 31, 2021 covered by this Annual Report on Form 10-K that has materially affected, or is reasonably likely to materially affect, our internal control over financial reporting, other than as described herein. We are continuing to take steps to remediate the material weakness in our internal control over financial reporting, as discussed above.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the Effectiveness of Internal Control</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controls, will prevent all error and all fraud. A control system,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9" w:name="page150"/>
    <w:bookmarkEnd w:id="1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50" w:name="page151"/>
    <w:bookmarkEnd w:id="150"/>
    <w:p>
      <w:pPr>
        <w:spacing w:after="0" w:line="99"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names, ages as of February 22, 2022, and certain other information regarding our executive officers and directors: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Age</w:t>
            </w:r>
          </w:p>
        </w:tc>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120" w:type="dxa"/>
            <w:vAlign w:val="bottom"/>
            <w:tcBorders>
              <w:top w:val="single" w:sz="8" w:color="auto"/>
            </w:tcBorders>
            <w:shd w:val="clear" w:color="auto" w:fill="CCEEFF"/>
          </w:tcPr>
          <w:p>
            <w:pPr>
              <w:spacing w:after="0"/>
              <w:rPr>
                <w:sz w:val="19"/>
                <w:szCs w:val="19"/>
                <w:color w:val="auto"/>
              </w:rPr>
            </w:pPr>
          </w:p>
        </w:tc>
      </w:tr>
      <w:tr>
        <w:trPr>
          <w:trHeight w:val="225"/>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Eric Schadt, Ph.D.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Ryan</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Chairman and Director</w:t>
            </w:r>
          </w:p>
        </w:tc>
      </w:tr>
      <w:tr>
        <w:trPr>
          <w:trHeight w:val="225"/>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Isaac Ro</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Clark, J.D.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Secretary and General Counsel</w:t>
            </w:r>
          </w:p>
        </w:tc>
      </w:tr>
      <w:tr>
        <w:trPr>
          <w:trHeight w:val="225"/>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Anthony Prentice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Product Officer</w:t>
            </w:r>
          </w:p>
        </w:tc>
      </w:tr>
      <w:tr>
        <w:trPr>
          <w:trHeight w:val="22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Kareem Saad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Business Officer</w:t>
            </w:r>
          </w:p>
        </w:tc>
      </w:tr>
      <w:tr>
        <w:trPr>
          <w:trHeight w:val="225"/>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Karen White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People Officer</w:t>
            </w:r>
          </w:p>
        </w:tc>
      </w:tr>
      <w:tr>
        <w:trPr>
          <w:trHeight w:val="22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19"/>
                <w:szCs w:val="19"/>
                <w:color w:val="auto"/>
              </w:rPr>
            </w:pPr>
          </w:p>
        </w:tc>
      </w:tr>
      <w:tr>
        <w:trPr>
          <w:trHeight w:val="225"/>
        </w:trPr>
        <w:tc>
          <w:tcPr>
            <w:tcW w:w="51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Dennis Charney, M.D.</w:t>
            </w:r>
            <w:r>
              <w:rPr>
                <w:rFonts w:ascii="Arial" w:cs="Arial" w:eastAsia="Arial" w:hAnsi="Arial"/>
                <w:sz w:val="22"/>
                <w:szCs w:val="22"/>
                <w:color w:val="auto"/>
                <w:vertAlign w:val="superscript"/>
              </w:rPr>
              <w:t>(5)</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 D. Casdin</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8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51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Emily Leproust, Ph.D.</w:t>
            </w:r>
            <w:r>
              <w:rPr>
                <w:rFonts w:ascii="Arial" w:cs="Arial" w:eastAsia="Arial" w:hAnsi="Arial"/>
                <w:sz w:val="22"/>
                <w:szCs w:val="22"/>
                <w:color w:val="auto"/>
                <w:vertAlign w:val="superscript"/>
              </w:rPr>
              <w:t>(5)</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518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Keith A. Meister</w:t>
            </w:r>
            <w:r>
              <w:rPr>
                <w:rFonts w:ascii="Arial" w:cs="Arial" w:eastAsia="Arial" w:hAnsi="Arial"/>
                <w:sz w:val="22"/>
                <w:szCs w:val="22"/>
                <w:color w:val="auto"/>
                <w:vertAlign w:val="superscript"/>
              </w:rPr>
              <w:t>(1)</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8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Michael Pellini, M.D.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518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Joshua Ruch</w:t>
            </w:r>
            <w:r>
              <w:rPr>
                <w:rFonts w:ascii="Arial" w:cs="Arial" w:eastAsia="Arial" w:hAnsi="Arial"/>
                <w:sz w:val="22"/>
                <w:szCs w:val="22"/>
                <w:color w:val="auto"/>
                <w:vertAlign w:val="superscript"/>
              </w:rPr>
              <w:t>(2)(4)</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8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51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Rachel Sherman, M.D., M.P.H., F.A.C.P.</w:t>
            </w:r>
            <w:r>
              <w:rPr>
                <w:rFonts w:ascii="Arial" w:cs="Arial" w:eastAsia="Arial" w:hAnsi="Arial"/>
                <w:sz w:val="22"/>
                <w:szCs w:val="22"/>
                <w:color w:val="auto"/>
                <w:vertAlign w:val="superscript"/>
              </w:rPr>
              <w:t>(3)(6)</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518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Nat Turner</w:t>
            </w:r>
            <w:r>
              <w:rPr>
                <w:rFonts w:ascii="Arial" w:cs="Arial" w:eastAsia="Arial" w:hAnsi="Arial"/>
                <w:sz w:val="22"/>
                <w:szCs w:val="22"/>
                <w:color w:val="auto"/>
                <w:vertAlign w:val="superscript"/>
              </w:rPr>
              <w:t>(6)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Chair of the Audit Committee</w:t>
      </w:r>
    </w:p>
    <w:p>
      <w:pPr>
        <w:ind w:left="320" w:hanging="314"/>
        <w:spacing w:after="0" w:line="237" w:lineRule="auto"/>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Chair of the Compensation Committee</w:t>
      </w:r>
    </w:p>
    <w:p>
      <w:pPr>
        <w:ind w:left="320" w:hanging="314"/>
        <w:spacing w:after="0" w:line="237" w:lineRule="auto"/>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Chair of the Nominating and Corporate Governance Committee</w:t>
      </w:r>
    </w:p>
    <w:p>
      <w:pPr>
        <w:ind w:left="320" w:hanging="314"/>
        <w:spacing w:after="0" w:line="237" w:lineRule="auto"/>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ind w:left="320" w:hanging="314"/>
        <w:spacing w:after="0" w:line="237" w:lineRule="auto"/>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320" w:hanging="314"/>
        <w:spacing w:after="0"/>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Eric Schadt, Ph.D.</w:t>
      </w:r>
      <w:r>
        <w:rPr>
          <w:rFonts w:ascii="Arial" w:cs="Arial" w:eastAsia="Arial" w:hAnsi="Arial"/>
          <w:sz w:val="15"/>
          <w:szCs w:val="15"/>
          <w:color w:val="auto"/>
        </w:rPr>
        <w:t>, has served as our Chief Executive Officer and as a member of our Board since July 2021. Dr. Schadt was the founder of Legacy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Sema4 and previously served as its Chief Executive Officer and as a member of its board of directors from June 2017 to July 2021. Dr. Schadt also serves as the Dean for Precision Medicine, and Mount Sinai Professor in Predictive Health and Computational Biology at the Icahn School of Medicine at Mount Sinai. Dr. Schadt was previously Founding Director of the Icahn Institute for Genomics and Multiscale Biology from September 2011 to June 2017, and Professor and Chair of the Department of Genetics and Genomic Sciences from August 2011 to June 2017. Dr. Schadt previously served as the Chief Scientific Officer at Pacific Biosciences of California, a biotechnology company, from May 2009 to July 2012, and as an Executive Director at Merck from July 2001 to May 2009. Dr. Schadt also currently serves on numerous boards of directors and scientific advisory boards for various private companies. Dr. Schadt earned his Ph.D. from the University of California, Los Angeles, his M.A. from the University of California, Davis, and his B.S. from California Polytechnic State University-San Luis Obispo. Dr. Schadt’s expertise in computational biology, genomics, health systems operating experience, and knowledge of Sema4’s business, years of senior management experience at a biotechnology company, and his service as a director of other biopharmaceutical companies provide him with the qualifications and skills to serve as a director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jc w:val="both"/>
        <w:ind w:firstLine="318"/>
        <w:spacing w:after="0" w:line="263" w:lineRule="auto"/>
        <w:rPr>
          <w:sz w:val="20"/>
          <w:szCs w:val="20"/>
          <w:color w:val="auto"/>
        </w:rPr>
      </w:pPr>
      <w:r>
        <w:rPr>
          <w:rFonts w:ascii="Arial" w:cs="Arial" w:eastAsia="Arial" w:hAnsi="Arial"/>
          <w:sz w:val="17"/>
          <w:szCs w:val="17"/>
          <w:b w:val="1"/>
          <w:bCs w:val="1"/>
          <w:i w:val="1"/>
          <w:iCs w:val="1"/>
          <w:color w:val="auto"/>
        </w:rPr>
        <w:t xml:space="preserve">Jason Ryan </w:t>
      </w:r>
      <w:r>
        <w:rPr>
          <w:rFonts w:ascii="Arial" w:cs="Arial" w:eastAsia="Arial" w:hAnsi="Arial"/>
          <w:sz w:val="17"/>
          <w:szCs w:val="17"/>
          <w:color w:val="auto"/>
        </w:rPr>
        <w:t>has served as a member of our Board since July 2021, and as our Executive Chairman since January 2022. Mr. Ryan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and Financial Officer of Magenta Therapeutics, Inc., a biotechnology company, from January 2019 to November 2020. Prior to joining Magenta Therapeutics, Inc., Mr. Ryan previously served as Chief Financial Officer of Foundation Medicine, Inc., a molecular information company which became a wholly-owned subsidiary of Roche Holdings, Inc., from March 2015 to November 2018. Prior to his position as Chief Financial Officer of Foundation Medicine, Inc., Mr. Ryan served in various other finance roles at Foundation Medicine, including as Senior Vice President of Finance. Prior to joining Foundation Medicine, Inc., Mr. Ryan led the finance and strategic planning functions of various other life science companies including Taligen Therapeutics, Inc., Codon Devices Inc. and Genomics Collaborative, Inc. Mr. Ryan joined the board of directors of Singular Genomics Systems, Inc. in April 2021, and previously served on the board of directors of ArcherDX, Inc. (which was acquired by Invitae Corporation) from April 2020 to October 2020. He began his career at Deloitte &amp; Touche LLP. Mr. Ryan holds an M.B.A. from Babson College and a B.S. in economics from Bates College, and earned a C.P.A. in Massachusetts. Mr. Ryan’s extensive finance experience and his leadership experience in the life sciences and biopharmaceutical industries qualifies him to serve as a director on our Board.</w:t>
      </w:r>
    </w:p>
    <w:p>
      <w:pPr>
        <w:spacing w:after="0" w:line="13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b w:val="1"/>
          <w:bCs w:val="1"/>
          <w:i w:val="1"/>
          <w:iCs w:val="1"/>
          <w:color w:val="auto"/>
        </w:rPr>
        <w:t xml:space="preserve">Isaac Ro </w:t>
      </w:r>
      <w:r>
        <w:rPr>
          <w:rFonts w:ascii="Arial" w:cs="Arial" w:eastAsia="Arial" w:hAnsi="Arial"/>
          <w:sz w:val="15"/>
          <w:szCs w:val="15"/>
          <w:color w:val="auto"/>
        </w:rPr>
        <w:t>has served as our Chief Financial Officer since July 2021. Mr. Ro previously served as Legacy Sema4’s Chief Financial Officer from February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2021 to July 2021. Mr. Ro previously served as the Chief Financial Officer of Thrive Earlier Detection Corp., a company focused on early detection cancer screening, from June 2019 to February 2021, through Thrive’s sale to Exact Sciences Corporation in January 2021. From July 2010 to June 2019, Mr. Ro held roles of increasing responsibility at Goldman Sachs leading the U.S. Medical Technology team, including as Vice President. Prior to Goldman Sachs, Mr. Ro served as a Director at SVB Leerink from June 2004 to July 2010. Mr. Ro holds a B.A. in History, with honors, from Middlebury College.</w:t>
      </w:r>
    </w:p>
    <w:p>
      <w:pPr>
        <w:spacing w:after="0" w:line="9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b w:val="1"/>
          <w:bCs w:val="1"/>
          <w:i w:val="1"/>
          <w:iCs w:val="1"/>
          <w:color w:val="auto"/>
        </w:rPr>
        <w:t>Daniel Clark, J.D.</w:t>
      </w:r>
      <w:r>
        <w:rPr>
          <w:rFonts w:ascii="Arial" w:cs="Arial" w:eastAsia="Arial" w:hAnsi="Arial"/>
          <w:sz w:val="18"/>
          <w:szCs w:val="18"/>
          <w:color w:val="auto"/>
        </w:rPr>
        <w:t>, has served as our General Counsel since July 2021. Mr. Clark previously served as Legacy Sema4’s General Counsel from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to July 2021 and Secretary from March 2016 to July 2021. From 2015 to May 2017, Mr. Clark served as the Senior Contracts Manager – Genetics &amp; Genomics at Mount Sinai Innovation Partners. Prior to joining Mount Sinai Innovation Partners, Mr. Clark practiced with two leading law firms in New York, clerked for Judge Frederic Block in the Eastern District of New York, and helped found a boutique startup law firm. Mr. Clark received his J.D. from the University of Michigan School of Law, cum laude, and his B.A. in Economics and Philosophy from Pomona College, cum laude. Mr. Clark also traveled as a Thomas J. Watson Fellow.</w:t>
      </w:r>
    </w:p>
    <w:p>
      <w:pPr>
        <w:spacing w:after="0" w:line="14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b w:val="1"/>
          <w:bCs w:val="1"/>
          <w:i w:val="1"/>
          <w:iCs w:val="1"/>
          <w:color w:val="auto"/>
        </w:rPr>
        <w:t xml:space="preserve">Anthony Prentice </w:t>
      </w:r>
      <w:r>
        <w:rPr>
          <w:rFonts w:ascii="Arial" w:cs="Arial" w:eastAsia="Arial" w:hAnsi="Arial"/>
          <w:sz w:val="17"/>
          <w:szCs w:val="17"/>
          <w:color w:val="auto"/>
        </w:rPr>
        <w:t>has served as our Chief Product Officer since July 2021. Mr. Prentice previously served as Legacy Sema4’s Chief Product Officer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2016 to July 2021. Prior to joining Sema4, Mr. Prentice served in various roles of increasing responsibility at American Express from May 2005 to September 2016, including as the Vice President of Mobile Payments from August 2011 to September 2016 and as the Vice President of Gold Card Product Management from April 2010 to October 2011. Prior to joining American Express, Mr. Prentice served as the Director of Category Management at Starbucks Corp from 2002 to 2005, and as an Engagement Manager at McKinsey &amp; Company from 1998 to 2002. Mr. Prentice earned an M.B.A. from Columbia University and his B.S. in Mechanical Engineering from Cornell University.</w:t>
      </w:r>
    </w:p>
    <w:p>
      <w:pPr>
        <w:spacing w:after="0" w:line="126"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b w:val="1"/>
          <w:bCs w:val="1"/>
          <w:i w:val="1"/>
          <w:iCs w:val="1"/>
          <w:color w:val="auto"/>
        </w:rPr>
        <w:t xml:space="preserve">Kareem Saad </w:t>
      </w:r>
      <w:r>
        <w:rPr>
          <w:rFonts w:ascii="Arial" w:cs="Arial" w:eastAsia="Arial" w:hAnsi="Arial"/>
          <w:sz w:val="15"/>
          <w:szCs w:val="15"/>
          <w:color w:val="auto"/>
        </w:rPr>
        <w:t>has served as our Chief Business Officer since July 2021. Mr. Saad previously served as Legacy Sema4’s Chief Business Officer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January 2021 to July 2021. Mr. Saad also previously served as the Chief Strategy Officer at Sema4 from October 2017 to January 2020. Prior to rejoining Sema4, Mr. Saad served as the President and Chief Operating Officer of Apervita, Inc., a healthcare technology company, from February 2020 to January 2021. Mr. Saad previously served as the Chief Commercial Officer and EVP of Strategy and Business Development of SourceMed, a healthcare technology company, between January 2015 and June 2017. Prior to joining SourceMed, Mr. Saad served as a National Sales Director and Manager in Dell’s Healthcare and Life Sciences division between June 2009 and July 2013, and as a Business Segment Executive in IBM’s Healthcare Life Sciences group from November 2001 to February 2006. Mr. Saad received an M.B.A. with a concentration in Economics and Finance from the University of Chicago and a B.S. in Biochemistry and Molecular Biology with a minor in Computer Science from the University of British Columbia.</w:t>
      </w:r>
    </w:p>
    <w:p>
      <w:pPr>
        <w:spacing w:after="0" w:line="1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 xml:space="preserve">Karen White </w:t>
      </w:r>
      <w:r>
        <w:rPr>
          <w:rFonts w:ascii="Arial" w:cs="Arial" w:eastAsia="Arial" w:hAnsi="Arial"/>
          <w:sz w:val="18"/>
          <w:szCs w:val="18"/>
          <w:color w:val="auto"/>
        </w:rPr>
        <w:t>has served as our Chief People Officer since July 2021. Ms. White previously served as Legacy Sema4’s Chief People Officer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2020 to July 2021. Prior to joining Sema4, Ms. White was 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52" w:name="page153"/>
    <w:bookmarkEnd w:id="152"/>
    <w:p>
      <w:pPr>
        <w:jc w:val="both"/>
        <w:spacing w:after="0" w:line="309" w:lineRule="auto"/>
        <w:rPr>
          <w:sz w:val="20"/>
          <w:szCs w:val="20"/>
          <w:color w:val="auto"/>
        </w:rPr>
      </w:pPr>
      <w:r>
        <w:rPr>
          <w:rFonts w:ascii="Arial" w:cs="Arial" w:eastAsia="Arial" w:hAnsi="Arial"/>
          <w:sz w:val="15"/>
          <w:szCs w:val="15"/>
          <w:color w:val="auto"/>
        </w:rPr>
        <w:t>President of Human Resources for Commercial Solutions at Syneos Health, Inc., a biopharmaceutical outsource services organization, from June 2016 to September 2020. Prior to the merger of inVentiv Health, Inc. and INC Research Holdings, Inc. in August 2017, and later rebranding to Syneos Health in January 2018, Ms. White served as Managing Director of Human Capital at inVentiv Health from June 2016 to August 2017. Prior to that, Ms. White served as Director of Talent Development at Memorial Sloan Kettering Cancer Center where she was employed from October 2011 to June 2016. Before October 2011, Ms. White held various positions at large global organizations such as Goldman Sachs Group Inc., International Business Machines Corp., and PricewaterhouseCoopers. Ms. White earned her M.B.A. from The George Washington University and her B.A. from Hobart and William Smith Colleges.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Dennis Charney, M.D., </w:t>
      </w:r>
      <w:r>
        <w:rPr>
          <w:rFonts w:ascii="Arial" w:cs="Arial" w:eastAsia="Arial" w:hAnsi="Arial"/>
          <w:sz w:val="15"/>
          <w:szCs w:val="15"/>
          <w:color w:val="auto"/>
        </w:rPr>
        <w:t>has served as a member of our Board since July 2021, and previously served as a member of Legacy Sema4’s board of directors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June 2017 to July 2021. Dr. Charney has served as the Anne and Joel Ehrenkranz Dean of the Icahn School of Medicine at Mount Sinai since March 2007, and as President for Academic Affairs for the Mount Sinai Health System since September 2013. From March 2005 to March 2007, Dr. Charney served as Dean for Academic and Scientific Affairs of the Icahn School of Medicine at Mount Sinai and Senior Vice President for Health Services of The Mount Sinai Medical Center. From 2007-2013, Dr. Charney served as the Dean of the School and Executive Vice President for Academic Affairs of the Medical Center. Dr. Charney first joined the Icahn School of Medicine at Mount Sinai in 2004 as Dean of Research. Prior to joining the Icahn School of Medicine at Mount Sinai, Dr. Charney led the Mood and Anxiety Disorder Research Program and the Experimental Therapeutics and Pathophysiology Branch at the National Institute of Mental Health, and he served as Professor of Psychiatry with tenure at Yale University from January 1990 to January 2000. Dr. Charney received his M.D. from Penn State College of Medicine and his B.A. from Rutgers University. Dr. Charney completed a residency in clinical psychiatry at Yale University School of Medicine and a fellowship in biological psychiatry at Connecticut Mental Health Center. Dr. Charney’s extensive medical and clinical experience in the biotechnology industry qualifies him to serve as a director on our Board.</w:t>
      </w:r>
    </w:p>
    <w:p>
      <w:pPr>
        <w:spacing w:after="0" w:line="32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b w:val="1"/>
          <w:bCs w:val="1"/>
          <w:i w:val="1"/>
          <w:iCs w:val="1"/>
          <w:color w:val="auto"/>
        </w:rPr>
        <w:t xml:space="preserve">Eli D. Casdin </w:t>
      </w:r>
      <w:r>
        <w:rPr>
          <w:rFonts w:ascii="Arial" w:cs="Arial" w:eastAsia="Arial" w:hAnsi="Arial"/>
          <w:sz w:val="15"/>
          <w:szCs w:val="15"/>
          <w:color w:val="auto"/>
        </w:rPr>
        <w:t>has served as a member of our Board since July 2020, and from, previously served as the Chief Executive Officer of CMLS from July 2020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July 2021. Mr. Casdin founded Casdin Capital, LLC, an investment firm focused on the life sciences and healthcare industry, in November 2011 and currently serves as its Chief Investment Officer. Mr. Casdin also serves on the boards of directors of SomaLogic, Inc., a protein biomarker discovery and clinical diagnostics company (formerly, CM Life Sciences II Inc., a special purpose acquisition company (“CMLS II”)), since September 2021 (having previously served as the Chief Executive Officer of CMLS II from February 2021 to September 2021), and EQRx, Inc., a pharmaceutical company (formerly, CM Life Sciences III Inc., a special purpose acquisition company (“CMLS III”)), since December 2021 (having previously served as the Chief Executive Officer of CMLS III from February 2021 to December 2021). In addition, Mr. Casdin serves on the boards of directors of Century Therapeutics, Inc., a biotechnology company, since February 2021, Absci Corp, a drug and target discovery company, since December 2020, and Tenaya Therapeutics, Inc., a biotechnology company, since August 2019, and previously served on the board of directors of Exact Sciences Corp., a molecular diagnostics company focused on early cancer detection, treatment and monitoring, from October 2017 to September 2020.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31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b w:val="1"/>
          <w:bCs w:val="1"/>
          <w:i w:val="1"/>
          <w:iCs w:val="1"/>
          <w:color w:val="auto"/>
        </w:rPr>
        <w:t xml:space="preserve">Emily Leproust, Ph.D., </w:t>
      </w:r>
      <w:r>
        <w:rPr>
          <w:rFonts w:ascii="Arial" w:cs="Arial" w:eastAsia="Arial" w:hAnsi="Arial"/>
          <w:sz w:val="15"/>
          <w:szCs w:val="15"/>
          <w:color w:val="auto"/>
        </w:rPr>
        <w:t>has served as a member of our Board since September 2020. Dr. Leproust has been President and Chief Executive Officer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Twist 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our Board include her extensive professional and educational experience in the life sciences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53" w:name="page154"/>
    <w:bookmarkEnd w:id="153"/>
    <w:p>
      <w:pPr>
        <w:jc w:val="both"/>
        <w:ind w:firstLine="318"/>
        <w:spacing w:after="0" w:line="263" w:lineRule="auto"/>
        <w:rPr>
          <w:sz w:val="20"/>
          <w:szCs w:val="20"/>
          <w:color w:val="auto"/>
        </w:rPr>
      </w:pPr>
      <w:r>
        <w:rPr>
          <w:rFonts w:ascii="Arial" w:cs="Arial" w:eastAsia="Arial" w:hAnsi="Arial"/>
          <w:sz w:val="17"/>
          <w:szCs w:val="17"/>
          <w:b w:val="1"/>
          <w:bCs w:val="1"/>
          <w:i w:val="1"/>
          <w:iCs w:val="1"/>
          <w:color w:val="auto"/>
        </w:rPr>
        <w:t xml:space="preserve">Keith Meister </w:t>
      </w:r>
      <w:r>
        <w:rPr>
          <w:rFonts w:ascii="Arial" w:cs="Arial" w:eastAsia="Arial" w:hAnsi="Arial"/>
          <w:sz w:val="17"/>
          <w:szCs w:val="17"/>
          <w:color w:val="auto"/>
        </w:rPr>
        <w:t>has served as a member of our Board since January 2022, and previously served as the Chairman of the Board of CMLS from July 2020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2021. He founded Corvex Management LP, a New York based investment manager, in December 2010 and since its inception has served as its Managing Partner and Chief Investment Officer. From 2003 to 2010, Mr. Meister served as Chief Executive Officer and then Principal Executive Officer and Vice Chairman of the Board of Icahn Enterprises L.P. (Nasdaq: IEP), the primary investment vehicle for Carl Icahn. In addition, Mr. Meister previously served as Chairman of CMLS II from December 2020 to September 2021 and CMLS III from January 2021 to December 2021. Mr. Meister also serves on the Board of Directors of MGM Resorts International (NYSE: MGM), a global hospitality and entertainment company, and its affiliate Roar Digital.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13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b w:val="1"/>
          <w:bCs w:val="1"/>
          <w:i w:val="1"/>
          <w:iCs w:val="1"/>
          <w:color w:val="auto"/>
        </w:rPr>
        <w:t>Michael Pellini, M.D.</w:t>
      </w:r>
      <w:r>
        <w:rPr>
          <w:rFonts w:ascii="Arial" w:cs="Arial" w:eastAsia="Arial" w:hAnsi="Arial"/>
          <w:sz w:val="15"/>
          <w:szCs w:val="15"/>
          <w:color w:val="auto"/>
        </w:rPr>
        <w:t>, has served as a member of our Board since July 2021, and previously served as a member of Legacy Sema4’s board of directors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August 2019 to July 2020. Since December 2017, Dr. Pellini has served as a 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GO2 Foundation, the Personalized Medicine Coalition, Singular Genomics Systems, Inc.,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on our Board.</w:t>
      </w:r>
    </w:p>
    <w:p>
      <w:pPr>
        <w:spacing w:after="0" w:line="1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b w:val="1"/>
          <w:bCs w:val="1"/>
          <w:i w:val="1"/>
          <w:iCs w:val="1"/>
          <w:color w:val="auto"/>
        </w:rPr>
        <w:t xml:space="preserve">Joshua Ruch </w:t>
      </w:r>
      <w:r>
        <w:rPr>
          <w:rFonts w:ascii="Arial" w:cs="Arial" w:eastAsia="Arial" w:hAnsi="Arial"/>
          <w:sz w:val="17"/>
          <w:szCs w:val="17"/>
          <w:color w:val="auto"/>
        </w:rPr>
        <w:t>has served as a member of our Board since July 2021, and previously served as the Chairman of our Board from July 2021 to January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a member of Legacy Sema4’s board of directors from November 2017 to July 2021.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Joshua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b w:val="1"/>
          <w:bCs w:val="1"/>
          <w:i w:val="1"/>
          <w:iCs w:val="1"/>
          <w:color w:val="auto"/>
        </w:rPr>
        <w:t xml:space="preserve">Rachel Sherman, M.D., </w:t>
      </w:r>
      <w:r>
        <w:rPr>
          <w:rFonts w:ascii="Arial" w:cs="Arial" w:eastAsia="Arial" w:hAnsi="Arial"/>
          <w:sz w:val="17"/>
          <w:szCs w:val="17"/>
          <w:color w:val="auto"/>
        </w:rPr>
        <w:t>M.P.H., F.A.C.P., has served as a member of our Board since July 2021, previously served as a member of Legacy Sema4’s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from March 2020 to July 2021. Dr. Sherman is currently the President of Rachel Sherman Partners LLC, a drug development, regulatory, and policy consulting firm she founded in 2019, and a clinical lecturer at Harvard Pilgrim Health Care Institute. Dr. Sherman also currently serves as a member of the Board of Directors for Aptinyx Inc., a biopharmaceutical company. From May 2017 to January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54" w:name="page155"/>
    <w:bookmarkEnd w:id="154"/>
    <w:p>
      <w:pPr>
        <w:jc w:val="both"/>
        <w:spacing w:after="0" w:line="248" w:lineRule="auto"/>
        <w:rPr>
          <w:sz w:val="20"/>
          <w:szCs w:val="20"/>
          <w:color w:val="auto"/>
        </w:rPr>
      </w:pPr>
      <w:r>
        <w:rPr>
          <w:rFonts w:ascii="Arial" w:cs="Arial" w:eastAsia="Arial" w:hAnsi="Arial"/>
          <w:sz w:val="18"/>
          <w:szCs w:val="18"/>
          <w:color w:val="auto"/>
        </w:rPr>
        <w:t>2019, Dr. Sherman served as Principal Deputy Commissioner at the U.S. Food and Drug Administration (FDA), where she spent nearly 30 years in medical product development and regulation. Dr. Sherman also served in additional roles at the FDA including as deputy commissioner for Medical Products and Tobacco in the Office of the Commissioner and director of the Office of Medical Policy in the Center for Drug Evaluation and Research. Dr. Sherman earned an M.D. from Mount Sinai School of Medicine, an M.P.H from The School of Hygiene and Public Health at Johns Hopkins University and an A.B. in mathematics from Washington University (St. Louis). Dr. Sherman’s medical and regulatory experience across a broad range of subject matters, including biosimilars, expedited drug development, prescription drug promotion, and active post-market surveillance provides her with the qualifications and skills to serve on our Board.</w:t>
      </w:r>
    </w:p>
    <w:p>
      <w:pPr>
        <w:spacing w:after="0" w:line="146"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b w:val="1"/>
          <w:bCs w:val="1"/>
          <w:i w:val="1"/>
          <w:iCs w:val="1"/>
          <w:color w:val="auto"/>
        </w:rPr>
        <w:t xml:space="preserve">Nat Turner </w:t>
      </w:r>
      <w:r>
        <w:rPr>
          <w:rFonts w:ascii="Arial" w:cs="Arial" w:eastAsia="Arial" w:hAnsi="Arial"/>
          <w:sz w:val="15"/>
          <w:szCs w:val="15"/>
          <w:color w:val="auto"/>
        </w:rPr>
        <w:t>has served as a member of our Board since July 2021. Mr. Turner is currently CEO of Collectors Universe, an authentication and grading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for collectible coins, trading cards, video games, autographs, and memorabilia. Mr. Turner is also Chairman of Flatiron Health, Inc., and Director on the Board of Directors for Clover Health Investments Corp. Previously, Mr. Turner was the Co-Founder and Chief Executive Officer of Flatiron Health, Inc., a healthcare technology company focusing on accelerating oncology research and improving patient care, from June 2012 until April 2021, and was acquired by Roche Holding AG in April 2018. Prior to that, Mr. Turner co-founded and served as Chief Executive Officer of Invite Media, Inc., an advertising technology company, from March 2007 until it was acquired by Google Inc. in June 2010, after which he remained at Google until June 2012. Mr. Turner received a B.S., cum laude, in Economics with concentrations in entrepreneurship and marketing from The Wharton School of the University of Pennsylvania. Mr. Turner’s qualifications to serve on our Board include his significant experience in the life sciences industry, both as an executive and as an angel investor.</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no familial relationships among our executive officers or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Our Board oversees our business affairs and works with our CEO and other senior management to determine our strategy and mission. In fulfilling its responsibilities, our Board is involved in strategic and operational planning, financial reporting, governance, compliance and risk oversight.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Our Board has the authority to appoint standing and special committees to perform certain management and administration functions. Our Board has established a standing audit committee, a standing compensation committee, and a standing nominating and corporate governance committee. The composition and responsibilities of each committee are described below. Members serve on these committees until their resignation or until otherwise determined by the Board. The charters for each of these committees are available on our website at </w:t>
      </w:r>
      <w:r>
        <w:rPr>
          <w:rFonts w:ascii="Arial" w:cs="Arial" w:eastAsia="Arial" w:hAnsi="Arial"/>
          <w:sz w:val="15"/>
          <w:szCs w:val="15"/>
          <w:i w:val="1"/>
          <w:iCs w:val="1"/>
          <w:color w:val="auto"/>
        </w:rPr>
        <w:t>www.Sema4.com.</w:t>
      </w:r>
      <w:r>
        <w:rPr>
          <w:rFonts w:ascii="Arial" w:cs="Arial" w:eastAsia="Arial" w:hAnsi="Arial"/>
          <w:sz w:val="15"/>
          <w:szCs w:val="15"/>
          <w:color w:val="auto"/>
        </w:rPr>
        <w:t xml:space="preserve"> Information contained on or accessible through our website is not a part of this Annual Report, and the inclusion of such website address in this Annual Report is an inactive textual reference only.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audit committee is comprised of Keith Meister, Dennis Charney and Emily Leproust, with Mr. Meister as the chairman of our audit committee. The Board has determined that the composition of our audit committee meets the requirements for independence under the current Nasdaq and SEC rules and regulations, and that each member of the audit committee is financially literate. In addition, the Board has determined that Mr. Meister is an “audit committee financial expert” as defined in Item 407(d)(5)(ii) of Regulation S-K promulgated under the Securities Act. This designation does not impose on him or her any duties, obligations or liabilities that are greater than are generally imposed on members of our audit committee and our Board. Our audit committee is directly responsible for, among other things:</w:t>
      </w:r>
    </w:p>
    <w:p>
      <w:pPr>
        <w:spacing w:after="0" w:line="143" w:lineRule="exact"/>
        <w:rPr>
          <w:sz w:val="20"/>
          <w:szCs w:val="20"/>
          <w:color w:val="auto"/>
        </w:rPr>
      </w:pPr>
    </w:p>
    <w:p>
      <w:pPr>
        <w:ind w:left="640" w:hanging="316"/>
        <w:spacing w:after="0" w:line="264"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auditors our quarterly and annual financial results and earnings releases, our annual audited and quarterly unaudited financial statements and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55" w:name="page156"/>
    <w:bookmarkEnd w:id="155"/>
    <w:p>
      <w:pPr>
        <w:ind w:left="640"/>
        <w:spacing w:after="0" w:line="264" w:lineRule="auto"/>
        <w:rPr>
          <w:sz w:val="20"/>
          <w:szCs w:val="20"/>
          <w:color w:val="auto"/>
        </w:rPr>
      </w:pPr>
      <w:r>
        <w:rPr>
          <w:rFonts w:ascii="Arial" w:cs="Arial" w:eastAsia="Arial" w:hAnsi="Arial"/>
          <w:sz w:val="18"/>
          <w:szCs w:val="18"/>
          <w:color w:val="auto"/>
        </w:rPr>
        <w:t>and quarterly reports on Form 10-K and 10-Q and recommend to the Board whether the annual financial statements should be included in our Annual Report on Form 10-K;</w:t>
      </w:r>
    </w:p>
    <w:p>
      <w:pPr>
        <w:spacing w:after="0" w:line="128" w:lineRule="exact"/>
        <w:rPr>
          <w:sz w:val="20"/>
          <w:szCs w:val="20"/>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monitoring the qualifications, independence and performance of our independent auditors;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the proxy statement for our annual meeting;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overseeing our accounting and financial reporting processes, including our financial statement audits and the integrity of our financial statements;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overseeing our financial risks, enterprise exposures, cybersecurity risks and other risks as it deems necessary or appropriate.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compensation committee is comprised of Joshua Ruch, Rachel Sherman and Nat Turner, with Mr. Ruch as the chairman of our compensation committee. The Board has determined that each member of our compensation committee is a non-employee director, as defined by Rule 16b-3 promulgated under the Exchange Act, and meets the requirements for independence under the current Nasdaq listing standards and SEC rules and regulations. Our compensation committee is responsible for, among other things:</w:t>
      </w:r>
    </w:p>
    <w:p>
      <w:pPr>
        <w:spacing w:after="0" w:line="138" w:lineRule="exact"/>
        <w:rPr>
          <w:sz w:val="20"/>
          <w:szCs w:val="20"/>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our Board;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64" w:lineRule="exact"/>
        <w:rPr>
          <w:rFonts w:ascii="Arial" w:cs="Arial" w:eastAsia="Arial" w:hAnsi="Arial"/>
          <w:sz w:val="18"/>
          <w:szCs w:val="18"/>
          <w:color w:val="auto"/>
        </w:rPr>
      </w:pPr>
    </w:p>
    <w:p>
      <w:pPr>
        <w:ind w:left="320" w:right="1580" w:firstLine="4"/>
        <w:spacing w:after="0" w:line="455" w:lineRule="auto"/>
        <w:tabs>
          <w:tab w:leader="none" w:pos="633" w:val="left"/>
        </w:tabs>
        <w:numPr>
          <w:ilvl w:val="0"/>
          <w:numId w:val="60"/>
        </w:numPr>
        <w:rPr>
          <w:rFonts w:ascii="Arial" w:cs="Arial" w:eastAsia="Arial" w:hAnsi="Arial"/>
          <w:sz w:val="17"/>
          <w:szCs w:val="17"/>
          <w:color w:val="auto"/>
        </w:rPr>
      </w:pPr>
      <w:r>
        <w:rPr>
          <w:rFonts w:ascii="Arial" w:cs="Arial" w:eastAsia="Arial" w:hAnsi="Arial"/>
          <w:sz w:val="17"/>
          <w:szCs w:val="17"/>
          <w:color w:val="auto"/>
        </w:rPr>
        <w:t>overseeing our compliance with regulatory requirements associated with the compensation of directors, officers and employees. The compensation committee may retain compensation advisors and other compensation consultants.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compensation committee has the authority to retain the services and obtain the advice of external advisors, including compensation consultants, legal counsel and other advisors to assist in the evaluation of executive officer compensation. The compensation committee has engaged Radford Data &amp; Analytics of Aon, our independent compensation consultant (“Radford”) to conduct an executive compensation market analysis and review of our short-term cash and long-term equity incentive practices to help ensure they align with market practices. Radford reviewed and advised on all principal aspects of our executive compensation program, including:</w:t>
      </w:r>
    </w:p>
    <w:p>
      <w:pPr>
        <w:spacing w:after="0" w:line="141" w:lineRule="exact"/>
        <w:rPr>
          <w:sz w:val="20"/>
          <w:szCs w:val="20"/>
          <w:color w:val="auto"/>
        </w:rPr>
      </w:pPr>
    </w:p>
    <w:p>
      <w:pPr>
        <w:ind w:left="640" w:hanging="316"/>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Assisting in developing a peer group of publicly traded companies to be used to help assess the competitiveness of executive compensation;</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Assisting in ensuring a competitive compensation framework;</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Meeting regularly with the compensation committee to review all elements of executive compensation, including the competitiveness of our executive compensation program;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Assisting in the competitive assessment of the short-term cash and long-term equity incentive plans designs;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56" w:name="page157"/>
    <w:bookmarkEnd w:id="156"/>
    <w:p>
      <w:pPr>
        <w:ind w:left="640" w:hanging="31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Assisting in the risk assessment of our compensation program.</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Outside of its services to the compensation committee, Radford provides no other services to us. The compensation committee evaluated the independence of Radford and determined that it is independent. The compensation committee also determined that Radford’s work for the Company in 2021 did not raise any conflicts of interest.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 and Executive Officers in Compensation Decisions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compensation committee works in close collaboration with the full Board on executive compensation matters. Following the adoption of our compensation committee charter, our compensation committee has adopted a practice of informing and consulting with the full Board concerning the establishment of performance goals and objectives for our Chief Executive Officer, evaluating our Chief Executive Officer’s performance in light of the goals and objectives that were set, and determining the Chief Executive Officer’s compensation based on that evaluation. Our Chief Executive Officer serves on our Board but recuses himself from any deliberations about his compensation. For fiscal year 2021, our Chief Executive Officer prepared an analysis for the compensation committee recommending each element of compensation to be paid to all other executive officers. The compensation committee considered his recommendations, along with an analysis from Radford, in approving the compensation of our other executive officers.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nominating and governance committee is comprised of Joshua Ruch and Rachel Sherman, with Ms. Sherman as the chairwoman of our nominating and governance committee. The Board has determined that each member of our nominating and governance committee meets the requirements for independence under the current Nasdaq listing standards. Our nominating and governance committee is responsible for, among other things:</w:t>
      </w:r>
    </w:p>
    <w:p>
      <w:pPr>
        <w:spacing w:after="0" w:line="84" w:lineRule="exact"/>
        <w:rPr>
          <w:sz w:val="20"/>
          <w:szCs w:val="20"/>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advising our Board on other corporate governance matters.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the exception of a 9-month lockup established in the employment agreements entered into in June and July 2021 with Eric Schadt, Isaac Ro, Daniel Clark, James Coffin, Anthony Prentice, Kareem Saad and Karen White in connection with the closing of our 2021 SPAC merger transaction, we have not established any stock ownership requirements for our executives.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and Committee Meetings and Attendance</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Board and its committees meet throughout the year on a pre-determined schedule and also hold special meetings and act by written consent from time to time.</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During 2021, the Board met six times (including telephonic meetings) and took action by unanimous written consent four times. During 2021, our audit committee met three times and took action by unanimous written consent one time, our compensation committee met three times and took action by unanimous written consent two times, and our nominating and governance committee did not meet. In addition to the official meetings, the Board also had a number of informational meetings throughout the year to update the Board on various strategic initiatives, including in connection with the Acquisition. Each director attended at least 75% of the meetings held by the Board and by each committee on which he or she served while he or she was a director during the year, except for Nat Turner.</w:t>
      </w:r>
    </w:p>
    <w:p>
      <w:pPr>
        <w:spacing w:after="0" w:line="1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acknowledge the value of having directors with significant experience in other businesses and activities. Effective service requires substantial commitment, but we recognize that the demands of other business activities vary substantially; therefore, we do not consider it necessary to impose specific limits on such activities so long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57" w:name="page158"/>
    <w:bookmarkEnd w:id="157"/>
    <w:p>
      <w:pPr>
        <w:ind w:right="620"/>
        <w:spacing w:after="0" w:line="430" w:lineRule="auto"/>
        <w:rPr>
          <w:sz w:val="20"/>
          <w:szCs w:val="20"/>
          <w:color w:val="auto"/>
        </w:rPr>
      </w:pPr>
      <w:r>
        <w:rPr>
          <w:rFonts w:ascii="Arial" w:cs="Arial" w:eastAsia="Arial" w:hAnsi="Arial"/>
          <w:sz w:val="18"/>
          <w:szCs w:val="18"/>
          <w:color w:val="auto"/>
        </w:rPr>
        <w:t xml:space="preserve">directors are sufficiently attentive and available to fulfill their duties and so long as directors comply at all times with our conflict of interests policies. </w:t>
      </w:r>
      <w:r>
        <w:rPr>
          <w:rFonts w:ascii="Arial" w:cs="Arial" w:eastAsia="Arial" w:hAnsi="Arial"/>
          <w:sz w:val="18"/>
          <w:szCs w:val="18"/>
          <w:b w:val="1"/>
          <w:bCs w:val="1"/>
          <w:i w:val="1"/>
          <w:iCs w:val="1"/>
          <w:color w:val="auto"/>
        </w:rPr>
        <w:t>Director Attendance at Annual Meetings</w:t>
      </w:r>
    </w:p>
    <w:p>
      <w:pPr>
        <w:jc w:val="both"/>
        <w:ind w:firstLine="318"/>
        <w:spacing w:after="0" w:line="255" w:lineRule="auto"/>
        <w:rPr>
          <w:sz w:val="20"/>
          <w:szCs w:val="20"/>
          <w:color w:val="auto"/>
        </w:rPr>
      </w:pPr>
      <w:r>
        <w:rPr>
          <w:rFonts w:ascii="Arial" w:cs="Arial" w:eastAsia="Arial" w:hAnsi="Arial"/>
          <w:sz w:val="18"/>
          <w:szCs w:val="18"/>
          <w:color w:val="auto"/>
        </w:rPr>
        <w:t>Although we do not have a formal policy regarding attendance by members of the Board at each annual meeting of stockholders, we encourage all of our directors to attend in person, or virtually, depending on the meeting format. In fiscal year 2021, all of the directors serving at the time of last year’s special meeting, which was held as a special meeting in lieu of our annual meeting, attended that meeting.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Arial" w:cs="Arial" w:eastAsia="Arial" w:hAnsi="Arial"/>
          <w:sz w:val="18"/>
          <w:szCs w:val="18"/>
          <w:i w:val="1"/>
          <w:iCs w:val="1"/>
          <w:color w:val="auto"/>
        </w:rPr>
        <w:t>www.Sema4.com.</w:t>
      </w:r>
      <w:r>
        <w:rPr>
          <w:rFonts w:ascii="Arial" w:cs="Arial" w:eastAsia="Arial" w:hAnsi="Arial"/>
          <w:sz w:val="18"/>
          <w:szCs w:val="18"/>
          <w:color w:val="auto"/>
        </w:rPr>
        <w:t xml:space="preserve"> Information contained on or accessible through such website is not a part of this Annual Report, and the inclusion of the website address in this Annual Report is an inactive textual reference only. We intend to disclose any amendments to the Code of Business Conduct and Ethics, or any waivers of its requirements, on its website to the extent required by the applicable rules and exchange requirements.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Our Board has adopted Corporate Governance Guidelines that set forth expectations for directors, director independence standards, board committee structure and functions, stock ownership guidelines, and other policies for the governance of the Company. Under our Corporate Governance Guidelines, at all times, a majority of our directors will be independent, which means, generally, that they will not have any connections to us that could affect their ability to provide impartial oversight. Specifically, these directors will meet the independence requirements of the applicable rules, regulations and listing standards of the stock exchange on which our securities are listed for trading. Our Corporate Governance Guidelines are available without charge on the investor relations section of our website at </w:t>
      </w:r>
      <w:r>
        <w:rPr>
          <w:rFonts w:ascii="Arial" w:cs="Arial" w:eastAsia="Arial" w:hAnsi="Arial"/>
          <w:sz w:val="15"/>
          <w:szCs w:val="15"/>
          <w:i w:val="1"/>
          <w:iCs w:val="1"/>
          <w:color w:val="auto"/>
        </w:rPr>
        <w:t>www.Sema4.com</w:t>
      </w:r>
      <w:r>
        <w:rPr>
          <w:rFonts w:ascii="Arial" w:cs="Arial" w:eastAsia="Arial" w:hAnsi="Arial"/>
          <w:sz w:val="15"/>
          <w:szCs w:val="15"/>
          <w:color w:val="auto"/>
        </w:rPr>
        <w:t>. Information contained on or accessible through such website is not a part of this Annual Report, and the inclusion of the website address in this Annual Report is an inactive textual reference only.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70"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Section 16(a) of the Exchange Act requires our directors, executive officers, and any persons who own more than 10% of our common stock, to file initial reports of ownership and reports of changes in ownership with the SEC. Based solely on our review of the forms filed with the SEC and written representations from the directors and executive officers, we believe that all Section 16(a) filing requirements were timely met in the fiscal year ended December 31, 2021, with the exception of: a Form 4 with respect to the issuance of restricted stock units (“RSUs”) and an associated sale to cover transaction in respect of tax withholding obligations in connection with the vesting and settlement of a portion of the RSUs, which was filed one day late on October 6, 2021 on behalf of Shawn Assad; a Form 4 with respect to a sale to cover transaction in respect of tax withholding obligations in connection with the vesting and settlement of RSUs, which was filed one day late on November 15, 2021 on behalf of Shawn Assad; Forms 4 with respect to the issuance of RSUs and associated sale to cover transactions in respect of tax withholding obligations in connection with the vesting and settlement of a portion of the RSUs, which were filed four days late on November 2, 2021 on behalf of each of Shawn Assad, Daniel Clark, James Coffin, Anthony Prentice, Isaac Ro, Kareem Saad, Eric Schadt, and Karen White; a Form 5 with respect to the exercise of shares underlying the option grant, which was filed eighty-three days late on February 7, 2022 on behalf of Daniel Clark; and a Form 3 that was filed 29 days late on August 30, 2021, which was due within 10 calendar days of July 22, 2021, following the closing of the business combination, by BTO Sema4 Holdings L.P., BTO Holdings Manager L.L.C., Blackstone Tactical Opportunities Associates L.L.C., BTOA L.L.C., Blackstone Family Tactical Opportunities Investment Partnership III ESC L.P., BTO Side-by-Side GP L.L.C., Blackstone Holdings III L.P., Blackstone Holdings III GP L.P., Blackstone Holdings III GP Management L.L.C., Blackstone Tactical Opportunities Fund – FD L.P., Blackstone Tactical Opportunities Associates III – NQ L.P., BTO DE GP – NQ L.L.C., Blackstone Holdings II L.P., Blackstone Aqua Master Sub-Fund, a sub-fund of Blackstone Global Master Fund ICAV, Blackstone Alternative Solutions L.L.C., Blackstone Holdings I L.P., Blackstone Holdings I/II GP L.L.C., Blackstone Inc., Blackstone Group Management L.L.C. and Stephen A. Schwarzman.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58" w:name="page159"/>
    <w:bookmarkEnd w:id="158"/>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our Executive Compensation Program</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main objectives of our executive compensation program are to create a competitive total rewards package to attract, retain and incent qualified executive officers who will lead us to long-term success and enhance stockholder value based on the balanced attainment of short-term performance objectives and long-term strategic goals. Each element of our compensation program supports these objectives.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our Named Executive Officers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our named executive officers for the year ended December 31, 2021, who were:</w:t>
      </w:r>
    </w:p>
    <w:p>
      <w:pPr>
        <w:spacing w:after="0" w:line="128" w:lineRule="exact"/>
        <w:rPr>
          <w:sz w:val="20"/>
          <w:szCs w:val="20"/>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Eric Schadt, Ph.D., our Chief Executive Officer,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Isaac Ro, our Chief Financial Officer,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James Coffin, Ph.D., our former President and Chief Operating Officer.</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named executive officers’ compensation primarily consists of (1) base salary, (2) annual discretionary cash bonus and (3) equity incentive awards. Our named executive officers, during their employment with us, are also eligible to participate in the same retirement and health and welfare benefit plans as its other full-time employees.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 ended December 31,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ind w:left="240"/>
              <w:spacing w:after="0" w:line="156" w:lineRule="exact"/>
              <w:rPr>
                <w:sz w:val="20"/>
                <w:szCs w:val="20"/>
                <w:color w:val="auto"/>
              </w:rPr>
            </w:pPr>
            <w:r>
              <w:rPr>
                <w:rFonts w:ascii="Arial" w:cs="Arial" w:eastAsia="Arial" w:hAnsi="Arial"/>
                <w:sz w:val="14"/>
                <w:szCs w:val="14"/>
                <w:b w:val="1"/>
                <w:bCs w:val="1"/>
                <w:color w:val="auto"/>
              </w:rPr>
              <w:t>Stock Awards</w:t>
            </w:r>
          </w:p>
        </w:tc>
        <w:tc>
          <w:tcPr>
            <w:tcW w:w="1300" w:type="dxa"/>
            <w:vAlign w:val="bottom"/>
            <w:gridSpan w:val="2"/>
          </w:tcPr>
          <w:p>
            <w:pPr>
              <w:jc w:val="center"/>
              <w:ind w:right="80"/>
              <w:spacing w:after="0" w:line="156" w:lineRule="exact"/>
              <w:rPr>
                <w:sz w:val="20"/>
                <w:szCs w:val="20"/>
                <w:color w:val="auto"/>
              </w:rPr>
            </w:pPr>
            <w:r>
              <w:rPr>
                <w:rFonts w:ascii="Arial" w:cs="Arial" w:eastAsia="Arial" w:hAnsi="Arial"/>
                <w:sz w:val="14"/>
                <w:szCs w:val="14"/>
                <w:b w:val="1"/>
                <w:bCs w:val="1"/>
                <w:color w:val="auto"/>
                <w:w w:val="90"/>
              </w:rPr>
              <w:t>Awards</w:t>
            </w:r>
          </w:p>
        </w:tc>
        <w:tc>
          <w:tcPr>
            <w:tcW w:w="1400" w:type="dxa"/>
            <w:vAlign w:val="bottom"/>
            <w:gridSpan w:val="2"/>
          </w:tcPr>
          <w:p>
            <w:pPr>
              <w:ind w:left="360"/>
              <w:spacing w:after="0" w:line="156" w:lineRule="exact"/>
              <w:rPr>
                <w:sz w:val="20"/>
                <w:szCs w:val="20"/>
                <w:color w:val="auto"/>
              </w:rPr>
            </w:pPr>
            <w:r>
              <w:rPr>
                <w:rFonts w:ascii="Arial" w:cs="Arial" w:eastAsia="Arial" w:hAnsi="Arial"/>
                <w:sz w:val="14"/>
                <w:szCs w:val="14"/>
                <w:b w:val="1"/>
                <w:bCs w:val="1"/>
                <w:color w:val="auto"/>
              </w:rPr>
              <w:t>All Other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Salary ($)</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Compensation ($)</w:t>
            </w:r>
            <w:r>
              <w:rPr>
                <w:rFonts w:ascii="Arial" w:cs="Arial" w:eastAsia="Arial" w:hAnsi="Arial"/>
                <w:sz w:val="18"/>
                <w:szCs w:val="18"/>
                <w:b w:val="1"/>
                <w:bCs w:val="1"/>
                <w:color w:val="auto"/>
                <w:w w:val="91"/>
                <w:vertAlign w:val="superscript"/>
              </w:rPr>
              <w:t>(3)</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26"/>
        </w:trPr>
        <w:tc>
          <w:tcPr>
            <w:tcW w:w="3060" w:type="dxa"/>
            <w:vAlign w:val="bottom"/>
            <w:shd w:val="clear" w:color="auto" w:fill="CCEEFF"/>
          </w:tcPr>
          <w:p>
            <w:pPr>
              <w:ind w:left="20"/>
              <w:spacing w:after="0" w:line="126" w:lineRule="exact"/>
              <w:rPr>
                <w:sz w:val="20"/>
                <w:szCs w:val="20"/>
                <w:color w:val="auto"/>
              </w:rPr>
            </w:pPr>
            <w:r>
              <w:rPr>
                <w:rFonts w:ascii="Arial" w:cs="Arial" w:eastAsia="Arial" w:hAnsi="Arial"/>
                <w:sz w:val="14"/>
                <w:szCs w:val="14"/>
                <w:color w:val="auto"/>
              </w:rPr>
              <w:t xml:space="preserve">Eric Schadt, Ph.D. </w:t>
            </w:r>
            <w:r>
              <w:rPr>
                <w:rFonts w:ascii="Arial" w:cs="Arial" w:eastAsia="Arial" w:hAnsi="Arial"/>
                <w:sz w:val="14"/>
                <w:szCs w:val="14"/>
                <w:i w:val="1"/>
                <w:iCs w:val="1"/>
                <w:color w:val="auto"/>
              </w:rPr>
              <w:t>Chief Executive Officer and</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650,000</w:t>
            </w: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513,000</w:t>
            </w:r>
          </w:p>
        </w:tc>
        <w:tc>
          <w:tcPr>
            <w:tcW w:w="10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10,699,239</w:t>
            </w:r>
          </w:p>
        </w:tc>
        <w:tc>
          <w:tcPr>
            <w:tcW w:w="8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3,867,064</w:t>
            </w:r>
          </w:p>
        </w:tc>
        <w:tc>
          <w:tcPr>
            <w:tcW w:w="10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41,533</w:t>
            </w:r>
          </w:p>
        </w:tc>
        <w:tc>
          <w:tcPr>
            <w:tcW w:w="10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15,770,836</w:t>
            </w: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Director</w:t>
            </w: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0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643,846</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540,000</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1,770,474</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2,968,076</w:t>
            </w:r>
          </w:p>
        </w:tc>
        <w:tc>
          <w:tcPr>
            <w:tcW w:w="0" w:type="dxa"/>
            <w:vAlign w:val="bottom"/>
          </w:tcPr>
          <w:p>
            <w:pPr>
              <w:spacing w:after="0"/>
              <w:rPr>
                <w:sz w:val="1"/>
                <w:szCs w:val="1"/>
                <w:color w:val="auto"/>
              </w:rPr>
            </w:pPr>
          </w:p>
        </w:tc>
      </w:tr>
      <w:tr>
        <w:trPr>
          <w:trHeight w:val="133"/>
        </w:trPr>
        <w:tc>
          <w:tcPr>
            <w:tcW w:w="3060" w:type="dxa"/>
            <w:vAlign w:val="bottom"/>
          </w:tcPr>
          <w:p>
            <w:pPr>
              <w:ind w:left="20"/>
              <w:spacing w:after="0" w:line="133" w:lineRule="exact"/>
              <w:rPr>
                <w:sz w:val="20"/>
                <w:szCs w:val="20"/>
                <w:color w:val="auto"/>
              </w:rPr>
            </w:pPr>
            <w:r>
              <w:rPr>
                <w:rFonts w:ascii="Arial" w:cs="Arial" w:eastAsia="Arial" w:hAnsi="Arial"/>
                <w:sz w:val="14"/>
                <w:szCs w:val="14"/>
                <w:color w:val="auto"/>
              </w:rPr>
              <w:t>Isaac Ro</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353,846</w:t>
            </w:r>
          </w:p>
        </w:tc>
        <w:tc>
          <w:tcPr>
            <w:tcW w:w="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139,333</w:t>
            </w:r>
          </w:p>
        </w:tc>
        <w:tc>
          <w:tcPr>
            <w:tcW w:w="1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7,897,167</w:t>
            </w:r>
          </w:p>
        </w:tc>
        <w:tc>
          <w:tcPr>
            <w:tcW w:w="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2,633,103</w:t>
            </w:r>
          </w:p>
        </w:tc>
        <w:tc>
          <w:tcPr>
            <w:tcW w:w="10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16,615</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11,040,064</w:t>
            </w:r>
          </w:p>
        </w:tc>
        <w:tc>
          <w:tcPr>
            <w:tcW w:w="0" w:type="dxa"/>
            <w:vAlign w:val="bottom"/>
          </w:tcPr>
          <w:p>
            <w:pPr>
              <w:spacing w:after="0"/>
              <w:rPr>
                <w:sz w:val="1"/>
                <w:szCs w:val="1"/>
                <w:color w:val="auto"/>
              </w:rPr>
            </w:pPr>
          </w:p>
        </w:tc>
      </w:tr>
      <w:tr>
        <w:trPr>
          <w:trHeight w:val="183"/>
        </w:trPr>
        <w:tc>
          <w:tcPr>
            <w:tcW w:w="3060" w:type="dxa"/>
            <w:vAlign w:val="bottom"/>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James Coffin, Ph.D.</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530,397</w:t>
            </w:r>
          </w:p>
        </w:tc>
        <w:tc>
          <w:tcPr>
            <w:tcW w:w="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180,370</w:t>
            </w:r>
          </w:p>
        </w:tc>
        <w:tc>
          <w:tcPr>
            <w:tcW w:w="10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3,155,535</w:t>
            </w:r>
          </w:p>
        </w:tc>
        <w:tc>
          <w:tcPr>
            <w:tcW w:w="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1,104,874</w:t>
            </w:r>
          </w:p>
        </w:tc>
        <w:tc>
          <w:tcPr>
            <w:tcW w:w="10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17,400</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4,988,576</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20"/>
              <w:spacing w:after="0" w:line="186" w:lineRule="exact"/>
              <w:rPr>
                <w:sz w:val="20"/>
                <w:szCs w:val="20"/>
                <w:color w:val="auto"/>
              </w:rPr>
            </w:pPr>
            <w:r>
              <w:rPr>
                <w:rFonts w:ascii="Arial" w:cs="Arial" w:eastAsia="Arial" w:hAnsi="Arial"/>
                <w:sz w:val="14"/>
                <w:szCs w:val="14"/>
                <w:i w:val="1"/>
                <w:iCs w:val="1"/>
                <w:color w:val="auto"/>
              </w:rPr>
              <w:t>Former President and Chief Operating Officer</w:t>
            </w:r>
            <w:r>
              <w:rPr>
                <w:rFonts w:ascii="Arial" w:cs="Arial" w:eastAsia="Arial" w:hAnsi="Arial"/>
                <w:sz w:val="18"/>
                <w:szCs w:val="18"/>
                <w:i w:val="1"/>
                <w:iCs w:val="1"/>
                <w:color w:val="auto"/>
                <w:vertAlign w:val="superscript"/>
              </w:rPr>
              <w:t>(4)</w:t>
            </w: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524,615</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363,000</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623,189</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11,169</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1,521,973</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300" w:hanging="314"/>
        <w:spacing w:after="0" w:line="237" w:lineRule="auto"/>
        <w:tabs>
          <w:tab w:leader="none" w:pos="312"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amounts reported reflect the annual performance-based cash bonus amounts awarded to our named executive officers for their service in 2021. For additional information regarding the bonus compensation, see “—2021 Bonuses.”</w:t>
      </w:r>
    </w:p>
    <w:p>
      <w:pPr>
        <w:ind w:left="320" w:right="140" w:hanging="314"/>
        <w:spacing w:after="0" w:line="237" w:lineRule="auto"/>
        <w:tabs>
          <w:tab w:leader="none" w:pos="312"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represent the grant date fair value of the restricted stock units and stock options awarded to the named executive officer during 2021 in accordance with FASB Accounting Standards Codification Topic 718. The assumptions used in determining the grant date fair value of the restricted stock units and stock options are set forth in Note 10 of the notes to our audited consolidated financial statements included in this Annual Report. In determining the total value of the equity awards, we have considered all grants issued during the year as earned by the respective executive officers.</w:t>
      </w:r>
    </w:p>
    <w:p>
      <w:pPr>
        <w:ind w:left="320" w:right="600" w:hanging="314"/>
        <w:spacing w:after="0" w:line="237" w:lineRule="auto"/>
        <w:tabs>
          <w:tab w:leader="none" w:pos="312"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amounts reported in this column represent our matching contributions made on behalf of our named executive officers under our 401(k) plan and other personal benefits including reimbursement for travel costs in the amount of $24,133.</w:t>
      </w:r>
    </w:p>
    <w:p>
      <w:pPr>
        <w:ind w:left="320" w:hanging="314"/>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Dr. Coffin left the Company in February 2022. Amounts reported include payments in respect of his 2021 bonus pursuant to our separation agreement with Dr. Coffin.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Bonuses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Under their employment agreements, Dr. Eric Schadt and Mr. Ro are entitled to receive annual bonuses based on the achievement of certain corporate and individual performance objectives. Prior to his leaving the Company, Dr. Coffin was also entitled to receive annual bonuses based on the achievement of corporate performance objectives. For the 2021 bonuses, the target annual bonuses for Dr. Schadt and Mr. Ro were equal to 100% and 50 %, respectively, of their respective annual base salaries. In February 2022, based on the achievement of corporate and individual performance objectives, the Compensation Committee determined to award bonuses for 2021 to Dr. Schadt, and to Mr. Ro on a pro rata basis based on his hire date, as set forth in the table above. Further, pursuant to a separation agreement we entered into with Dr. Coffin in January 2022, we agreed to pay Dr. Coffin a 2021 bonus in the amount reflected in the table above.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Awards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company offers stock options as well as service-based RSUs to our named executive officers as the long-term incentive component of our compensation program. Stock options allow employees to purchase shares of our Class A common stock at a price per share at least equal to the fair market value of our Class A common stock on the date of grant and may or may not be intended to qualify as “incentive stock options” for U.S. federal income tax purposes. All of our named executive officers received RSU awards in recognition of their service to us and to further incentivize continued performance. Generally, our equity-based awards vest over four years, subject to the employee’s continued employment with us on each vesting date. In connection with the Prior Merger Agreement and following the closing of the business combination, we also granted RSUs in the form of “Earnout RSUs” to our named executive officers that vest subject to certain market-based and service-based vesting conditions. In December 2021, we also issued stock bonuses to our employees who were hired on or before June 30, 2021, including our named executive officers, in connection with the termination of our sabbatical leave program. The stock bonuses were fully vested as of the date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information concerning outstanding equity awards held by each of our named executive officers as of December 31, 2021.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gridSpan w:val="3"/>
          </w:tcPr>
          <w:p>
            <w:pPr>
              <w:jc w:val="right"/>
              <w:ind w:right="223"/>
              <w:spacing w:after="0"/>
              <w:rPr>
                <w:sz w:val="20"/>
                <w:szCs w:val="20"/>
                <w:color w:val="auto"/>
              </w:rPr>
            </w:pPr>
            <w:r>
              <w:rPr>
                <w:rFonts w:ascii="Arial" w:cs="Arial" w:eastAsia="Arial" w:hAnsi="Arial"/>
                <w:sz w:val="14"/>
                <w:szCs w:val="14"/>
                <w:b w:val="1"/>
                <w:bCs w:val="1"/>
                <w:color w:val="auto"/>
                <w:w w:val="89"/>
              </w:rPr>
              <w:t>Option Awards</w:t>
            </w:r>
            <w:r>
              <w:rPr>
                <w:rFonts w:ascii="Arial" w:cs="Arial" w:eastAsia="Arial" w:hAnsi="Arial"/>
                <w:sz w:val="18"/>
                <w:szCs w:val="18"/>
                <w:b w:val="1"/>
                <w:bCs w:val="1"/>
                <w:color w:val="auto"/>
                <w:w w:val="89"/>
                <w:vertAlign w:val="superscript"/>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Number of</w:t>
            </w:r>
          </w:p>
        </w:tc>
        <w:tc>
          <w:tcPr>
            <w:tcW w:w="520" w:type="dxa"/>
            <w:vAlign w:val="bottom"/>
          </w:tcPr>
          <w:p>
            <w:pPr>
              <w:spacing w:after="0"/>
              <w:rPr>
                <w:sz w:val="13"/>
                <w:szCs w:val="13"/>
                <w:color w:val="auto"/>
              </w:rPr>
            </w:pPr>
          </w:p>
        </w:tc>
        <w:tc>
          <w:tcPr>
            <w:tcW w:w="10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88"/>
              </w:rPr>
              <w:t>Shares or Units</w:t>
            </w: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Number of Securities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Underlying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8"/>
              </w:rPr>
              <w:t>Shares or Units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41"/>
              <w:spacing w:after="0" w:line="159" w:lineRule="exact"/>
              <w:rPr>
                <w:sz w:val="20"/>
                <w:szCs w:val="20"/>
                <w:color w:val="auto"/>
              </w:rPr>
            </w:pPr>
            <w:r>
              <w:rPr>
                <w:rFonts w:ascii="Arial" w:cs="Arial" w:eastAsia="Arial" w:hAnsi="Arial"/>
                <w:sz w:val="14"/>
                <w:szCs w:val="14"/>
                <w:b w:val="1"/>
                <w:bCs w:val="1"/>
                <w:color w:val="auto"/>
                <w:w w:val="90"/>
              </w:rPr>
              <w:t>of Stock That</w:t>
            </w: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2"/>
              </w:rPr>
              <w:t>Underlying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8"/>
              </w:rPr>
              <w:t>Unexercised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w w:val="93"/>
              </w:rPr>
              <w:t>Option</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2"/>
              </w:rPr>
              <w:t>of Stock That</w:t>
            </w:r>
          </w:p>
        </w:tc>
        <w:tc>
          <w:tcPr>
            <w:tcW w:w="520" w:type="dxa"/>
            <w:vAlign w:val="bottom"/>
          </w:tcPr>
          <w:p>
            <w:pPr>
              <w:spacing w:after="0"/>
              <w:rPr>
                <w:sz w:val="13"/>
                <w:szCs w:val="13"/>
                <w:color w:val="auto"/>
              </w:rPr>
            </w:pPr>
          </w:p>
        </w:tc>
        <w:tc>
          <w:tcPr>
            <w:tcW w:w="108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w w:val="90"/>
              </w:rPr>
              <w:t>Have Not Vested</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Unexercised Options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Exercise Price</w:t>
            </w: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Option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Have Not Vested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41"/>
              <w:spacing w:after="0" w:line="162"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18"/>
                <w:szCs w:val="18"/>
                <w:b w:val="1"/>
                <w:bCs w:val="1"/>
                <w:color w:val="auto"/>
                <w:w w:val="93"/>
                <w:vertAlign w:val="superscript"/>
              </w:rPr>
              <w:t>(*)</w:t>
            </w:r>
          </w:p>
        </w:tc>
        <w:tc>
          <w:tcPr>
            <w:tcW w:w="0" w:type="dxa"/>
            <w:vAlign w:val="bottom"/>
          </w:tcPr>
          <w:p>
            <w:pPr>
              <w:spacing w:after="0"/>
              <w:rPr>
                <w:sz w:val="1"/>
                <w:szCs w:val="1"/>
                <w:color w:val="auto"/>
              </w:rPr>
            </w:pPr>
          </w:p>
        </w:tc>
      </w:tr>
      <w:tr>
        <w:trPr>
          <w:trHeight w:val="184"/>
        </w:trPr>
        <w:tc>
          <w:tcPr>
            <w:tcW w:w="218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Exercisable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Unexercisable (#)</w:t>
            </w:r>
          </w:p>
        </w:tc>
        <w:tc>
          <w:tcPr>
            <w:tcW w:w="1040" w:type="dxa"/>
            <w:vAlign w:val="bottom"/>
            <w:gridSpan w:val="3"/>
          </w:tcPr>
          <w:p>
            <w:pPr>
              <w:jc w:val="center"/>
              <w:ind w:left="41"/>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Expiration Date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Eric Schadt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6/1/2017</w:t>
            </w:r>
            <w:r>
              <w:rPr>
                <w:rFonts w:ascii="Arial" w:cs="Arial" w:eastAsia="Arial" w:hAnsi="Arial"/>
                <w:sz w:val="20"/>
                <w:szCs w:val="20"/>
                <w:color w:val="auto"/>
                <w:vertAlign w:val="superscript"/>
              </w:rPr>
              <w:t>(2)</w:t>
            </w: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4,829,521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$0.1529</w:t>
            </w:r>
          </w:p>
        </w:tc>
        <w:tc>
          <w:tcPr>
            <w:tcW w:w="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5/31/2027</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2"/>
        </w:trPr>
        <w:tc>
          <w:tcPr>
            <w:tcW w:w="2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40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040" w:type="dxa"/>
            <w:vAlign w:val="bottom"/>
            <w:gridSpan w:val="3"/>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10/17/2019</w:t>
            </w:r>
            <w:r>
              <w:rPr>
                <w:rFonts w:ascii="Arial" w:cs="Arial" w:eastAsia="Arial" w:hAnsi="Arial"/>
                <w:sz w:val="20"/>
                <w:szCs w:val="20"/>
                <w:color w:val="auto"/>
                <w:vertAlign w:val="superscript"/>
              </w:rPr>
              <w:t>(3)</w:t>
            </w: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851,357</w:t>
            </w:r>
          </w:p>
        </w:tc>
        <w:tc>
          <w:tcPr>
            <w:tcW w:w="13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510,815</w:t>
            </w:r>
          </w:p>
        </w:tc>
        <w:tc>
          <w:tcPr>
            <w:tcW w:w="1040" w:type="dxa"/>
            <w:vAlign w:val="bottom"/>
            <w:gridSpan w:val="3"/>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$0.7659</w:t>
            </w:r>
          </w:p>
        </w:tc>
        <w:tc>
          <w:tcPr>
            <w:tcW w:w="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10/16/2029</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2"/>
        </w:trPr>
        <w:tc>
          <w:tcPr>
            <w:tcW w:w="2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400" w:type="dxa"/>
            <w:vAlign w:val="bottom"/>
            <w:gridSpan w:val="2"/>
            <w:vMerge w:val="continue"/>
            <w:shd w:val="clear" w:color="auto" w:fill="CCEEFF"/>
          </w:tcPr>
          <w:p>
            <w:pPr>
              <w:spacing w:after="0"/>
              <w:rPr>
                <w:sz w:val="7"/>
                <w:szCs w:val="7"/>
                <w:color w:val="auto"/>
              </w:rPr>
            </w:pPr>
          </w:p>
        </w:tc>
        <w:tc>
          <w:tcPr>
            <w:tcW w:w="1340" w:type="dxa"/>
            <w:vAlign w:val="bottom"/>
            <w:gridSpan w:val="3"/>
            <w:vMerge w:val="continue"/>
            <w:shd w:val="clear" w:color="auto" w:fill="CCEEFF"/>
          </w:tcPr>
          <w:p>
            <w:pPr>
              <w:spacing w:after="0"/>
              <w:rPr>
                <w:sz w:val="7"/>
                <w:szCs w:val="7"/>
                <w:color w:val="auto"/>
              </w:rPr>
            </w:pPr>
          </w:p>
        </w:tc>
        <w:tc>
          <w:tcPr>
            <w:tcW w:w="1040" w:type="dxa"/>
            <w:vAlign w:val="bottom"/>
            <w:gridSpan w:val="3"/>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2/18/2020</w:t>
            </w:r>
            <w:r>
              <w:rPr>
                <w:rFonts w:ascii="Arial" w:cs="Arial" w:eastAsia="Arial" w:hAnsi="Arial"/>
                <w:sz w:val="20"/>
                <w:szCs w:val="20"/>
                <w:color w:val="auto"/>
                <w:vertAlign w:val="superscript"/>
              </w:rPr>
              <w:t>(4)</w:t>
            </w: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1,300,203</w:t>
            </w:r>
          </w:p>
        </w:tc>
        <w:tc>
          <w:tcPr>
            <w:tcW w:w="13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1,011,285</w:t>
            </w:r>
          </w:p>
        </w:tc>
        <w:tc>
          <w:tcPr>
            <w:tcW w:w="1040" w:type="dxa"/>
            <w:vAlign w:val="bottom"/>
            <w:gridSpan w:val="3"/>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$0.7659</w:t>
            </w:r>
          </w:p>
        </w:tc>
        <w:tc>
          <w:tcPr>
            <w:tcW w:w="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2/17/2030</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2"/>
        </w:trPr>
        <w:tc>
          <w:tcPr>
            <w:tcW w:w="2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400" w:type="dxa"/>
            <w:vAlign w:val="bottom"/>
            <w:gridSpan w:val="2"/>
            <w:vMerge w:val="continue"/>
            <w:shd w:val="clear" w:color="auto" w:fill="CCEEFF"/>
          </w:tcPr>
          <w:p>
            <w:pPr>
              <w:spacing w:after="0"/>
              <w:rPr>
                <w:sz w:val="7"/>
                <w:szCs w:val="7"/>
                <w:color w:val="auto"/>
              </w:rPr>
            </w:pPr>
          </w:p>
        </w:tc>
        <w:tc>
          <w:tcPr>
            <w:tcW w:w="1340" w:type="dxa"/>
            <w:vAlign w:val="bottom"/>
            <w:gridSpan w:val="3"/>
            <w:vMerge w:val="continue"/>
            <w:shd w:val="clear" w:color="auto" w:fill="CCEEFF"/>
          </w:tcPr>
          <w:p>
            <w:pPr>
              <w:spacing w:after="0"/>
              <w:rPr>
                <w:sz w:val="7"/>
                <w:szCs w:val="7"/>
                <w:color w:val="auto"/>
              </w:rPr>
            </w:pPr>
          </w:p>
        </w:tc>
        <w:tc>
          <w:tcPr>
            <w:tcW w:w="1040" w:type="dxa"/>
            <w:vAlign w:val="bottom"/>
            <w:gridSpan w:val="3"/>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0"/>
                <w:szCs w:val="20"/>
                <w:color w:val="auto"/>
                <w:vertAlign w:val="superscript"/>
              </w:rPr>
              <w:t>(5)</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788,125</w:t>
            </w:r>
          </w:p>
        </w:tc>
        <w:tc>
          <w:tcPr>
            <w:tcW w:w="1040" w:type="dxa"/>
            <w:vAlign w:val="bottom"/>
            <w:gridSpan w:val="3"/>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$7.62</w:t>
            </w:r>
          </w:p>
        </w:tc>
        <w:tc>
          <w:tcPr>
            <w:tcW w:w="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9/30/2031</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2"/>
        </w:trPr>
        <w:tc>
          <w:tcPr>
            <w:tcW w:w="2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40" w:type="dxa"/>
            <w:vAlign w:val="bottom"/>
            <w:gridSpan w:val="3"/>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0"/>
                <w:szCs w:val="20"/>
                <w:color w:val="auto"/>
                <w:vertAlign w:val="superscript"/>
              </w:rPr>
              <w:t>(5)</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1,182,187</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5,272,552</w:t>
            </w:r>
          </w:p>
        </w:tc>
        <w:tc>
          <w:tcPr>
            <w:tcW w:w="0" w:type="dxa"/>
            <w:vAlign w:val="bottom"/>
          </w:tcPr>
          <w:p>
            <w:pPr>
              <w:spacing w:after="0"/>
              <w:rPr>
                <w:sz w:val="1"/>
                <w:szCs w:val="1"/>
                <w:color w:val="auto"/>
              </w:rPr>
            </w:pPr>
          </w:p>
        </w:tc>
      </w:tr>
      <w:tr>
        <w:trPr>
          <w:trHeight w:val="397"/>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(6)</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223,830</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309,334</w:t>
            </w:r>
          </w:p>
        </w:tc>
        <w:tc>
          <w:tcPr>
            <w:tcW w:w="0" w:type="dxa"/>
            <w:vAlign w:val="bottom"/>
          </w:tcPr>
          <w:p>
            <w:pPr>
              <w:spacing w:after="0"/>
              <w:rPr>
                <w:sz w:val="1"/>
                <w:szCs w:val="1"/>
                <w:color w:val="auto"/>
              </w:rPr>
            </w:pPr>
          </w:p>
        </w:tc>
      </w:tr>
      <w:tr>
        <w:trPr>
          <w:trHeight w:val="398"/>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(7)</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35,054</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35,054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48,444</w:t>
            </w:r>
          </w:p>
        </w:tc>
        <w:tc>
          <w:tcPr>
            <w:tcW w:w="0" w:type="dxa"/>
            <w:vAlign w:val="bottom"/>
          </w:tcPr>
          <w:p>
            <w:pPr>
              <w:spacing w:after="0"/>
              <w:rPr>
                <w:sz w:val="1"/>
                <w:szCs w:val="1"/>
                <w:color w:val="auto"/>
              </w:rPr>
            </w:pPr>
          </w:p>
        </w:tc>
      </w:tr>
      <w:tr>
        <w:trPr>
          <w:trHeight w:val="397"/>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(8)</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197,635</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273,133</w:t>
            </w:r>
          </w:p>
        </w:tc>
        <w:tc>
          <w:tcPr>
            <w:tcW w:w="0" w:type="dxa"/>
            <w:vAlign w:val="bottom"/>
          </w:tcPr>
          <w:p>
            <w:pPr>
              <w:spacing w:after="0"/>
              <w:rPr>
                <w:sz w:val="1"/>
                <w:szCs w:val="1"/>
                <w:color w:val="auto"/>
              </w:rPr>
            </w:pPr>
          </w:p>
        </w:tc>
      </w:tr>
      <w:tr>
        <w:trPr>
          <w:trHeight w:val="398"/>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(8)</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83,818</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115,836</w:t>
            </w:r>
          </w:p>
        </w:tc>
        <w:tc>
          <w:tcPr>
            <w:tcW w:w="0" w:type="dxa"/>
            <w:vAlign w:val="bottom"/>
          </w:tcPr>
          <w:p>
            <w:pPr>
              <w:spacing w:after="0"/>
              <w:rPr>
                <w:sz w:val="1"/>
                <w:szCs w:val="1"/>
                <w:color w:val="auto"/>
              </w:rPr>
            </w:pPr>
          </w:p>
        </w:tc>
      </w:tr>
      <w:tr>
        <w:trPr>
          <w:trHeight w:val="398"/>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(9)</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201,720</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278,778</w:t>
            </w:r>
          </w:p>
        </w:tc>
        <w:tc>
          <w:tcPr>
            <w:tcW w:w="0" w:type="dxa"/>
            <w:vAlign w:val="bottom"/>
          </w:tcPr>
          <w:p>
            <w:pPr>
              <w:spacing w:after="0"/>
              <w:rPr>
                <w:sz w:val="1"/>
                <w:szCs w:val="1"/>
                <w:color w:val="auto"/>
              </w:rPr>
            </w:pPr>
          </w:p>
        </w:tc>
      </w:tr>
      <w:tr>
        <w:trPr>
          <w:trHeight w:val="110"/>
        </w:trPr>
        <w:tc>
          <w:tcPr>
            <w:tcW w:w="2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2180" w:type="dxa"/>
            <w:vAlign w:val="bottom"/>
          </w:tcPr>
          <w:p>
            <w:pPr>
              <w:ind w:left="20"/>
              <w:spacing w:after="0"/>
              <w:rPr>
                <w:sz w:val="20"/>
                <w:szCs w:val="20"/>
                <w:color w:val="auto"/>
              </w:rPr>
            </w:pPr>
            <w:r>
              <w:rPr>
                <w:rFonts w:ascii="Arial" w:cs="Arial" w:eastAsia="Arial" w:hAnsi="Arial"/>
                <w:sz w:val="16"/>
                <w:szCs w:val="16"/>
                <w:color w:val="auto"/>
              </w:rPr>
              <w:t>Isaac Ro</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0"/>
                <w:szCs w:val="20"/>
                <w:color w:val="auto"/>
                <w:vertAlign w:val="superscript"/>
              </w:rPr>
              <w:t>(10)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108,507</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470,197</w:t>
            </w:r>
          </w:p>
        </w:tc>
        <w:tc>
          <w:tcPr>
            <w:tcW w:w="1040" w:type="dxa"/>
            <w:vAlign w:val="bottom"/>
            <w:gridSpan w:val="3"/>
          </w:tcPr>
          <w:p>
            <w:pPr>
              <w:jc w:val="right"/>
              <w:ind w:right="2"/>
              <w:spacing w:after="0"/>
              <w:rPr>
                <w:sz w:val="20"/>
                <w:szCs w:val="20"/>
                <w:color w:val="auto"/>
              </w:rPr>
            </w:pPr>
            <w:r>
              <w:rPr>
                <w:rFonts w:ascii="Arial" w:cs="Arial" w:eastAsia="Arial" w:hAnsi="Arial"/>
                <w:sz w:val="16"/>
                <w:szCs w:val="16"/>
                <w:color w:val="auto"/>
              </w:rPr>
              <w:t>$7.62</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9/30/2031</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8"/>
        </w:trPr>
        <w:tc>
          <w:tcPr>
            <w:tcW w:w="218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0"/>
                <w:szCs w:val="20"/>
                <w:color w:val="auto"/>
                <w:vertAlign w:val="superscript"/>
              </w:rPr>
              <w:t>(10)</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812,500</w:t>
            </w:r>
          </w:p>
        </w:tc>
        <w:tc>
          <w:tcPr>
            <w:tcW w:w="5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3,623,750</w:t>
            </w:r>
          </w:p>
        </w:tc>
        <w:tc>
          <w:tcPr>
            <w:tcW w:w="0" w:type="dxa"/>
            <w:vAlign w:val="bottom"/>
          </w:tcPr>
          <w:p>
            <w:pPr>
              <w:spacing w:after="0"/>
              <w:rPr>
                <w:sz w:val="1"/>
                <w:szCs w:val="1"/>
                <w:color w:val="auto"/>
              </w:rPr>
            </w:pPr>
          </w:p>
        </w:tc>
      </w:tr>
      <w:tr>
        <w:trPr>
          <w:trHeight w:val="397"/>
        </w:trPr>
        <w:tc>
          <w:tcPr>
            <w:tcW w:w="218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(11)</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197,848</w:t>
            </w:r>
          </w:p>
        </w:tc>
        <w:tc>
          <w:tcPr>
            <w:tcW w:w="5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273,428</w:t>
            </w:r>
          </w:p>
        </w:tc>
        <w:tc>
          <w:tcPr>
            <w:tcW w:w="0" w:type="dxa"/>
            <w:vAlign w:val="bottom"/>
          </w:tcPr>
          <w:p>
            <w:pPr>
              <w:spacing w:after="0"/>
              <w:rPr>
                <w:sz w:val="1"/>
                <w:szCs w:val="1"/>
                <w:color w:val="auto"/>
              </w:rPr>
            </w:pPr>
          </w:p>
        </w:tc>
      </w:tr>
      <w:tr>
        <w:trPr>
          <w:trHeight w:val="110"/>
        </w:trPr>
        <w:tc>
          <w:tcPr>
            <w:tcW w:w="2180" w:type="dxa"/>
            <w:vAlign w:val="bottom"/>
          </w:tcPr>
          <w:p>
            <w:pPr>
              <w:spacing w:after="0"/>
              <w:rPr>
                <w:sz w:val="9"/>
                <w:szCs w:val="9"/>
                <w:color w:val="auto"/>
              </w:rPr>
            </w:pPr>
          </w:p>
        </w:tc>
        <w:tc>
          <w:tcPr>
            <w:tcW w:w="1340" w:type="dxa"/>
            <w:vAlign w:val="bottom"/>
            <w:gridSpan w:val="2"/>
          </w:tcPr>
          <w:p>
            <w:pPr>
              <w:spacing w:after="0"/>
              <w:rPr>
                <w:sz w:val="9"/>
                <w:szCs w:val="9"/>
                <w:color w:val="auto"/>
              </w:rPr>
            </w:pPr>
          </w:p>
        </w:tc>
        <w:tc>
          <w:tcPr>
            <w:tcW w:w="14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James Coffin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8/31/2017</w:t>
            </w:r>
            <w:r>
              <w:rPr>
                <w:rFonts w:ascii="Arial" w:cs="Arial" w:eastAsia="Arial" w:hAnsi="Arial"/>
                <w:sz w:val="20"/>
                <w:szCs w:val="20"/>
                <w:color w:val="auto"/>
                <w:vertAlign w:val="superscript"/>
              </w:rPr>
              <w:t>(12)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2,167,093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$0.1529</w:t>
            </w:r>
          </w:p>
        </w:tc>
        <w:tc>
          <w:tcPr>
            <w:tcW w:w="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8/30/2027</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2"/>
        </w:trPr>
        <w:tc>
          <w:tcPr>
            <w:tcW w:w="2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2/18/2020</w:t>
            </w:r>
            <w:r>
              <w:rPr>
                <w:rFonts w:ascii="Arial" w:cs="Arial" w:eastAsia="Arial" w:hAnsi="Arial"/>
                <w:sz w:val="20"/>
                <w:szCs w:val="20"/>
                <w:color w:val="auto"/>
                <w:vertAlign w:val="superscript"/>
              </w:rPr>
              <w:t>(4)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457,659</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355,961</w:t>
            </w:r>
          </w:p>
        </w:tc>
        <w:tc>
          <w:tcPr>
            <w:tcW w:w="104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$0.7659</w:t>
            </w:r>
          </w:p>
        </w:tc>
        <w:tc>
          <w:tcPr>
            <w:tcW w:w="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2/17/2030</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2"/>
        </w:trPr>
        <w:tc>
          <w:tcPr>
            <w:tcW w:w="2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0"/>
                <w:szCs w:val="20"/>
                <w:color w:val="auto"/>
                <w:vertAlign w:val="superscript"/>
              </w:rPr>
              <w:t>(5)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15,011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225,179</w:t>
            </w:r>
          </w:p>
        </w:tc>
        <w:tc>
          <w:tcPr>
            <w:tcW w:w="104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$7.62</w:t>
            </w: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9/30/2031</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8"/>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0"/>
                <w:szCs w:val="20"/>
                <w:color w:val="auto"/>
                <w:vertAlign w:val="superscript"/>
              </w:rPr>
              <w:t>(5)</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337,767</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1,506,442</w:t>
            </w:r>
          </w:p>
        </w:tc>
        <w:tc>
          <w:tcPr>
            <w:tcW w:w="0" w:type="dxa"/>
            <w:vAlign w:val="bottom"/>
          </w:tcPr>
          <w:p>
            <w:pPr>
              <w:spacing w:after="0"/>
              <w:rPr>
                <w:sz w:val="1"/>
                <w:szCs w:val="1"/>
                <w:color w:val="auto"/>
              </w:rPr>
            </w:pPr>
          </w:p>
        </w:tc>
      </w:tr>
      <w:tr>
        <w:trPr>
          <w:trHeight w:val="398"/>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(6)</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189,119</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261,363</w:t>
            </w:r>
          </w:p>
        </w:tc>
        <w:tc>
          <w:tcPr>
            <w:tcW w:w="0" w:type="dxa"/>
            <w:vAlign w:val="bottom"/>
          </w:tcPr>
          <w:p>
            <w:pPr>
              <w:spacing w:after="0"/>
              <w:rPr>
                <w:sz w:val="1"/>
                <w:szCs w:val="1"/>
                <w:color w:val="auto"/>
              </w:rPr>
            </w:pPr>
          </w:p>
        </w:tc>
      </w:tr>
      <w:tr>
        <w:trPr>
          <w:trHeight w:val="398"/>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(13)</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29,056</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40,155</w:t>
            </w:r>
          </w:p>
        </w:tc>
        <w:tc>
          <w:tcPr>
            <w:tcW w:w="0" w:type="dxa"/>
            <w:vAlign w:val="bottom"/>
          </w:tcPr>
          <w:p>
            <w:pPr>
              <w:spacing w:after="0"/>
              <w:rPr>
                <w:sz w:val="1"/>
                <w:szCs w:val="1"/>
                <w:color w:val="auto"/>
              </w:rPr>
            </w:pPr>
          </w:p>
        </w:tc>
      </w:tr>
      <w:tr>
        <w:trPr>
          <w:trHeight w:val="398"/>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(14)</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41,946</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57,968</w:t>
            </w:r>
          </w:p>
        </w:tc>
        <w:tc>
          <w:tcPr>
            <w:tcW w:w="0" w:type="dxa"/>
            <w:vAlign w:val="bottom"/>
          </w:tcPr>
          <w:p>
            <w:pPr>
              <w:spacing w:after="0"/>
              <w:rPr>
                <w:sz w:val="1"/>
                <w:szCs w:val="1"/>
                <w:color w:val="auto"/>
              </w:rPr>
            </w:pPr>
          </w:p>
        </w:tc>
      </w:tr>
      <w:tr>
        <w:trPr>
          <w:trHeight w:val="110"/>
        </w:trPr>
        <w:tc>
          <w:tcPr>
            <w:tcW w:w="2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closing market price of our Class A common stock on December 31, 2021 was $4.46 per share.</w:t>
      </w:r>
    </w:p>
    <w:p>
      <w:pPr>
        <w:ind w:left="320" w:right="20" w:hanging="314"/>
        <w:spacing w:after="0" w:line="237" w:lineRule="auto"/>
        <w:tabs>
          <w:tab w:leader="none" w:pos="31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outstanding stock options were granted under our 2021 Equity Incentive Plan and Legacy Sema4’s 2017 Equity Incentive Plan, as applicable. The outstanding RSUs were granted under our 2021 Equity Incentive Plan and pursuant to the Prior Merger Agreement, as applicable.</w:t>
      </w:r>
    </w:p>
    <w:p>
      <w:pPr>
        <w:ind w:left="320" w:hanging="314"/>
        <w:spacing w:after="0" w:line="237"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ind w:left="320" w:right="20" w:hanging="314"/>
        <w:spacing w:after="0" w:line="237" w:lineRule="auto"/>
        <w:tabs>
          <w:tab w:leader="none" w:pos="31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stock option vests at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ind w:left="320" w:right="20" w:hanging="314"/>
        <w:spacing w:after="0" w:line="237" w:lineRule="auto"/>
        <w:tabs>
          <w:tab w:leader="none" w:pos="31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stock option vests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ind w:left="320" w:right="60" w:hanging="314"/>
        <w:spacing w:after="0" w:line="237" w:lineRule="auto"/>
        <w:tabs>
          <w:tab w:leader="none" w:pos="31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stock options and RSU vest in quarterly installments over a four-year period. 100% of the shares underlying the stock options and RSUs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ind w:left="320" w:right="80" w:hanging="314"/>
        <w:spacing w:after="0" w:line="237" w:lineRule="auto"/>
        <w:tabs>
          <w:tab w:leader="none" w:pos="31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w:t>
      </w:r>
    </w:p>
    <w:p>
      <w:pPr>
        <w:ind w:left="320" w:right="40" w:hanging="314"/>
        <w:spacing w:after="0" w:line="242" w:lineRule="auto"/>
        <w:tabs>
          <w:tab w:leader="none" w:pos="31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12,254 of the RSUs, and will be satisfied with respect to the remainder of the RSUs over four vesting periods, subject to the officer’s continued service to us on each service-based vesting date.</w:t>
      </w:r>
    </w:p>
    <w:p>
      <w:pPr>
        <w:sectPr>
          <w:pgSz w:w="11900" w:h="16838" w:orient="portrait"/>
          <w:cols w:equalWidth="0" w:num="1">
            <w:col w:w="11240"/>
          </w:cols>
          <w:pgMar w:left="320" w:top="1393" w:right="339" w:bottom="5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537" w:gutter="0" w:footer="0" w:header="0"/>
          <w:type w:val="continuous"/>
        </w:sectPr>
      </w:pPr>
    </w:p>
    <w:bookmarkStart w:id="161" w:name="page162"/>
    <w:bookmarkEnd w:id="161"/>
    <w:p>
      <w:pPr>
        <w:spacing w:after="0" w:line="33" w:lineRule="exact"/>
        <w:rPr>
          <w:sz w:val="20"/>
          <w:szCs w:val="20"/>
          <w:color w:val="auto"/>
        </w:rPr>
      </w:pPr>
    </w:p>
    <w:p>
      <w:pPr>
        <w:ind w:left="320" w:right="60" w:hanging="314"/>
        <w:spacing w:after="0" w:line="249" w:lineRule="auto"/>
        <w:tabs>
          <w:tab w:leader="none" w:pos="31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54,532 of the RSUs, and will be satisfied with respect to the remainder of the RSUs over five semi-annual periods, subject to the officer’s continued service to us on each service-based vesting date.</w:t>
      </w:r>
    </w:p>
    <w:p>
      <w:pPr>
        <w:spacing w:after="0" w:line="1" w:lineRule="exact"/>
        <w:rPr>
          <w:rFonts w:ascii="Arial" w:cs="Arial" w:eastAsia="Arial" w:hAnsi="Arial"/>
          <w:sz w:val="14"/>
          <w:szCs w:val="14"/>
          <w:color w:val="auto"/>
        </w:rPr>
      </w:pPr>
    </w:p>
    <w:p>
      <w:pPr>
        <w:ind w:left="320" w:right="80" w:hanging="314"/>
        <w:spacing w:after="0" w:line="237" w:lineRule="auto"/>
        <w:tabs>
          <w:tab w:leader="none" w:pos="31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100,737 of the RSUs, and will be satisfied with respect to the remainder of the RSUs over eight quarterly periods, subject to the officer’s continued service to us on each service-based vesting date.</w:t>
      </w:r>
    </w:p>
    <w:p>
      <w:pPr>
        <w:ind w:left="320" w:right="40" w:hanging="314"/>
        <w:spacing w:after="0" w:line="276" w:lineRule="auto"/>
        <w:tabs>
          <w:tab w:leader="none" w:pos="317" w:val="left"/>
        </w:tabs>
        <w:numPr>
          <w:ilvl w:val="0"/>
          <w:numId w:val="68"/>
        </w:numPr>
        <w:rPr>
          <w:rFonts w:ascii="Arial" w:cs="Arial" w:eastAsia="Arial" w:hAnsi="Arial"/>
          <w:sz w:val="12"/>
          <w:szCs w:val="12"/>
          <w:color w:val="auto"/>
        </w:rPr>
      </w:pPr>
      <w:r>
        <w:rPr>
          <w:rFonts w:ascii="Arial" w:cs="Arial" w:eastAsia="Arial" w:hAnsi="Arial"/>
          <w:sz w:val="12"/>
          <w:szCs w:val="12"/>
          <w:color w:val="auto"/>
        </w:rPr>
        <w:t>1/8th of the total shares underlying the stock options and RSUs vested on October 25, 2021, 1/16th of the total shares vested on November 8, 2021, and the RSUs thereafter vests as to 1/16th of the total shares underlying the award in quarterly installments until fully vested on February 8, 2025, subject to the officer's continued service to us on each vesting date. 100% of the shares underlying the stock options and RSUs will vest (a) in the event that the service provider’s option is not assumed or replaced by the buyer in connection with a change of control transaction or</w:t>
      </w:r>
    </w:p>
    <w:p>
      <w:pPr>
        <w:ind w:left="320"/>
        <w:spacing w:after="0" w:line="237" w:lineRule="auto"/>
        <w:rPr>
          <w:rFonts w:ascii="Arial" w:cs="Arial" w:eastAsia="Arial" w:hAnsi="Arial"/>
          <w:sz w:val="12"/>
          <w:szCs w:val="12"/>
          <w:color w:val="auto"/>
        </w:rPr>
      </w:pPr>
      <w:r>
        <w:rPr>
          <w:rFonts w:ascii="Arial" w:cs="Arial" w:eastAsia="Arial" w:hAnsi="Arial"/>
          <w:sz w:val="14"/>
          <w:szCs w:val="14"/>
          <w:color w:val="auto"/>
        </w:rPr>
        <w:t>(b) upon termination of the service provider’s employment by us without cause or by the service provider for good reason in connection with a change in control transaction.</w:t>
      </w:r>
    </w:p>
    <w:p>
      <w:pPr>
        <w:ind w:left="320" w:right="20" w:hanging="314"/>
        <w:spacing w:after="0" w:line="237" w:lineRule="auto"/>
        <w:tabs>
          <w:tab w:leader="none" w:pos="311"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24,701 of the RSUs, and will be satisfied with respect to the remainder of the RSUs over 14 quarterly periods, subject to the officer’s continued service to us on each service-based vesting date.</w:t>
      </w:r>
    </w:p>
    <w:p>
      <w:pPr>
        <w:ind w:left="320" w:hanging="314"/>
        <w:spacing w:after="0" w:line="237" w:lineRule="auto"/>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jc w:val="both"/>
        <w:ind w:left="320" w:right="80" w:hanging="314"/>
        <w:spacing w:after="0" w:line="237" w:lineRule="auto"/>
        <w:tabs>
          <w:tab w:leader="none" w:pos="317"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6,263 of the RSUs, and will be satisfied with respect to the remainder of the RSUs over six quarterly periods, subject to the officer’s continued service to us on each service-based vesting date. Dr. Coffin left the Company in February 2022.</w:t>
      </w:r>
    </w:p>
    <w:p>
      <w:pPr>
        <w:ind w:left="320" w:right="40" w:hanging="314"/>
        <w:spacing w:after="0" w:line="242" w:lineRule="auto"/>
        <w:tabs>
          <w:tab w:leader="none" w:pos="317"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29,196 of the RSUs, and will be satisfied with respect to the remainder of the RSUs over four vesting periods, subject to the officer’s continued service to us on each service-based vesting date. Dr. Coffin left the Company in February 2022.</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Our Current Named Executive Officers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Each of our current named executive officers has entered into an employment agreement with us that provides for at-will employment and includes each named executive officer’s base salary, a discretionary incentive bonus opportunity and standard employee benefit plan participation. The employment agreements provide for an annual base salary of $675,000 and a target annual bonus of 100% of annual base salary, in the case of Dr. Schadt, and an annual base salary of $400,000 and a target annual bonus of 50% of annual base salary, in the case of Mr. Ro. The employment agreements also provide for the potential payments and benefits upon a termination of employment or in connection with a change in control as described below in “—</w:t>
      </w:r>
      <w:r>
        <w:rPr>
          <w:rFonts w:ascii="Arial" w:cs="Arial" w:eastAsia="Arial" w:hAnsi="Arial"/>
          <w:sz w:val="15"/>
          <w:szCs w:val="15"/>
          <w:i w:val="1"/>
          <w:iCs w:val="1"/>
          <w:color w:val="auto"/>
        </w:rPr>
        <w:t>Potential Payments</w:t>
      </w:r>
      <w:r>
        <w:rPr>
          <w:rFonts w:ascii="Arial" w:cs="Arial" w:eastAsia="Arial" w:hAnsi="Arial"/>
          <w:sz w:val="15"/>
          <w:szCs w:val="15"/>
          <w:color w:val="auto"/>
        </w:rPr>
        <w:t xml:space="preserve"> </w:t>
      </w:r>
      <w:r>
        <w:rPr>
          <w:rFonts w:ascii="Arial" w:cs="Arial" w:eastAsia="Arial" w:hAnsi="Arial"/>
          <w:sz w:val="15"/>
          <w:szCs w:val="15"/>
          <w:i w:val="1"/>
          <w:iCs w:val="1"/>
          <w:color w:val="auto"/>
        </w:rPr>
        <w:t>upon Termination or Change in Control</w:t>
      </w:r>
      <w:r>
        <w:rPr>
          <w:rFonts w:ascii="Arial" w:cs="Arial" w:eastAsia="Arial" w:hAnsi="Arial"/>
          <w:sz w:val="15"/>
          <w:szCs w:val="15"/>
          <w:color w:val="auto"/>
        </w:rPr>
        <w:t>.” In addition, Dr’s Schadt’s and Mr. Ro’s employment agreements provided for each to receive certain equity-based</w:t>
      </w:r>
      <w:r>
        <w:rPr>
          <w:rFonts w:ascii="Arial" w:cs="Arial" w:eastAsia="Arial" w:hAnsi="Arial"/>
          <w:sz w:val="15"/>
          <w:szCs w:val="15"/>
          <w:i w:val="1"/>
          <w:iCs w:val="1"/>
          <w:color w:val="auto"/>
        </w:rPr>
        <w:t xml:space="preserve"> </w:t>
      </w:r>
      <w:r>
        <w:rPr>
          <w:rFonts w:ascii="Arial" w:cs="Arial" w:eastAsia="Arial" w:hAnsi="Arial"/>
          <w:sz w:val="15"/>
          <w:szCs w:val="15"/>
          <w:color w:val="auto"/>
        </w:rPr>
        <w:t>incentive awards following the closing of the business combination, which awards were granted under the 2021 Equity Incentive Plan (the “2021 EIP”) and are subject to service-based vesting conditions. For more information, see “—</w:t>
      </w:r>
      <w:r>
        <w:rPr>
          <w:rFonts w:ascii="Arial" w:cs="Arial" w:eastAsia="Arial" w:hAnsi="Arial"/>
          <w:sz w:val="15"/>
          <w:szCs w:val="15"/>
          <w:i w:val="1"/>
          <w:iCs w:val="1"/>
          <w:color w:val="auto"/>
        </w:rPr>
        <w:t>Outstanding Equity Awards at 2021 Fiscal Year-End</w:t>
      </w:r>
      <w:r>
        <w:rPr>
          <w:rFonts w:ascii="Arial" w:cs="Arial" w:eastAsia="Arial" w:hAnsi="Arial"/>
          <w:sz w:val="15"/>
          <w:szCs w:val="15"/>
          <w:color w:val="auto"/>
        </w:rPr>
        <w:t>.”</w:t>
      </w:r>
    </w:p>
    <w:p>
      <w:pPr>
        <w:spacing w:after="0" w:line="10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pursuant to their employment agreements, each of Dr. Schadt and Mr. Ro agreed that, during the nine-month period following the closing of our business combination, 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our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Pursuant to his employment agreement, if Dr. Schadt is terminated without “cause” or resigns for “good reason” (as such terms are defined in his employment agreement) other than in connection with a change in control, he will be entitled to receive 24 months of base salary continuation and continued coverage under our group health benefit plans, subject to his execution of a release of claims. If instead such termination occurs within the period commencing three months prior to and ending 12 months following a change in control, he will be entitled to receive 24 months of base salary continuation, a lump sum payment equal to two times his target annual bonus, 24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jc w:val="both"/>
        <w:ind w:right="20"/>
        <w:spacing w:after="0" w:line="264" w:lineRule="auto"/>
        <w:rPr>
          <w:sz w:val="20"/>
          <w:szCs w:val="20"/>
          <w:color w:val="auto"/>
        </w:rPr>
      </w:pPr>
      <w:r>
        <w:rPr>
          <w:rFonts w:ascii="Arial" w:cs="Arial" w:eastAsia="Arial" w:hAnsi="Arial"/>
          <w:sz w:val="18"/>
          <w:szCs w:val="18"/>
          <w:color w:val="auto"/>
        </w:rPr>
        <w:t>of continued coverage under our group health benefit plans, and accelerated vesting of his outstanding equity-based compensation awards, subject to his execution of a release of claims.</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Pursuant to his employment agreement, if Mr. Ro is terminated without “cause” or resigns for “good reason” (as such terms are defined in his employment agreement) other than in connection with a change in control, he will be entitled to receive 9 months of base salary continuation and 12 months of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described above in “—</w:t>
      </w:r>
      <w:r>
        <w:rPr>
          <w:rFonts w:ascii="Arial" w:cs="Arial" w:eastAsia="Arial" w:hAnsi="Arial"/>
          <w:sz w:val="18"/>
          <w:szCs w:val="18"/>
          <w:i w:val="1"/>
          <w:iCs w:val="1"/>
          <w:color w:val="auto"/>
        </w:rPr>
        <w:t>Outstanding Equity Awards at 2021 Fiscal Year-End</w:t>
      </w:r>
      <w:r>
        <w:rPr>
          <w:rFonts w:ascii="Arial" w:cs="Arial" w:eastAsia="Arial" w:hAnsi="Arial"/>
          <w:sz w:val="18"/>
          <w:szCs w:val="18"/>
          <w:color w:val="auto"/>
        </w:rPr>
        <w:t>”, a portion of the stock options held by Dr. Schadt would vest upon a change in control transaction.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with Our Former Named Executive Officer</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connection with Dr. Coffin’s departure from our company in February 2022, we and Dr. Coffin entered into a separation agreement (the “Separation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Agreement”), pursuant to which Dr. Coffin received the following severance benefits in exchange for his execution of release of claims:</w:t>
      </w:r>
    </w:p>
    <w:p>
      <w:pPr>
        <w:spacing w:after="0" w:line="153" w:lineRule="exact"/>
        <w:rPr>
          <w:sz w:val="20"/>
          <w:szCs w:val="20"/>
          <w:color w:val="auto"/>
        </w:rPr>
      </w:pP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severance payment equal to 12 months of Dr. Coffin’s annual base salary in the amount of $550,000;</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discretionary 2021 annual bonus payment in the amount of $180,370;</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12 months of reimbursement of COBRA continuation benefits;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accelerated vesting of 25,425 stock options that were otherwise scheduled to vest on February 2, 2022 in the amount of $58,233, which is calculated based on the fair value estimated as of the effective date of his separation agreement;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extended period to exercise certain of Dr. Coffin’s vested stock options through May 30,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and Other Benefit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2021 Equity Incentive Plan or the 2021 EIP was adopted by our Board and approved by our stockholders in July 2021. The following summarizes the material terms of the 2021 EIP. This summary is qualified in its entirety to the full text of the 2021 EIP.</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Shares reserved. </w:t>
      </w:r>
      <w:r>
        <w:rPr>
          <w:rFonts w:ascii="Arial" w:cs="Arial" w:eastAsia="Arial" w:hAnsi="Arial"/>
          <w:sz w:val="17"/>
          <w:szCs w:val="17"/>
          <w:color w:val="auto"/>
        </w:rPr>
        <w:t>We initially reserved 32,734,983 shares of Class A common stock for issuance pursuant to awards granted under the 2021 EIP,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shares of our Class A common stock previously reserved but unissued under Legacy Sema4’s 2017 Equity Incentive Plan that became available for issuance under the 2021 Plan. The number of shares reserved for issuance under the 2021 EIP will increase automatically on January 1 of each of 2022 through 2031 by the number of shares equal to 5% of the aggregate number of outstanding shares of all classes of our Class A common stock as of the immediately preceding December 31, or a lesser number as may be determined by our Board. On January 25, 2022, an additional 12,128,941 shares became available for future issuance under the 2021 EIP pursuant to the plan’s evergreen provision.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shares set forth below will again be available for issuance pursuant to awards granted under our 2021 EIP:</w:t>
      </w:r>
    </w:p>
    <w:p>
      <w:pPr>
        <w:spacing w:after="0" w:line="164" w:lineRule="exact"/>
        <w:rPr>
          <w:sz w:val="20"/>
          <w:szCs w:val="20"/>
          <w:color w:val="auto"/>
        </w:rPr>
      </w:pPr>
    </w:p>
    <w:p>
      <w:pPr>
        <w:ind w:left="640" w:hanging="316"/>
        <w:spacing w:after="0" w:line="264" w:lineRule="auto"/>
        <w:tabs>
          <w:tab w:leader="none" w:pos="6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shares subject to options or SARs granted under our 2021 EIP that cease to be subject to the option or SAR for any reason other than exercise of the option or SAR;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are subsequently forfeited or repurchased by us at the original issue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3" w:name="page164"/>
    <w:bookmarkEnd w:id="163"/>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otherwise terminate without such shares being issued;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are surrendered, cancelled, or exchanged for cash or a different award (or combination thereof);</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issuable upon the exercise of options or subject to other awards granted under the 2021 EIP that cease to be subject to such options or other awards, by forfeiture or otherwise, after the effective date of the 2021 EIP;</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subject to awards granted under the 2021 EIP that are forfeited or repurchased by us at the original price after the effective date of the 2021 EIP; and</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subject to awards under the 2021 EIP that are used to pay the exercise price of an option or withheld to satisfy the tax withholding obligations related to any award.</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2021 EIP will be administered by our compensation committee, or by our Board acting in place of our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of the 2021 EIP, the administrator will have the authority, among other things, to select the persons to whom awards may be granted, construe and interpret our 2021 EIP as well as to determine the terms of such awards and prescribe, amend and rescind the rules and regulations relating to the plan or any award granted thereunder. The 2021 EIP provides that the administrator may delegate its authority, including the authority to grant awards, to one or more executive officers to the extent permitted by applicable law, provided that awards granted to non-employee directors may only be determined by our Board.</w:t>
      </w:r>
    </w:p>
    <w:p>
      <w:pPr>
        <w:spacing w:after="0" w:line="1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2021 EIP provides for the grant of both incentive stock options intended to qualify under Section 422 of the Code, and nonqualified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purchase shares of our Class A common stock at a stated exercise price. Incentive stock options may only be granted to employees, including officers and directors who are also employees. The exercise price of stock options granted under the 2021 EIP must be at least equal to the fair market value of our Class A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Class A common stock on the date of grant.</w:t>
      </w:r>
    </w:p>
    <w:p>
      <w:pPr>
        <w:spacing w:after="0" w:line="1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three months in the case of termination without cause (except due to a participant’s death or disability), for a period of 12 months in the case of termination due to the participant’s death or disability, or such longer or shorter period as the administrator may provide, and for a period of 24 months in the case of termination due to the participant’s retirement (consistent with our policies regarding retirement). Stock options generally terminate upon a participant’s termination of employment for cause. The maximum term of options granted under our 2021 EIP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1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Restricted stock awards (“</w:t>
      </w:r>
      <w:r>
        <w:rPr>
          <w:rFonts w:ascii="Arial" w:cs="Arial" w:eastAsia="Arial" w:hAnsi="Arial"/>
          <w:sz w:val="18"/>
          <w:szCs w:val="18"/>
          <w:color w:val="auto"/>
        </w:rPr>
        <w:t>RSA</w:t>
      </w:r>
      <w:r>
        <w:rPr>
          <w:rFonts w:ascii="Arial" w:cs="Arial" w:eastAsia="Arial" w:hAnsi="Arial"/>
          <w:sz w:val="18"/>
          <w:szCs w:val="18"/>
          <w:i w:val="1"/>
          <w:iCs w:val="1"/>
          <w:color w:val="auto"/>
        </w:rPr>
        <w:t xml:space="preserve">”). </w:t>
      </w:r>
      <w:r>
        <w:rPr>
          <w:rFonts w:ascii="Arial" w:cs="Arial" w:eastAsia="Arial" w:hAnsi="Arial"/>
          <w:sz w:val="18"/>
          <w:szCs w:val="18"/>
          <w:color w:val="auto"/>
        </w:rPr>
        <w:t>An RSA is an offer by us to grant or sell shares of our Class A common stock subject to restrictions, which may lapse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satisfaction of service or achievement of performance conditions. The price, if any, of an RSA will be determined by the administrator. Unless otherwise determined by the administrator, vesting will cease on the date the participant no longer provides services to us and unvested shares may be forfeited to or repurchased by us.</w:t>
      </w:r>
    </w:p>
    <w:p>
      <w:pPr>
        <w:spacing w:after="0" w:line="13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Stock appreciation rights (“</w:t>
      </w:r>
      <w:r>
        <w:rPr>
          <w:rFonts w:ascii="Arial" w:cs="Arial" w:eastAsia="Arial" w:hAnsi="Arial"/>
          <w:sz w:val="15"/>
          <w:szCs w:val="15"/>
          <w:color w:val="auto"/>
        </w:rPr>
        <w:t>SAR”</w:t>
      </w:r>
      <w:r>
        <w:rPr>
          <w:rFonts w:ascii="Arial" w:cs="Arial" w:eastAsia="Arial" w:hAnsi="Arial"/>
          <w:sz w:val="15"/>
          <w:szCs w:val="15"/>
          <w:i w:val="1"/>
          <w:iCs w:val="1"/>
          <w:color w:val="auto"/>
        </w:rPr>
        <w:t>)</w:t>
      </w:r>
      <w:r>
        <w:rPr>
          <w:rFonts w:ascii="Arial" w:cs="Arial" w:eastAsia="Arial" w:hAnsi="Arial"/>
          <w:sz w:val="15"/>
          <w:szCs w:val="15"/>
          <w:color w:val="auto"/>
        </w:rPr>
        <w:t>. A SAR provides for a payment, in cash or shares of our Class A common stock (up to a specified maximum number</w:t>
      </w:r>
      <w:r>
        <w:rPr>
          <w:rFonts w:ascii="Arial" w:cs="Arial" w:eastAsia="Arial" w:hAnsi="Arial"/>
          <w:sz w:val="15"/>
          <w:szCs w:val="15"/>
          <w:i w:val="1"/>
          <w:iCs w:val="1"/>
          <w:color w:val="auto"/>
        </w:rPr>
        <w:t xml:space="preserve"> </w:t>
      </w:r>
      <w:r>
        <w:rPr>
          <w:rFonts w:ascii="Arial" w:cs="Arial" w:eastAsia="Arial" w:hAnsi="Arial"/>
          <w:sz w:val="15"/>
          <w:szCs w:val="15"/>
          <w:color w:val="auto"/>
        </w:rPr>
        <w:t>of shares, if determined by the administrator), to the participant based upon the difference between the fair market value of our Class A common stock on the date of exercise and a predetermined exercise price, multiplied by the number of shares. The exercise price of a SAR must be at least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4" w:name="page165"/>
    <w:bookmarkEnd w:id="164"/>
    <w:p>
      <w:pPr>
        <w:jc w:val="both"/>
        <w:spacing w:after="0" w:line="264" w:lineRule="auto"/>
        <w:rPr>
          <w:sz w:val="20"/>
          <w:szCs w:val="20"/>
          <w:color w:val="auto"/>
        </w:rPr>
      </w:pPr>
      <w:r>
        <w:rPr>
          <w:rFonts w:ascii="Arial" w:cs="Arial" w:eastAsia="Arial" w:hAnsi="Arial"/>
          <w:sz w:val="18"/>
          <w:szCs w:val="18"/>
          <w:color w:val="auto"/>
        </w:rPr>
        <w:t>fair market value of a share of our Class A common stock on the date of grant. SARs may vest based on service or achievement of performance conditions. No SAR may have a term that is longer than ten years from the date of grant.</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Restricted stock units (“</w:t>
      </w:r>
      <w:r>
        <w:rPr>
          <w:rFonts w:ascii="Arial" w:cs="Arial" w:eastAsia="Arial" w:hAnsi="Arial"/>
          <w:sz w:val="18"/>
          <w:szCs w:val="18"/>
          <w:color w:val="auto"/>
        </w:rPr>
        <w:t>RSU</w:t>
      </w:r>
      <w:r>
        <w:rPr>
          <w:rFonts w:ascii="Arial" w:cs="Arial" w:eastAsia="Arial" w:hAnsi="Arial"/>
          <w:sz w:val="18"/>
          <w:szCs w:val="18"/>
          <w:i w:val="1"/>
          <w:iCs w:val="1"/>
          <w:color w:val="auto"/>
        </w:rPr>
        <w:t xml:space="preserve">”). </w:t>
      </w:r>
      <w:r>
        <w:rPr>
          <w:rFonts w:ascii="Arial" w:cs="Arial" w:eastAsia="Arial" w:hAnsi="Arial"/>
          <w:sz w:val="18"/>
          <w:szCs w:val="18"/>
          <w:color w:val="auto"/>
        </w:rPr>
        <w:t>An RSU represents the right to receive the value of shares of our Class A common stock at a specified date in the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may be subject to vesting based on service or achievement of performance conditions. RSUs may be settled in cash, shares of our Class A common stock or a combination of both as soon as practicable following vesting or on a later date subject to the terms of the 2021 EIP. No RSU may have a term that is longer than ten years from the date of grant.</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Performance awards granted pursuant to the 2021 EIP may be in the form of a cash bonus, or an award of performance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units denominated in shares of our Class A common stock that may be settled in cash, property or by issuance of those shares, subject to the satisfaction or achievement of specified performance conditions.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Stock bonus awards. </w:t>
      </w:r>
      <w:r>
        <w:rPr>
          <w:rFonts w:ascii="Arial" w:cs="Arial" w:eastAsia="Arial" w:hAnsi="Arial"/>
          <w:sz w:val="15"/>
          <w:szCs w:val="15"/>
          <w:color w:val="auto"/>
        </w:rPr>
        <w:t>A stock bonus award provides for payment in the form of cash, shares of our Class A common stock or a combination thereof, based</w:t>
      </w:r>
      <w:r>
        <w:rPr>
          <w:rFonts w:ascii="Arial" w:cs="Arial" w:eastAsia="Arial" w:hAnsi="Arial"/>
          <w:sz w:val="15"/>
          <w:szCs w:val="15"/>
          <w:i w:val="1"/>
          <w:iCs w:val="1"/>
          <w:color w:val="auto"/>
        </w:rPr>
        <w:t xml:space="preserve"> </w:t>
      </w:r>
      <w:r>
        <w:rPr>
          <w:rFonts w:ascii="Arial" w:cs="Arial" w:eastAsia="Arial" w:hAnsi="Arial"/>
          <w:sz w:val="15"/>
          <w:szCs w:val="15"/>
          <w:color w:val="auto"/>
        </w:rPr>
        <w:t>on the fair market value of shares subject to such award 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8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Dividend equivalents rights. </w:t>
      </w:r>
      <w:r>
        <w:rPr>
          <w:rFonts w:ascii="Arial" w:cs="Arial" w:eastAsia="Arial" w:hAnsi="Arial"/>
          <w:sz w:val="15"/>
          <w:szCs w:val="15"/>
          <w:color w:val="auto"/>
        </w:rPr>
        <w:t>Our Board or the compensation committee thereof may permit participants holding RSUs to receive dividend equivalent</w:t>
      </w:r>
      <w:r>
        <w:rPr>
          <w:rFonts w:ascii="Arial" w:cs="Arial" w:eastAsia="Arial" w:hAnsi="Arial"/>
          <w:sz w:val="15"/>
          <w:szCs w:val="15"/>
          <w:i w:val="1"/>
          <w:iCs w:val="1"/>
          <w:color w:val="auto"/>
        </w:rPr>
        <w:t xml:space="preserve"> </w:t>
      </w:r>
      <w:r>
        <w:rPr>
          <w:rFonts w:ascii="Arial" w:cs="Arial" w:eastAsia="Arial" w:hAnsi="Arial"/>
          <w:sz w:val="15"/>
          <w:szCs w:val="15"/>
          <w:color w:val="auto"/>
        </w:rPr>
        <w:t>payments if and when dividends are paid to stockholders. In the discretion of our board or the compensation committee thereof, such dividend equivalent payments may be paid in cash or shares of our Class A common stock and may either be paid at the same time as dividend payments are made to stockholders or delayed until shares are issued pursuant to the RSU grants and may be subject to the same vesting or performance requirements as the RSUs.</w:t>
      </w:r>
    </w:p>
    <w:p>
      <w:pPr>
        <w:spacing w:after="0" w:line="93"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i w:val="1"/>
          <w:iCs w:val="1"/>
          <w:color w:val="auto"/>
        </w:rPr>
        <w:t xml:space="preserve">Change of control. </w:t>
      </w:r>
      <w:r>
        <w:rPr>
          <w:rFonts w:ascii="Arial" w:cs="Arial" w:eastAsia="Arial" w:hAnsi="Arial"/>
          <w:sz w:val="15"/>
          <w:szCs w:val="15"/>
          <w:color w:val="auto"/>
        </w:rPr>
        <w:t>Our 2021 EIP provides that, in the event of a corporate transaction that constitutes a change of control of our company under the terms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plan, outstanding awards will be subject to the agreement evidencing the change of control, which need not treat all outstanding awards in an identical manner, and may include one or more of the following: (i) the continuation of the outstanding awards; (ii) the assumption of the outstanding awards by the surviving corporation or its parent; (iii) the substitution by the surviving corporation or its parent of new options or equity awards for the outstanding awards;</w:t>
      </w:r>
    </w:p>
    <w:p>
      <w:pPr>
        <w:spacing w:after="0" w:line="3" w:lineRule="exact"/>
        <w:rPr>
          <w:sz w:val="20"/>
          <w:szCs w:val="20"/>
          <w:color w:val="auto"/>
        </w:rPr>
      </w:pPr>
    </w:p>
    <w:p>
      <w:pPr>
        <w:jc w:val="both"/>
        <w:ind w:firstLine="6"/>
        <w:spacing w:after="0" w:line="264" w:lineRule="auto"/>
        <w:tabs>
          <w:tab w:leader="none" w:pos="32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full or partial acceleration of exercisability or vesting or lapse of the company’s right to repurchase or other terms of forfeiture and accelerated expiration of the award; or (v) the settlement of the full value of the outstanding awards (whether or not then vested or exercisable) in cash, cash equivalents, or securities of the successor entity with a fair market value equal to the required amount, as determined in accordance with the 2021 EIP,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w:t>
      </w:r>
    </w:p>
    <w:p>
      <w:pPr>
        <w:spacing w:after="0" w:line="13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Adjustment. </w:t>
      </w:r>
      <w:r>
        <w:rPr>
          <w:rFonts w:ascii="Arial" w:cs="Arial" w:eastAsia="Arial" w:hAnsi="Arial"/>
          <w:sz w:val="17"/>
          <w:szCs w:val="17"/>
          <w:color w:val="auto"/>
        </w:rPr>
        <w:t>In the event of a change in the number of outstanding shares of our Class A common stock without consideration by reason of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extraordinary dividend or distribution, spin-off, recapitalization, stock split, reverse stock split, subdivision, combination, consolidation reclassification, spin-off or similar change in our capital structure, proportional adjustments will be made to (i) the number and class of shares reserved for issuance under our 2021 EIP; (ii) the exercise prices, number and class of shares subject to outstanding options or SARs; (iii) the number and class of shares subject to other outstanding awards; and (iv) the maximum number and class of shares that may be issued as incentive stock options, subject to any required action by the board or our stockholders and compliance with applicable laws.</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Exchange, repricing and buyout of awards</w:t>
      </w:r>
      <w:r>
        <w:rPr>
          <w:rFonts w:ascii="Arial" w:cs="Arial" w:eastAsia="Arial" w:hAnsi="Arial"/>
          <w:sz w:val="18"/>
          <w:szCs w:val="18"/>
          <w:color w:val="auto"/>
        </w:rPr>
        <w:t>. The administrator may, without prior stockholder approval, (i) reduce the exercise price of outstanding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or SARs without the consent of any participant and (ii) pay cash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5" w:name="page166"/>
    <w:bookmarkEnd w:id="165"/>
    <w:p>
      <w:pPr>
        <w:jc w:val="both"/>
        <w:spacing w:after="0" w:line="264" w:lineRule="auto"/>
        <w:rPr>
          <w:sz w:val="20"/>
          <w:szCs w:val="20"/>
          <w:color w:val="auto"/>
        </w:rPr>
      </w:pPr>
      <w:r>
        <w:rPr>
          <w:rFonts w:ascii="Arial" w:cs="Arial" w:eastAsia="Arial" w:hAnsi="Arial"/>
          <w:sz w:val="18"/>
          <w:szCs w:val="18"/>
          <w:color w:val="auto"/>
        </w:rPr>
        <w:t>issue new awards in exchange for the surrender and cancellation of any, or all, outstanding awards, subject to the consent of any affected participant to the extent required by the terms of the 2021 EIP.</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No non-employee director may receive awards under our 2021 EIP with a grant date value that when combined with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received for his or her service as a director, exceed $750,000 in a calendar year, increased to $1,000,000 in the calendar year of his or her initial services as a non-employee director.</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Clawback; transferability</w:t>
      </w:r>
      <w:r>
        <w:rPr>
          <w:rFonts w:ascii="Arial" w:cs="Arial" w:eastAsia="Arial" w:hAnsi="Arial"/>
          <w:sz w:val="18"/>
          <w:szCs w:val="18"/>
          <w:color w:val="auto"/>
        </w:rPr>
        <w:t>. All awards will be subject to clawback or recoupment pursuant to any compensation clawback or recoupment policy adopted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Board or the compensation committee thereof or required by law during the term of service of the participant, to the extent set forth in such policy or applicable agreement. Except in limited circumstances, awards granted under our 2021 EIP may generally not be transferred in any manner other than by will or by the laws of descent and distribution.</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Sub-plans</w:t>
      </w:r>
      <w:r>
        <w:rPr>
          <w:rFonts w:ascii="Arial" w:cs="Arial" w:eastAsia="Arial" w:hAnsi="Arial"/>
          <w:sz w:val="18"/>
          <w:szCs w:val="18"/>
          <w:color w:val="auto"/>
        </w:rPr>
        <w:t>. Subject to the terms of the 2021 EIP, the plan administrator may establish a sub-plan under the 2021 EIP and/or modify the terms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participants outside of the United States to comply with any laws or regulations applicable to any such jurisdiction.</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or compensation committee may amend our 2021 EIP at any time, subject to stockholder approval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Our 2021 EIP will terminate ten years from the date our Board adopts the plan, unless it is terminated earlier by our Board. No termination or amendment of the 2021 EIP may materially adversely affect any then-outstanding award without the consent of the affected participant, except as is necessary to comply with applicable laws or as otherwise provided by the terms of the 2021 EIP.</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Legacy Sema4’s 2017 Equity Incentive Plan (the “2017 EIP”) was adopted by Legacy Sema4’s board of directors and approved by its stockholders in April 2017. The 2017 EIP allowed for the grant of stock options, stock appreciation rights, restricted stock, and RSUs. As of December 31, 2021, we had 27,671,750 shares of our Class A common stock reserved for issuance pursuant to outstanding awards granted under the 2017 EIP. We terminated the 2017 EIP upon the effective date of the 2021 EIP, which was July 21, 2021. Any awards granted under the 2017 EIP that remained outstanding as of such date continue to be subject to the terms of the 2017 EIP and applicable award agreements until such awards are exercised or amended or until they terminate or expire by their terms.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2021 Employee Stock Purchase Plan (the “ESPP”) was adopted by our Board and approved by our stockholders in July 2021. The following summarizes the material terms of the ESPP. This summary is qualified in its entirety to the full text of the ESPP. We have not yet established an offering period under the ESPP.</w:t>
      </w:r>
    </w:p>
    <w:p>
      <w:pPr>
        <w:spacing w:after="0" w:line="13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Shares Reserved</w:t>
      </w:r>
      <w:r>
        <w:rPr>
          <w:rFonts w:ascii="Arial" w:cs="Arial" w:eastAsia="Arial" w:hAnsi="Arial"/>
          <w:sz w:val="17"/>
          <w:szCs w:val="17"/>
          <w:color w:val="auto"/>
        </w:rPr>
        <w:t>. We have initially reserved 4,804,011 shares of our Class A common stock equal for issuance and sale under the ESPP.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reserved for issuance and sale under our ESPP will increase automatically on January 1 of each of 2022 through 2031 by the number of shares equal to 1% of the aggregate number of outstanding shares of all classes of our Class A common stock as of the immediately preceding December 31, or a lesser number as may be determined by our compensation committee, or by our Board acting in place of our compensation committee. Subject to stock splits, recapitalizations, or similar events, no more than the number of shares of our Class A common stock equal to ten times the Initial ESPP Share Reserve may be issued over the term of the ESPP. On January 25, 2022, an additional 2,425,788 shares became available for future issuance under the ESPP pursuant to the plan’s evergreen provision.</w:t>
      </w:r>
    </w:p>
    <w:p>
      <w:pPr>
        <w:spacing w:after="0" w:line="1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ESPP will be administered by our compensation committee, or by our Board acting in place of our compensation committee,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terms and conditions of the ESPP. Among other things, the administrator will have the authority to determine eligibility for participation in the ESPP, designate separate offerings under the plan, and construe, interpret and apply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6" w:name="page167"/>
    <w:bookmarkEnd w:id="166"/>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Employees eligible to participate in any offering pursuant to the ESPP generally include any employee that is employed by us or certain of our</w:t>
      </w:r>
      <w:r>
        <w:rPr>
          <w:rFonts w:ascii="Arial" w:cs="Arial" w:eastAsia="Arial" w:hAnsi="Arial"/>
          <w:sz w:val="15"/>
          <w:szCs w:val="15"/>
          <w:i w:val="1"/>
          <w:iCs w:val="1"/>
          <w:color w:val="auto"/>
        </w:rPr>
        <w:t xml:space="preserve"> </w:t>
      </w:r>
      <w:r>
        <w:rPr>
          <w:rFonts w:ascii="Arial" w:cs="Arial" w:eastAsia="Arial" w:hAnsi="Arial"/>
          <w:sz w:val="15"/>
          <w:szCs w:val="15"/>
          <w:color w:val="auto"/>
        </w:rPr>
        <w:t>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the ESPP, will not be eligible to participate in the ESPP. The administrator may impose additional restrictions on eligibility from time to time.</w:t>
      </w:r>
    </w:p>
    <w:p>
      <w:pPr>
        <w:spacing w:after="0" w:line="1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Offering Periods; Enrollment. </w:t>
      </w:r>
      <w:r>
        <w:rPr>
          <w:rFonts w:ascii="Arial" w:cs="Arial" w:eastAsia="Arial" w:hAnsi="Arial"/>
          <w:sz w:val="17"/>
          <w:szCs w:val="17"/>
          <w:color w:val="auto"/>
        </w:rPr>
        <w:t>Under our ESPP, eligible employees will be offered the option to purchase shares of our Class A common stock at a</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over a series of offering periods through accumulated payroll deductions over the period. The length of the offering periods under ESPP will be determined by the plan administrator and may be up to twenty-seven (27) months long. Each offering period may itself consist of one or more purchase periods. When the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subsequence offering periods. Participation in the ESPP ends automatically upon a participant’s termination of employment. A participant may withdraw his or her participation from the ESPP at any time by submitting written notice to the company.</w:t>
      </w:r>
    </w:p>
    <w:p>
      <w:pPr>
        <w:spacing w:after="0" w:line="13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Offerings; Contributions; Limitations. </w:t>
      </w:r>
      <w:r>
        <w:rPr>
          <w:rFonts w:ascii="Arial" w:cs="Arial" w:eastAsia="Arial" w:hAnsi="Arial"/>
          <w:sz w:val="15"/>
          <w:szCs w:val="15"/>
          <w:color w:val="auto"/>
        </w:rPr>
        <w:t>The purchase price for shares purchased under the ESPP during any given purchase period will be 85% of the</w:t>
      </w:r>
      <w:r>
        <w:rPr>
          <w:rFonts w:ascii="Arial" w:cs="Arial" w:eastAsia="Arial" w:hAnsi="Arial"/>
          <w:sz w:val="15"/>
          <w:szCs w:val="15"/>
          <w:i w:val="1"/>
          <w:iCs w:val="1"/>
          <w:color w:val="auto"/>
        </w:rPr>
        <w:t xml:space="preserve"> </w:t>
      </w:r>
      <w:r>
        <w:rPr>
          <w:rFonts w:ascii="Arial" w:cs="Arial" w:eastAsia="Arial" w:hAnsi="Arial"/>
          <w:sz w:val="15"/>
          <w:szCs w:val="15"/>
          <w:color w:val="auto"/>
        </w:rPr>
        <w:t>lesser of the fair market value of our Class A common stock on (i) the first trading day of the applicable offering period or (ii) the last trading day of the purchase period. The ESPP permits participants to purchase shares of our Class A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Class A common stock during any one purchase period, and may not subscribe for more than $25,000 in fair market value of shares of our Class A common stock (determined as of the date the offering period commences) in any calendar year in which the offering is in effect. The administrator in its discretion, may set a lower maximum number of shares which may be purchased.</w:t>
      </w:r>
    </w:p>
    <w:p>
      <w:pPr>
        <w:spacing w:after="0" w:line="10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Adjustments upon recapitalization. </w:t>
      </w:r>
      <w:r>
        <w:rPr>
          <w:rFonts w:ascii="Arial" w:cs="Arial" w:eastAsia="Arial" w:hAnsi="Arial"/>
          <w:sz w:val="15"/>
          <w:szCs w:val="15"/>
          <w:color w:val="auto"/>
        </w:rPr>
        <w:t>If the number of outstanding shares of our Class A common stock is changed by stock dividend, recapitalization, stock</w:t>
      </w:r>
      <w:r>
        <w:rPr>
          <w:rFonts w:ascii="Arial" w:cs="Arial" w:eastAsia="Arial" w:hAnsi="Arial"/>
          <w:sz w:val="15"/>
          <w:szCs w:val="15"/>
          <w:i w:val="1"/>
          <w:iCs w:val="1"/>
          <w:color w:val="auto"/>
        </w:rPr>
        <w:t xml:space="preserve"> </w:t>
      </w:r>
      <w:r>
        <w:rPr>
          <w:rFonts w:ascii="Arial" w:cs="Arial" w:eastAsia="Arial" w:hAnsi="Arial"/>
          <w:sz w:val="15"/>
          <w:szCs w:val="15"/>
          <w:color w:val="auto"/>
        </w:rPr>
        <w:t>split, reverse stock split, subdivision, combination, reclassification or similar change in our capital structure without consideration, then the administrator will proportionately adjust the number and class of common stock that is available under the ESPP, the purchase price and number of shares any participant has elected to purchase as well as the maximum number of shares which may be purchased by participants.</w:t>
      </w:r>
    </w:p>
    <w:p>
      <w:pPr>
        <w:spacing w:after="0" w:line="9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If the post-combination company experiences a corporate transaction as determined under the terms of the ESPP, any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then in effect will be shortened and terminated on a final purchase date established by the administrator. The final purchase date will occur on or prior to the effective date of change of control transaction, and our ESPP will terminate on the closing of the change of control.</w:t>
      </w:r>
    </w:p>
    <w:p>
      <w:pPr>
        <w:spacing w:after="0" w:line="11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Participants may generally not assign, transfer, pledge or otherwise dispose of payroll deductions credited to his or her account,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with regard to an election to purchase shares pursuant to the ESPP other than by will or the laws of descent or distribution.</w:t>
      </w:r>
    </w:p>
    <w:p>
      <w:pPr>
        <w:spacing w:after="0" w:line="10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The board or compensation committee may amend, suspend or terminate the ESPP at any time without stockholder consent,</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to the extent such amendment would increase the number of shares available for issuance under the ESPP, change the class or designation of employees eligible for participation in the plan or otherwise as required by law. If the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7" w:name="page168"/>
    <w:bookmarkEnd w:id="167"/>
    <w:p>
      <w:pPr>
        <w:jc w:val="both"/>
        <w:spacing w:after="0" w:line="264" w:lineRule="auto"/>
        <w:rPr>
          <w:sz w:val="20"/>
          <w:szCs w:val="20"/>
          <w:color w:val="auto"/>
        </w:rPr>
      </w:pPr>
      <w:r>
        <w:rPr>
          <w:rFonts w:ascii="Arial" w:cs="Arial" w:eastAsia="Arial" w:hAnsi="Arial"/>
          <w:sz w:val="18"/>
          <w:szCs w:val="18"/>
          <w:color w:val="auto"/>
        </w:rPr>
        <w:t>participants as soon as administratively practicable. Unless earlier terminated, the ESPP will terminated upon the earlier to occur of the issuance of all shares of common stock reserved for issuance under the ESPP, or the 10th anniversary of the effective date.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sponsor a retirement savings plan established on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6% of the employee’s compensation. An employee’s interest in his or her deferrals and safe harbor matching contributions is 100% vested when contributed.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named executive officers, while employed by us, are eligible to participate in our employee benefit plans on the same basis as our other employees, including our health and welfare plans. We generally do not provide our named executive officers with perquisites or other personal benefits. However, we do reimburse our named executive officers for their necessary and reasonable business and travel expenses incurred in connection with their services to us.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directors who were members of our compensation committee during 2021 were Joshua Ruch, Rachel Sherman and Nat Turner. None of them at any time has been one of our officers or employees. None of our executive officers serves, or in the past has served, as a member of the Board or compensation committee of any entity that has one or more of its executive officers serving on our Board or our compensation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adopted a non-employee director compensation policy that is designed to enable us to attract and retain, on a long-term basis, highly qualified non-employee directors. Our non-employee directors will receive an annual cash retainer of $40,000, payable quarterly, and a grant of stock options and RSUs with an aggregate grant-date value of $200,000, which will vest on the earlier of the first anniversary of the grant date and the next annual meeting of our stockholders. New non-employee directors will receive a grant of stock options RSUs upon joining our Board with an aggregate grant-date value of $400,000, which will vest over the three-year period following the grant date.</w:t>
      </w:r>
    </w:p>
    <w:p>
      <w:pPr>
        <w:spacing w:after="0" w:line="1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Members of our audit committee will receive an additional annual cash retainer of $10,000, and the chairperson of our audit committee will receive an additional cash retainer of $20,000 (in lieu of the annual retainer for membership on the audit committee). Members of our compensation committee will receive an additional annual cash retainer of $7,500, and the chairperson of our compensation committee will receive an additional cash retainer of $15,000 (in lieu of the annual retainer for membership on the compensation committee). Members of our nominating and governance committee will receive an additional annual cash retainer of $5,000, and the chairperson of our nominating and governance committee will receive an additional cash retainer of $10,000 (in lieu of the annual retainer for membership on the compensation committee).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Chairman Compensation</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January 2022, our Board appointed Jason Ryan as Executive Chairman and entered into an executive chairman agreement (the “Executive Chairman Agreement”) with Mr. Ryan. Prior to this appointment, Mr. Ryan served as a non-employee director of our Board. The Executive Chairman Agreement provides for an annual base salary of $540,000. In connection with the appointment, we issued to our Executive Chairman an option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8" w:name="page169"/>
    <w:bookmarkEnd w:id="168"/>
    <w:p>
      <w:pPr>
        <w:jc w:val="both"/>
        <w:spacing w:after="0" w:line="250" w:lineRule="auto"/>
        <w:rPr>
          <w:sz w:val="20"/>
          <w:szCs w:val="20"/>
          <w:color w:val="auto"/>
        </w:rPr>
      </w:pPr>
      <w:r>
        <w:rPr>
          <w:rFonts w:ascii="Arial" w:cs="Arial" w:eastAsia="Arial" w:hAnsi="Arial"/>
          <w:sz w:val="18"/>
          <w:szCs w:val="18"/>
          <w:color w:val="auto"/>
        </w:rPr>
        <w:t>429,730 shares of our Class A common stock, 247,525 service-based RSUs and 126,980 performance-based stock units, which awards will vest in full on the earlier of (a) December 31, 2022, and (b) a change in control of our company subject to Mr. Ryan’s continued service as our Executive Chairman through such date and, in the case of the performance-based RSUs, subject to the achievement of certain performance-based vesting conditions. The Executive Chairman Agreement will terminate on December 31, 2022 unless terminated earlier in accordance with its terms or extended by the mutual agreement of our Board and Mr. Ryan.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Director Compensation Table</w:t>
      </w:r>
    </w:p>
    <w:p>
      <w:pPr>
        <w:spacing w:after="0" w:line="21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8"/>
          <w:szCs w:val="18"/>
          <w:color w:val="auto"/>
        </w:rPr>
        <w:t>The following table sets forth the compensation earned by or paid to our non-employee directors for services provided during the year ended December 31, 2021, other than Keith Meister who joined the Board in January 2022. Dr. Schadt did not receive any compensation for his service as a director during fiscal year 2021, while also serving as Chief Executive Officer. Other than as described below, none of our non-employee directors received any fees or reimbursement of any expenses (other than customary expenses in connection with the attendance of meetings of our Board) or any equity or non-equity awards in the year ended December 31, 2021. Please see the section entitled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w:t>
      </w:r>
      <w:r>
        <w:rPr>
          <w:rFonts w:ascii="Arial" w:cs="Arial" w:eastAsia="Arial" w:hAnsi="Arial"/>
          <w:sz w:val="18"/>
          <w:szCs w:val="18"/>
          <w:i w:val="1"/>
          <w:iCs w:val="1"/>
          <w:color w:val="auto"/>
        </w:rPr>
        <w:t>2021 Summary Compensation Table</w:t>
      </w:r>
      <w:r>
        <w:rPr>
          <w:rFonts w:ascii="Arial" w:cs="Arial" w:eastAsia="Arial" w:hAnsi="Arial"/>
          <w:sz w:val="18"/>
          <w:szCs w:val="18"/>
          <w:color w:val="auto"/>
        </w:rPr>
        <w:t>” for a summary of payments made to Dr. Schadt.</w:t>
      </w:r>
    </w:p>
    <w:p>
      <w:pPr>
        <w:sectPr>
          <w:pgSz w:w="11900" w:h="16838" w:orient="portrait"/>
          <w:cols w:equalWidth="0" w:num="1">
            <w:col w:w="11240"/>
          </w:cols>
          <w:pgMar w:left="320" w:top="1399"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80" w:type="dxa"/>
            <w:vAlign w:val="bottom"/>
          </w:tcPr>
          <w:p>
            <w:pPr>
              <w:jc w:val="center"/>
              <w:ind w:left="1769"/>
              <w:spacing w:after="0"/>
              <w:rPr>
                <w:sz w:val="20"/>
                <w:szCs w:val="20"/>
                <w:color w:val="auto"/>
              </w:rPr>
            </w:pPr>
            <w:r>
              <w:rPr>
                <w:rFonts w:ascii="Arial" w:cs="Arial" w:eastAsia="Arial" w:hAnsi="Arial"/>
                <w:sz w:val="14"/>
                <w:szCs w:val="14"/>
                <w:b w:val="1"/>
                <w:bCs w:val="1"/>
                <w:color w:val="auto"/>
                <w:w w:val="92"/>
              </w:rPr>
              <w:t>Fees Earned or Paid</w:t>
            </w:r>
          </w:p>
        </w:tc>
        <w:tc>
          <w:tcPr>
            <w:tcW w:w="1280" w:type="dxa"/>
            <w:vAlign w:val="bottom"/>
          </w:tcPr>
          <w:p>
            <w:pPr>
              <w:jc w:val="center"/>
              <w:ind w:left="22"/>
              <w:spacing w:after="0"/>
              <w:rPr>
                <w:sz w:val="20"/>
                <w:szCs w:val="20"/>
                <w:color w:val="auto"/>
              </w:rPr>
            </w:pPr>
            <w:r>
              <w:rPr>
                <w:rFonts w:ascii="Arial" w:cs="Arial" w:eastAsia="Arial" w:hAnsi="Arial"/>
                <w:sz w:val="14"/>
                <w:szCs w:val="14"/>
                <w:b w:val="1"/>
                <w:bCs w:val="1"/>
                <w:color w:val="auto"/>
                <w:w w:val="91"/>
              </w:rPr>
              <w:t>Option Awards($)</w:t>
            </w:r>
            <w:r>
              <w:rPr>
                <w:rFonts w:ascii="Arial" w:cs="Arial" w:eastAsia="Arial" w:hAnsi="Arial"/>
                <w:sz w:val="18"/>
                <w:szCs w:val="18"/>
                <w:b w:val="1"/>
                <w:bCs w:val="1"/>
                <w:color w:val="auto"/>
                <w:w w:val="91"/>
                <w:vertAlign w:val="superscript"/>
              </w:rPr>
              <w:t>(1)</w:t>
            </w:r>
          </w:p>
        </w:tc>
        <w:tc>
          <w:tcPr>
            <w:tcW w:w="0" w:type="dxa"/>
            <w:vAlign w:val="bottom"/>
          </w:tcPr>
          <w:p>
            <w:pPr>
              <w:spacing w:after="0"/>
              <w:rPr>
                <w:sz w:val="1"/>
                <w:szCs w:val="1"/>
                <w:color w:val="auto"/>
              </w:rPr>
            </w:pPr>
          </w:p>
        </w:tc>
      </w:tr>
      <w:tr>
        <w:trPr>
          <w:trHeight w:val="133"/>
        </w:trPr>
        <w:tc>
          <w:tcPr>
            <w:tcW w:w="2300" w:type="dxa"/>
            <w:vAlign w:val="bottom"/>
            <w:vMerge w:val="continue"/>
          </w:tcPr>
          <w:p>
            <w:pPr>
              <w:spacing w:after="0"/>
              <w:rPr>
                <w:sz w:val="11"/>
                <w:szCs w:val="11"/>
                <w:color w:val="auto"/>
              </w:rPr>
            </w:pPr>
          </w:p>
        </w:tc>
        <w:tc>
          <w:tcPr>
            <w:tcW w:w="3280" w:type="dxa"/>
            <w:vAlign w:val="bottom"/>
          </w:tcPr>
          <w:p>
            <w:pPr>
              <w:jc w:val="center"/>
              <w:ind w:left="1789"/>
              <w:spacing w:after="0" w:line="133" w:lineRule="exact"/>
              <w:rPr>
                <w:sz w:val="20"/>
                <w:szCs w:val="20"/>
                <w:color w:val="auto"/>
              </w:rPr>
            </w:pPr>
            <w:r>
              <w:rPr>
                <w:rFonts w:ascii="Arial" w:cs="Arial" w:eastAsia="Arial" w:hAnsi="Arial"/>
                <w:sz w:val="14"/>
                <w:szCs w:val="14"/>
                <w:b w:val="1"/>
                <w:bCs w:val="1"/>
                <w:color w:val="auto"/>
                <w:w w:val="91"/>
              </w:rPr>
              <w:t>in Cash($)</w:t>
            </w:r>
          </w:p>
        </w:tc>
        <w:tc>
          <w:tcPr>
            <w:tcW w:w="1280" w:type="dxa"/>
            <w:vAlign w:val="bottom"/>
          </w:tcPr>
          <w:p>
            <w:pPr>
              <w:jc w:val="right"/>
              <w:ind w:right="482"/>
              <w:spacing w:after="0"/>
              <w:rPr>
                <w:sz w:val="20"/>
                <w:szCs w:val="20"/>
                <w:color w:val="auto"/>
              </w:rPr>
            </w:pP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3240"/>
        <w:spacing w:after="0"/>
        <w:rPr>
          <w:sz w:val="20"/>
          <w:szCs w:val="20"/>
          <w:color w:val="auto"/>
        </w:rPr>
      </w:pPr>
      <w:r>
        <w:rPr>
          <w:rFonts w:ascii="Arial" w:cs="Arial" w:eastAsia="Arial" w:hAnsi="Arial"/>
          <w:sz w:val="12"/>
          <w:szCs w:val="12"/>
          <w:b w:val="1"/>
          <w:bCs w:val="1"/>
          <w:color w:val="auto"/>
        </w:rPr>
        <w:t>Restricted</w:t>
      </w:r>
    </w:p>
    <w:p>
      <w:pPr>
        <w:spacing w:after="0" w:line="5" w:lineRule="exact"/>
        <w:rPr>
          <w:sz w:val="20"/>
          <w:szCs w:val="20"/>
          <w:color w:val="auto"/>
        </w:rPr>
      </w:pPr>
    </w:p>
    <w:p>
      <w:pPr>
        <w:jc w:val="center"/>
        <w:ind w:right="3240"/>
        <w:spacing w:after="0"/>
        <w:rPr>
          <w:sz w:val="20"/>
          <w:szCs w:val="20"/>
          <w:color w:val="auto"/>
        </w:rPr>
      </w:pPr>
      <w:r>
        <w:rPr>
          <w:rFonts w:ascii="Arial" w:cs="Arial" w:eastAsia="Arial" w:hAnsi="Arial"/>
          <w:sz w:val="12"/>
          <w:szCs w:val="12"/>
          <w:b w:val="1"/>
          <w:bCs w:val="1"/>
          <w:color w:val="auto"/>
        </w:rPr>
        <w:t>Stock and</w:t>
      </w:r>
    </w:p>
    <w:p>
      <w:pPr>
        <w:jc w:val="center"/>
        <w:ind w:right="3240"/>
        <w:spacing w:after="0" w:line="197" w:lineRule="auto"/>
        <w:rPr>
          <w:sz w:val="20"/>
          <w:szCs w:val="20"/>
          <w:color w:val="auto"/>
        </w:rPr>
      </w:pPr>
      <w:r>
        <w:rPr>
          <w:rFonts w:ascii="Arial" w:cs="Arial" w:eastAsia="Arial" w:hAnsi="Arial"/>
          <w:sz w:val="14"/>
          <w:szCs w:val="14"/>
          <w:b w:val="1"/>
          <w:bCs w:val="1"/>
          <w:color w:val="auto"/>
        </w:rPr>
        <w:t>Other</w:t>
      </w:r>
    </w:p>
    <w:p>
      <w:pPr>
        <w:ind w:left="20"/>
        <w:spacing w:after="0" w:line="184" w:lineRule="auto"/>
        <w:tabs>
          <w:tab w:leader="none" w:pos="1500" w:val="left"/>
        </w:tabs>
        <w:rPr>
          <w:sz w:val="20"/>
          <w:szCs w:val="20"/>
          <w:color w:val="auto"/>
        </w:rPr>
      </w:pPr>
      <w:r>
        <w:rPr>
          <w:rFonts w:ascii="Arial" w:cs="Arial" w:eastAsia="Arial" w:hAnsi="Arial"/>
          <w:sz w:val="14"/>
          <w:szCs w:val="14"/>
          <w:b w:val="1"/>
          <w:bCs w:val="1"/>
          <w:color w:val="auto"/>
        </w:rPr>
        <w:t>Securities</w:t>
      </w:r>
      <w:r>
        <w:rPr>
          <w:sz w:val="20"/>
          <w:szCs w:val="20"/>
          <w:color w:val="auto"/>
        </w:rPr>
        <w:tab/>
      </w:r>
      <w:r>
        <w:rPr>
          <w:rFonts w:ascii="Arial" w:cs="Arial" w:eastAsia="Arial" w:hAnsi="Arial"/>
          <w:sz w:val="14"/>
          <w:szCs w:val="14"/>
          <w:b w:val="1"/>
          <w:bCs w:val="1"/>
          <w:color w:val="auto"/>
        </w:rPr>
        <w:t>All Other</w:t>
      </w:r>
    </w:p>
    <w:p>
      <w:pPr>
        <w:ind w:left="120"/>
        <w:spacing w:after="0"/>
        <w:tabs>
          <w:tab w:leader="none" w:pos="1200" w:val="left"/>
          <w:tab w:leader="none" w:pos="2940" w:val="left"/>
        </w:tabs>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(1)(4)</w:t>
      </w:r>
      <w:r>
        <w:rPr>
          <w:sz w:val="20"/>
          <w:szCs w:val="20"/>
          <w:color w:val="auto"/>
        </w:rPr>
        <w:tab/>
      </w:r>
      <w:r>
        <w:rPr>
          <w:rFonts w:ascii="Arial" w:cs="Arial" w:eastAsia="Arial" w:hAnsi="Arial"/>
          <w:sz w:val="14"/>
          <w:szCs w:val="14"/>
          <w:b w:val="1"/>
          <w:bCs w:val="1"/>
          <w:color w:val="auto"/>
        </w:rPr>
        <w:t>Compensation ($)</w:t>
      </w:r>
      <w:r>
        <w:rPr>
          <w:rFonts w:ascii="Arial" w:cs="Arial" w:eastAsia="Arial" w:hAnsi="Arial"/>
          <w:sz w:val="18"/>
          <w:szCs w:val="18"/>
          <w:b w:val="1"/>
          <w:bCs w:val="1"/>
          <w:color w:val="auto"/>
          <w:vertAlign w:val="superscript"/>
        </w:rPr>
        <w:t>(2)</w:t>
      </w:r>
      <w:r>
        <w:rPr>
          <w:sz w:val="20"/>
          <w:szCs w:val="20"/>
          <w:color w:val="auto"/>
        </w:rPr>
        <w:tab/>
      </w:r>
      <w:r>
        <w:rPr>
          <w:rFonts w:ascii="Arial" w:cs="Arial" w:eastAsia="Arial" w:hAnsi="Arial"/>
          <w:sz w:val="13"/>
          <w:szCs w:val="13"/>
          <w:b w:val="1"/>
          <w:bCs w:val="1"/>
          <w:color w:val="auto"/>
        </w:rPr>
        <w:t>Total($)</w:t>
      </w:r>
    </w:p>
    <w:p>
      <w:pPr>
        <w:spacing w:after="0" w:line="1" w:lineRule="exact"/>
        <w:rPr>
          <w:sz w:val="20"/>
          <w:szCs w:val="20"/>
          <w:color w:val="auto"/>
        </w:rPr>
      </w:pPr>
    </w:p>
    <w:p>
      <w:pPr>
        <w:sectPr>
          <w:pgSz w:w="11900" w:h="16838" w:orient="portrait"/>
          <w:cols w:equalWidth="0" w:num="2">
            <w:col w:w="6880" w:space="500"/>
            <w:col w:w="3860"/>
          </w:cols>
          <w:pgMar w:left="320" w:top="1399"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4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Joshua Ruch</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47,500</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201,911</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199,985</w:t>
            </w:r>
          </w:p>
        </w:tc>
        <w:tc>
          <w:tcPr>
            <w:tcW w:w="1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449,396</w:t>
            </w:r>
          </w:p>
        </w:tc>
      </w:tr>
      <w:tr>
        <w:trPr>
          <w:trHeight w:val="210"/>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Dennis Charney, M.D.</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 D. Casdin</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101,401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99,992</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221,393</w:t>
            </w:r>
          </w:p>
        </w:tc>
      </w:tr>
      <w:tr>
        <w:trPr>
          <w:trHeight w:val="20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Emily Leproust, Ph.D.</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101,401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99,992</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226,393</w:t>
            </w:r>
          </w:p>
        </w:tc>
      </w:tr>
      <w:tr>
        <w:trPr>
          <w:trHeight w:val="214"/>
        </w:trPr>
        <w:tc>
          <w:tcPr>
            <w:tcW w:w="4240" w:type="dxa"/>
            <w:vAlign w:val="bottom"/>
            <w:gridSpan w:val="2"/>
            <w:shd w:val="clear" w:color="auto" w:fill="CCEEFF"/>
          </w:tcPr>
          <w:p>
            <w:pPr>
              <w:ind w:left="20"/>
              <w:spacing w:after="0" w:line="214" w:lineRule="exact"/>
              <w:rPr>
                <w:sz w:val="20"/>
                <w:szCs w:val="20"/>
                <w:color w:val="auto"/>
              </w:rPr>
            </w:pPr>
            <w:r>
              <w:rPr>
                <w:rFonts w:ascii="Arial" w:cs="Arial" w:eastAsia="Arial" w:hAnsi="Arial"/>
                <w:sz w:val="16"/>
                <w:szCs w:val="16"/>
                <w:color w:val="auto"/>
              </w:rPr>
              <w:t>Jason Ryan</w:t>
            </w:r>
            <w:r>
              <w:rPr>
                <w:rFonts w:ascii="Arial" w:cs="Arial" w:eastAsia="Arial" w:hAnsi="Arial"/>
                <w:sz w:val="20"/>
                <w:szCs w:val="20"/>
                <w:color w:val="auto"/>
                <w:vertAlign w:val="superscript"/>
              </w:rPr>
              <w:t>(3)</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30,000</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201,911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199,985</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431,896</w:t>
            </w:r>
          </w:p>
        </w:tc>
      </w:tr>
      <w:tr>
        <w:trPr>
          <w:trHeight w:val="210"/>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Michael Pellini, M.D.</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201,911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199,985</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421,896</w:t>
            </w:r>
          </w:p>
        </w:tc>
      </w:tr>
      <w:tr>
        <w:trPr>
          <w:trHeight w:val="214"/>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Nat Turner</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23,750</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101,401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99,992</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225,143</w:t>
            </w:r>
          </w:p>
        </w:tc>
      </w:tr>
      <w:tr>
        <w:trPr>
          <w:trHeight w:val="207"/>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Rachel Sherman, M.D., M.P.H., F.A.C.P.</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101,401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143,797</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315,198</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200" w:hanging="314"/>
        <w:spacing w:after="0" w:line="237" w:lineRule="auto"/>
        <w:tabs>
          <w:tab w:leader="none" w:pos="312"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awards granted under the 2021 EIP and pursuant to the Prior Merger Agreement, as applicable, to our directors during the year ended December 31, 2021, as computed in accordance with FASB ASC Topic 718. The assumptions used in determining the grant date fair value of the awards reported in the Option Awards and Restricted Stock and Other Securities columns are set forth in Note 10 to our financial statements included elsewhere in this Annual Report. Note that the amounts reported in this column reflect the aggregate accounting cost for these awards granted during the year, and do not necessarily correspond to the actual economic value that may be received by the director from the awards.</w:t>
      </w:r>
    </w:p>
    <w:p>
      <w:pPr>
        <w:ind w:left="320" w:hanging="314"/>
        <w:spacing w:after="0" w:line="237"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reported in this column represents payments under director legacy and other charitable award programs.</w:t>
      </w:r>
    </w:p>
    <w:p>
      <w:pPr>
        <w:ind w:left="320" w:hanging="314"/>
        <w:spacing w:after="0" w:line="237"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Ryan served as a non-employee director until January 2022.</w:t>
      </w:r>
    </w:p>
    <w:p>
      <w:pPr>
        <w:jc w:val="both"/>
        <w:ind w:left="320" w:right="80" w:hanging="314"/>
        <w:spacing w:after="0" w:line="242" w:lineRule="auto"/>
        <w:tabs>
          <w:tab w:leader="none" w:pos="312"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following table sets forth information regarding the aggregate number of shares of our Class A common stock underlying outstanding stock options held by our non-employee directors as of December 31, 2021 and the aggregate number of unvested shares of our Class A common stock underlying outstanding RSU awards held by our non-employee directors as of December 31, 2021:</w:t>
      </w:r>
    </w:p>
    <w:p>
      <w:pPr>
        <w:spacing w:after="0" w:line="200" w:lineRule="exact"/>
        <w:rPr>
          <w:sz w:val="20"/>
          <w:szCs w:val="20"/>
          <w:color w:val="auto"/>
        </w:rPr>
      </w:pP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7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Name</w:t>
            </w: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Shares Underlying</w:t>
            </w:r>
          </w:p>
        </w:tc>
        <w:tc>
          <w:tcPr>
            <w:tcW w:w="1380" w:type="dxa"/>
            <w:vAlign w:val="bottom"/>
          </w:tcPr>
          <w:p>
            <w:pPr>
              <w:jc w:val="center"/>
              <w:ind w:left="211"/>
              <w:spacing w:after="0"/>
              <w:rPr>
                <w:sz w:val="20"/>
                <w:szCs w:val="20"/>
                <w:color w:val="auto"/>
              </w:rPr>
            </w:pPr>
            <w:r>
              <w:rPr>
                <w:rFonts w:ascii="Arial" w:cs="Arial" w:eastAsia="Arial" w:hAnsi="Arial"/>
                <w:sz w:val="12"/>
                <w:szCs w:val="12"/>
                <w:b w:val="1"/>
                <w:bCs w:val="1"/>
                <w:color w:val="auto"/>
                <w:w w:val="91"/>
              </w:rPr>
              <w:t>Unvested Shares of</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600" w:type="dxa"/>
            <w:vAlign w:val="bottom"/>
            <w:gridSpan w:val="2"/>
            <w:vMerge w:val="continue"/>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Unexercised Stock Options</w:t>
            </w:r>
          </w:p>
        </w:tc>
        <w:tc>
          <w:tcPr>
            <w:tcW w:w="1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Restricted Stock Units</w:t>
            </w:r>
          </w:p>
        </w:tc>
        <w:tc>
          <w:tcPr>
            <w:tcW w:w="0" w:type="dxa"/>
            <w:vAlign w:val="bottom"/>
          </w:tcPr>
          <w:p>
            <w:pPr>
              <w:spacing w:after="0"/>
              <w:rPr>
                <w:sz w:val="1"/>
                <w:szCs w:val="1"/>
                <w:color w:val="auto"/>
              </w:rPr>
            </w:pPr>
          </w:p>
        </w:tc>
      </w:tr>
      <w:tr>
        <w:trPr>
          <w:trHeight w:val="185"/>
        </w:trPr>
        <w:tc>
          <w:tcPr>
            <w:tcW w:w="7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Joshua Ruch</w:t>
            </w:r>
          </w:p>
        </w:tc>
        <w:tc>
          <w:tcPr>
            <w:tcW w:w="1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25,672</w:t>
            </w:r>
          </w:p>
        </w:tc>
        <w:tc>
          <w:tcPr>
            <w:tcW w:w="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Dennis Charney, M.D.</w:t>
            </w: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Eli D. Casdin</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Emily Leproust, Ph.D.</w:t>
            </w:r>
          </w:p>
        </w:tc>
        <w:tc>
          <w:tcPr>
            <w:tcW w:w="1520" w:type="dxa"/>
            <w:vAlign w:val="bottom"/>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12,836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Jason Ryan</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25,672</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Michael Pellini, M.D.</w:t>
            </w:r>
          </w:p>
        </w:tc>
        <w:tc>
          <w:tcPr>
            <w:tcW w:w="1520" w:type="dxa"/>
            <w:vAlign w:val="bottom"/>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25,672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 Turner</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Rachel Sherman, M.D., M.P.H., F.A.C.P.</w:t>
            </w:r>
          </w:p>
        </w:tc>
        <w:tc>
          <w:tcPr>
            <w:tcW w:w="1520" w:type="dxa"/>
            <w:vAlign w:val="bottom"/>
          </w:tcPr>
          <w:p>
            <w:pPr>
              <w:jc w:val="right"/>
              <w:spacing w:after="0"/>
              <w:rPr>
                <w:sz w:val="20"/>
                <w:szCs w:val="20"/>
                <w:color w:val="auto"/>
              </w:rPr>
            </w:pPr>
            <w:r>
              <w:rPr>
                <w:rFonts w:ascii="Arial" w:cs="Arial" w:eastAsia="Arial" w:hAnsi="Arial"/>
                <w:sz w:val="14"/>
                <w:szCs w:val="14"/>
                <w:color w:val="auto"/>
              </w:rPr>
              <w:t>385,509</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44,533</w:t>
            </w:r>
          </w:p>
        </w:tc>
        <w:tc>
          <w:tcPr>
            <w:tcW w:w="320" w:type="dxa"/>
            <w:vAlign w:val="bottom"/>
          </w:tcPr>
          <w:p>
            <w:pPr>
              <w:jc w:val="right"/>
              <w:ind w:right="134"/>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31,697 Earnout RSUs granted in connection with the Prior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type w:val="continuous"/>
        </w:sectPr>
      </w:pPr>
    </w:p>
    <w:bookmarkStart w:id="169" w:name="page170"/>
    <w:bookmarkEnd w:id="169"/>
    <w:p>
      <w:pPr>
        <w:ind w:right="720"/>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0" w:lineRule="exact"/>
        <w:rPr>
          <w:sz w:val="20"/>
          <w:szCs w:val="20"/>
          <w:color w:val="auto"/>
        </w:rPr>
      </w:pPr>
    </w:p>
    <w:p>
      <w:pPr>
        <w:jc w:val="both"/>
        <w:ind w:right="260" w:firstLine="397"/>
        <w:spacing w:after="0" w:line="255" w:lineRule="auto"/>
        <w:rPr>
          <w:sz w:val="20"/>
          <w:szCs w:val="20"/>
          <w:color w:val="auto"/>
        </w:rPr>
      </w:pPr>
      <w:r>
        <w:rPr>
          <w:rFonts w:ascii="Arial" w:cs="Arial" w:eastAsia="Arial" w:hAnsi="Arial"/>
          <w:sz w:val="18"/>
          <w:szCs w:val="18"/>
          <w:color w:val="auto"/>
        </w:rPr>
        <w:t>The following table summarizes the number of securities underlying outstanding options, stock awards, warrants and rights granted to employees and directors, as well as the number of securities remaining available for future issuance, under the company’s equity compensation awards as of December 31, 2021.</w:t>
      </w:r>
    </w:p>
    <w:p>
      <w:pPr>
        <w:spacing w:after="0" w:line="165"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1880" w:type="dxa"/>
            <w:vAlign w:val="bottom"/>
          </w:tcPr>
          <w:p>
            <w:pPr>
              <w:spacing w:after="0"/>
              <w:rPr>
                <w:sz w:val="15"/>
                <w:szCs w:val="15"/>
                <w:color w:val="auto"/>
              </w:rPr>
            </w:pPr>
          </w:p>
        </w:tc>
        <w:tc>
          <w:tcPr>
            <w:tcW w:w="3000" w:type="dxa"/>
            <w:vAlign w:val="bottom"/>
          </w:tcPr>
          <w:p>
            <w:pPr>
              <w:jc w:val="center"/>
              <w:ind w:left="451"/>
              <w:spacing w:after="0"/>
              <w:rPr>
                <w:sz w:val="20"/>
                <w:szCs w:val="20"/>
                <w:color w:val="auto"/>
              </w:rPr>
            </w:pPr>
            <w:r>
              <w:rPr>
                <w:rFonts w:ascii="Arial" w:cs="Arial" w:eastAsia="Arial" w:hAnsi="Arial"/>
                <w:sz w:val="14"/>
                <w:szCs w:val="14"/>
                <w:b w:val="1"/>
                <w:bCs w:val="1"/>
                <w:color w:val="auto"/>
                <w:w w:val="93"/>
              </w:rPr>
              <w:t>(a)</w:t>
            </w:r>
          </w:p>
        </w:tc>
        <w:tc>
          <w:tcPr>
            <w:tcW w:w="2180" w:type="dxa"/>
            <w:vAlign w:val="bottom"/>
          </w:tcPr>
          <w:p>
            <w:pPr>
              <w:jc w:val="center"/>
              <w:ind w:left="91"/>
              <w:spacing w:after="0"/>
              <w:rPr>
                <w:sz w:val="20"/>
                <w:szCs w:val="20"/>
                <w:color w:val="auto"/>
              </w:rPr>
            </w:pPr>
            <w:r>
              <w:rPr>
                <w:rFonts w:ascii="Arial" w:cs="Arial" w:eastAsia="Arial" w:hAnsi="Arial"/>
                <w:sz w:val="14"/>
                <w:szCs w:val="14"/>
                <w:b w:val="1"/>
                <w:bCs w:val="1"/>
                <w:color w:val="auto"/>
              </w:rPr>
              <w:t>(b)</w:t>
            </w:r>
          </w:p>
        </w:tc>
        <w:tc>
          <w:tcPr>
            <w:tcW w:w="1780" w:type="dxa"/>
            <w:vAlign w:val="bottom"/>
          </w:tcPr>
          <w:p>
            <w:pPr>
              <w:jc w:val="center"/>
              <w:ind w:left="309"/>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3"/>
        </w:trPr>
        <w:tc>
          <w:tcPr>
            <w:tcW w:w="1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780" w:type="dxa"/>
            <w:vAlign w:val="bottom"/>
          </w:tcPr>
          <w:p>
            <w:pPr>
              <w:jc w:val="center"/>
              <w:ind w:left="329"/>
              <w:spacing w:after="0" w:line="143" w:lineRule="exact"/>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3000" w:type="dxa"/>
            <w:vAlign w:val="bottom"/>
            <w:vMerge w:val="restart"/>
          </w:tcPr>
          <w:p>
            <w:pPr>
              <w:jc w:val="center"/>
              <w:ind w:left="451"/>
              <w:spacing w:after="0"/>
              <w:rPr>
                <w:sz w:val="20"/>
                <w:szCs w:val="20"/>
                <w:color w:val="auto"/>
              </w:rPr>
            </w:pPr>
            <w:r>
              <w:rPr>
                <w:rFonts w:ascii="Arial" w:cs="Arial" w:eastAsia="Arial" w:hAnsi="Arial"/>
                <w:sz w:val="14"/>
                <w:szCs w:val="14"/>
                <w:b w:val="1"/>
                <w:bCs w:val="1"/>
                <w:color w:val="auto"/>
                <w:w w:val="89"/>
              </w:rPr>
              <w:t>Number of securities</w:t>
            </w:r>
          </w:p>
        </w:tc>
        <w:tc>
          <w:tcPr>
            <w:tcW w:w="2180" w:type="dxa"/>
            <w:vAlign w:val="bottom"/>
            <w:vMerge w:val="restart"/>
          </w:tcPr>
          <w:p>
            <w:pPr>
              <w:jc w:val="center"/>
              <w:ind w:left="91"/>
              <w:spacing w:after="0"/>
              <w:rPr>
                <w:sz w:val="20"/>
                <w:szCs w:val="20"/>
                <w:color w:val="auto"/>
              </w:rPr>
            </w:pPr>
            <w:r>
              <w:rPr>
                <w:rFonts w:ascii="Arial" w:cs="Arial" w:eastAsia="Arial" w:hAnsi="Arial"/>
                <w:sz w:val="14"/>
                <w:szCs w:val="14"/>
                <w:b w:val="1"/>
                <w:bCs w:val="1"/>
                <w:color w:val="auto"/>
                <w:w w:val="91"/>
              </w:rPr>
              <w:t>Weighted-average</w:t>
            </w:r>
          </w:p>
        </w:tc>
        <w:tc>
          <w:tcPr>
            <w:tcW w:w="1780" w:type="dxa"/>
            <w:vAlign w:val="bottom"/>
          </w:tcPr>
          <w:p>
            <w:pPr>
              <w:jc w:val="center"/>
              <w:ind w:left="309"/>
              <w:spacing w:after="0" w:line="133" w:lineRule="exact"/>
              <w:rPr>
                <w:sz w:val="20"/>
                <w:szCs w:val="20"/>
                <w:color w:val="auto"/>
              </w:rPr>
            </w:pPr>
            <w:r>
              <w:rPr>
                <w:rFonts w:ascii="Arial" w:cs="Arial" w:eastAsia="Arial" w:hAnsi="Arial"/>
                <w:sz w:val="14"/>
                <w:szCs w:val="14"/>
                <w:b w:val="1"/>
                <w:bCs w:val="1"/>
                <w:color w:val="auto"/>
                <w:w w:val="91"/>
              </w:rPr>
              <w:t>remaining available for</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3000" w:type="dxa"/>
            <w:vAlign w:val="bottom"/>
            <w:vMerge w:val="continue"/>
          </w:tcPr>
          <w:p>
            <w:pPr>
              <w:spacing w:after="0"/>
              <w:rPr>
                <w:sz w:val="11"/>
                <w:szCs w:val="11"/>
                <w:color w:val="auto"/>
              </w:rPr>
            </w:pPr>
          </w:p>
        </w:tc>
        <w:tc>
          <w:tcPr>
            <w:tcW w:w="2180" w:type="dxa"/>
            <w:vAlign w:val="bottom"/>
            <w:vMerge w:val="continue"/>
          </w:tcPr>
          <w:p>
            <w:pPr>
              <w:spacing w:after="0"/>
              <w:rPr>
                <w:sz w:val="11"/>
                <w:szCs w:val="11"/>
                <w:color w:val="auto"/>
              </w:rPr>
            </w:pPr>
          </w:p>
        </w:tc>
        <w:tc>
          <w:tcPr>
            <w:tcW w:w="1780" w:type="dxa"/>
            <w:vAlign w:val="bottom"/>
          </w:tcPr>
          <w:p>
            <w:pPr>
              <w:jc w:val="center"/>
              <w:ind w:left="329"/>
              <w:spacing w:after="0" w:line="133" w:lineRule="exact"/>
              <w:rPr>
                <w:sz w:val="20"/>
                <w:szCs w:val="20"/>
                <w:color w:val="auto"/>
              </w:rPr>
            </w:pPr>
            <w:r>
              <w:rPr>
                <w:rFonts w:ascii="Arial" w:cs="Arial" w:eastAsia="Arial" w:hAnsi="Arial"/>
                <w:sz w:val="14"/>
                <w:szCs w:val="14"/>
                <w:b w:val="1"/>
                <w:bCs w:val="1"/>
                <w:color w:val="auto"/>
                <w:w w:val="88"/>
              </w:rPr>
              <w:t>future issuance under</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3000" w:type="dxa"/>
            <w:vAlign w:val="bottom"/>
          </w:tcPr>
          <w:p>
            <w:pPr>
              <w:jc w:val="center"/>
              <w:ind w:left="451"/>
              <w:spacing w:after="0" w:line="133" w:lineRule="exact"/>
              <w:rPr>
                <w:sz w:val="20"/>
                <w:szCs w:val="20"/>
                <w:color w:val="auto"/>
              </w:rPr>
            </w:pPr>
            <w:r>
              <w:rPr>
                <w:rFonts w:ascii="Arial" w:cs="Arial" w:eastAsia="Arial" w:hAnsi="Arial"/>
                <w:sz w:val="14"/>
                <w:szCs w:val="14"/>
                <w:b w:val="1"/>
                <w:bCs w:val="1"/>
                <w:color w:val="auto"/>
                <w:w w:val="86"/>
              </w:rPr>
              <w:t>to be issued upon</w:t>
            </w:r>
          </w:p>
        </w:tc>
        <w:tc>
          <w:tcPr>
            <w:tcW w:w="2180" w:type="dxa"/>
            <w:vAlign w:val="bottom"/>
          </w:tcPr>
          <w:p>
            <w:pPr>
              <w:jc w:val="center"/>
              <w:ind w:left="91"/>
              <w:spacing w:after="0" w:line="133" w:lineRule="exact"/>
              <w:rPr>
                <w:sz w:val="20"/>
                <w:szCs w:val="20"/>
                <w:color w:val="auto"/>
              </w:rPr>
            </w:pPr>
            <w:r>
              <w:rPr>
                <w:rFonts w:ascii="Arial" w:cs="Arial" w:eastAsia="Arial" w:hAnsi="Arial"/>
                <w:sz w:val="14"/>
                <w:szCs w:val="14"/>
                <w:b w:val="1"/>
                <w:bCs w:val="1"/>
                <w:color w:val="auto"/>
                <w:w w:val="88"/>
              </w:rPr>
              <w:t>exercise price of</w:t>
            </w:r>
          </w:p>
        </w:tc>
        <w:tc>
          <w:tcPr>
            <w:tcW w:w="1780" w:type="dxa"/>
            <w:vAlign w:val="bottom"/>
          </w:tcPr>
          <w:p>
            <w:pPr>
              <w:jc w:val="center"/>
              <w:ind w:left="309"/>
              <w:spacing w:after="0" w:line="133" w:lineRule="exact"/>
              <w:rPr>
                <w:sz w:val="20"/>
                <w:szCs w:val="20"/>
                <w:color w:val="auto"/>
              </w:rPr>
            </w:pPr>
            <w:r>
              <w:rPr>
                <w:rFonts w:ascii="Arial" w:cs="Arial" w:eastAsia="Arial" w:hAnsi="Arial"/>
                <w:sz w:val="14"/>
                <w:szCs w:val="14"/>
                <w:b w:val="1"/>
                <w:bCs w:val="1"/>
                <w:color w:val="auto"/>
                <w:w w:val="88"/>
              </w:rPr>
              <w:t>equity compensation</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3000" w:type="dxa"/>
            <w:vAlign w:val="bottom"/>
          </w:tcPr>
          <w:p>
            <w:pPr>
              <w:jc w:val="center"/>
              <w:ind w:left="451"/>
              <w:spacing w:after="0" w:line="133" w:lineRule="exact"/>
              <w:rPr>
                <w:sz w:val="20"/>
                <w:szCs w:val="20"/>
                <w:color w:val="auto"/>
              </w:rPr>
            </w:pPr>
            <w:r>
              <w:rPr>
                <w:rFonts w:ascii="Arial" w:cs="Arial" w:eastAsia="Arial" w:hAnsi="Arial"/>
                <w:sz w:val="14"/>
                <w:szCs w:val="14"/>
                <w:b w:val="1"/>
                <w:bCs w:val="1"/>
                <w:color w:val="auto"/>
                <w:w w:val="86"/>
              </w:rPr>
              <w:t>exercise of outstanding</w:t>
            </w:r>
          </w:p>
        </w:tc>
        <w:tc>
          <w:tcPr>
            <w:tcW w:w="2180" w:type="dxa"/>
            <w:vAlign w:val="bottom"/>
          </w:tcPr>
          <w:p>
            <w:pPr>
              <w:jc w:val="center"/>
              <w:ind w:left="91"/>
              <w:spacing w:after="0" w:line="133" w:lineRule="exact"/>
              <w:rPr>
                <w:sz w:val="20"/>
                <w:szCs w:val="20"/>
                <w:color w:val="auto"/>
              </w:rPr>
            </w:pPr>
            <w:r>
              <w:rPr>
                <w:rFonts w:ascii="Arial" w:cs="Arial" w:eastAsia="Arial" w:hAnsi="Arial"/>
                <w:sz w:val="14"/>
                <w:szCs w:val="14"/>
                <w:b w:val="1"/>
                <w:bCs w:val="1"/>
                <w:color w:val="auto"/>
                <w:w w:val="88"/>
              </w:rPr>
              <w:t>outstanding options,</w:t>
            </w:r>
          </w:p>
        </w:tc>
        <w:tc>
          <w:tcPr>
            <w:tcW w:w="1780" w:type="dxa"/>
            <w:vAlign w:val="bottom"/>
          </w:tcPr>
          <w:p>
            <w:pPr>
              <w:jc w:val="center"/>
              <w:ind w:left="329"/>
              <w:spacing w:after="0" w:line="133" w:lineRule="exact"/>
              <w:rPr>
                <w:sz w:val="20"/>
                <w:szCs w:val="20"/>
                <w:color w:val="auto"/>
              </w:rPr>
            </w:pPr>
            <w:r>
              <w:rPr>
                <w:rFonts w:ascii="Arial" w:cs="Arial" w:eastAsia="Arial" w:hAnsi="Arial"/>
                <w:sz w:val="14"/>
                <w:szCs w:val="14"/>
                <w:b w:val="1"/>
                <w:bCs w:val="1"/>
                <w:color w:val="auto"/>
                <w:w w:val="88"/>
              </w:rPr>
              <w:t>plans (excluding</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3000" w:type="dxa"/>
            <w:vAlign w:val="bottom"/>
          </w:tcPr>
          <w:p>
            <w:pPr>
              <w:jc w:val="center"/>
              <w:ind w:left="451"/>
              <w:spacing w:after="0" w:line="133" w:lineRule="exact"/>
              <w:rPr>
                <w:sz w:val="20"/>
                <w:szCs w:val="20"/>
                <w:color w:val="auto"/>
              </w:rPr>
            </w:pPr>
            <w:r>
              <w:rPr>
                <w:rFonts w:ascii="Arial" w:cs="Arial" w:eastAsia="Arial" w:hAnsi="Arial"/>
                <w:sz w:val="14"/>
                <w:szCs w:val="14"/>
                <w:b w:val="1"/>
                <w:bCs w:val="1"/>
                <w:color w:val="auto"/>
                <w:w w:val="90"/>
              </w:rPr>
              <w:t>options, warrants and</w:t>
            </w:r>
          </w:p>
        </w:tc>
        <w:tc>
          <w:tcPr>
            <w:tcW w:w="2180" w:type="dxa"/>
            <w:vAlign w:val="bottom"/>
          </w:tcPr>
          <w:p>
            <w:pPr>
              <w:jc w:val="center"/>
              <w:ind w:left="91"/>
              <w:spacing w:after="0" w:line="133" w:lineRule="exact"/>
              <w:rPr>
                <w:sz w:val="20"/>
                <w:szCs w:val="20"/>
                <w:color w:val="auto"/>
              </w:rPr>
            </w:pPr>
            <w:r>
              <w:rPr>
                <w:rFonts w:ascii="Arial" w:cs="Arial" w:eastAsia="Arial" w:hAnsi="Arial"/>
                <w:sz w:val="14"/>
                <w:szCs w:val="14"/>
                <w:b w:val="1"/>
                <w:bCs w:val="1"/>
                <w:color w:val="auto"/>
                <w:w w:val="94"/>
              </w:rPr>
              <w:t>warrants and</w:t>
            </w:r>
          </w:p>
        </w:tc>
        <w:tc>
          <w:tcPr>
            <w:tcW w:w="1780" w:type="dxa"/>
            <w:vAlign w:val="bottom"/>
          </w:tcPr>
          <w:p>
            <w:pPr>
              <w:jc w:val="center"/>
              <w:ind w:left="309"/>
              <w:spacing w:after="0" w:line="133" w:lineRule="exact"/>
              <w:rPr>
                <w:sz w:val="20"/>
                <w:szCs w:val="20"/>
                <w:color w:val="auto"/>
              </w:rPr>
            </w:pPr>
            <w:r>
              <w:rPr>
                <w:rFonts w:ascii="Arial" w:cs="Arial" w:eastAsia="Arial" w:hAnsi="Arial"/>
                <w:sz w:val="14"/>
                <w:szCs w:val="14"/>
                <w:b w:val="1"/>
                <w:bCs w:val="1"/>
                <w:color w:val="auto"/>
                <w:w w:val="88"/>
              </w:rPr>
              <w:t>securities reflected in</w:t>
            </w:r>
          </w:p>
        </w:tc>
        <w:tc>
          <w:tcPr>
            <w:tcW w:w="0" w:type="dxa"/>
            <w:vAlign w:val="bottom"/>
          </w:tcPr>
          <w:p>
            <w:pPr>
              <w:spacing w:after="0"/>
              <w:rPr>
                <w:sz w:val="1"/>
                <w:szCs w:val="1"/>
                <w:color w:val="auto"/>
              </w:rPr>
            </w:pPr>
          </w:p>
        </w:tc>
      </w:tr>
      <w:tr>
        <w:trPr>
          <w:trHeight w:val="133"/>
        </w:trPr>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3000" w:type="dxa"/>
            <w:vAlign w:val="bottom"/>
          </w:tcPr>
          <w:p>
            <w:pPr>
              <w:jc w:val="center"/>
              <w:ind w:left="431"/>
              <w:spacing w:after="0" w:line="133" w:lineRule="exact"/>
              <w:rPr>
                <w:sz w:val="20"/>
                <w:szCs w:val="20"/>
                <w:color w:val="auto"/>
              </w:rPr>
            </w:pPr>
            <w:r>
              <w:rPr>
                <w:rFonts w:ascii="Arial" w:cs="Arial" w:eastAsia="Arial" w:hAnsi="Arial"/>
                <w:sz w:val="12"/>
                <w:szCs w:val="12"/>
                <w:b w:val="1"/>
                <w:bCs w:val="1"/>
                <w:color w:val="auto"/>
              </w:rPr>
              <w:t>rights</w:t>
            </w:r>
            <w:r>
              <w:rPr>
                <w:rFonts w:ascii="Arial" w:cs="Arial" w:eastAsia="Arial" w:hAnsi="Arial"/>
                <w:sz w:val="15"/>
                <w:szCs w:val="15"/>
                <w:b w:val="1"/>
                <w:bCs w:val="1"/>
                <w:color w:val="auto"/>
                <w:vertAlign w:val="superscript"/>
              </w:rPr>
              <w:t>(1)</w:t>
            </w:r>
          </w:p>
        </w:tc>
        <w:tc>
          <w:tcPr>
            <w:tcW w:w="2180" w:type="dxa"/>
            <w:vAlign w:val="bottom"/>
          </w:tcPr>
          <w:p>
            <w:pPr>
              <w:jc w:val="center"/>
              <w:ind w:left="91"/>
              <w:spacing w:after="0" w:line="133" w:lineRule="exact"/>
              <w:rPr>
                <w:sz w:val="20"/>
                <w:szCs w:val="20"/>
                <w:color w:val="auto"/>
              </w:rPr>
            </w:pPr>
            <w:r>
              <w:rPr>
                <w:rFonts w:ascii="Arial" w:cs="Arial" w:eastAsia="Arial" w:hAnsi="Arial"/>
                <w:sz w:val="12"/>
                <w:szCs w:val="12"/>
                <w:b w:val="1"/>
                <w:bCs w:val="1"/>
                <w:color w:val="auto"/>
              </w:rPr>
              <w:t>rights</w:t>
            </w:r>
            <w:r>
              <w:rPr>
                <w:rFonts w:ascii="Arial" w:cs="Arial" w:eastAsia="Arial" w:hAnsi="Arial"/>
                <w:sz w:val="15"/>
                <w:szCs w:val="15"/>
                <w:b w:val="1"/>
                <w:bCs w:val="1"/>
                <w:color w:val="auto"/>
                <w:vertAlign w:val="superscript"/>
              </w:rPr>
              <w:t>(2)</w:t>
            </w:r>
          </w:p>
        </w:tc>
        <w:tc>
          <w:tcPr>
            <w:tcW w:w="1780" w:type="dxa"/>
            <w:vAlign w:val="bottom"/>
          </w:tcPr>
          <w:p>
            <w:pPr>
              <w:jc w:val="center"/>
              <w:ind w:left="329"/>
              <w:spacing w:after="0" w:line="133"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84"/>
        </w:trPr>
        <w:tc>
          <w:tcPr>
            <w:tcW w:w="1880" w:type="dxa"/>
            <w:vAlign w:val="bottom"/>
            <w:vMerge w:val="continue"/>
          </w:tcPr>
          <w:p>
            <w:pPr>
              <w:spacing w:after="0"/>
              <w:rPr>
                <w:sz w:val="15"/>
                <w:szCs w:val="15"/>
                <w:color w:val="auto"/>
              </w:rPr>
            </w:pPr>
          </w:p>
        </w:tc>
        <w:tc>
          <w:tcPr>
            <w:tcW w:w="3000" w:type="dxa"/>
            <w:vAlign w:val="bottom"/>
          </w:tcPr>
          <w:p>
            <w:pPr>
              <w:jc w:val="center"/>
              <w:ind w:left="451"/>
              <w:spacing w:after="0"/>
              <w:rPr>
                <w:sz w:val="20"/>
                <w:szCs w:val="20"/>
                <w:color w:val="auto"/>
              </w:rPr>
            </w:pPr>
            <w:r>
              <w:rPr>
                <w:rFonts w:ascii="Arial" w:cs="Arial" w:eastAsia="Arial" w:hAnsi="Arial"/>
                <w:sz w:val="14"/>
                <w:szCs w:val="14"/>
                <w:b w:val="1"/>
                <w:bCs w:val="1"/>
                <w:color w:val="auto"/>
                <w:w w:val="93"/>
              </w:rPr>
              <w:t>(#)</w:t>
            </w:r>
          </w:p>
        </w:tc>
        <w:tc>
          <w:tcPr>
            <w:tcW w:w="2180" w:type="dxa"/>
            <w:vAlign w:val="bottom"/>
          </w:tcPr>
          <w:p>
            <w:pPr>
              <w:jc w:val="center"/>
              <w:ind w:left="91"/>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center"/>
              <w:ind w:left="309"/>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34860" cy="176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Equity compensation plans approved by security holders</w:t>
      </w:r>
    </w:p>
    <w:p>
      <w:pPr>
        <w:spacing w:after="0" w:line="93" w:lineRule="exact"/>
        <w:rPr>
          <w:sz w:val="20"/>
          <w:szCs w:val="20"/>
          <w:color w:val="auto"/>
        </w:rPr>
      </w:pPr>
    </w:p>
    <w:p>
      <w:pPr>
        <w:ind w:left="180" w:right="280" w:hanging="158"/>
        <w:spacing w:after="0" w:line="229" w:lineRule="auto"/>
        <w:rPr>
          <w:sz w:val="20"/>
          <w:szCs w:val="20"/>
          <w:color w:val="auto"/>
        </w:rPr>
      </w:pPr>
      <w:r>
        <w:rPr>
          <w:rFonts w:ascii="Arial" w:cs="Arial" w:eastAsia="Arial" w:hAnsi="Arial"/>
          <w:sz w:val="18"/>
          <w:szCs w:val="18"/>
          <w:color w:val="auto"/>
        </w:rPr>
        <w:t>Equity compensation plans not approved by security holders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2000" w:type="dxa"/>
            <w:vAlign w:val="bottom"/>
          </w:tcPr>
          <w:p>
            <w:pPr>
              <w:ind w:left="1140"/>
              <w:spacing w:after="0"/>
              <w:rPr>
                <w:sz w:val="20"/>
                <w:szCs w:val="20"/>
                <w:color w:val="auto"/>
              </w:rPr>
            </w:pPr>
            <w:r>
              <w:rPr>
                <w:rFonts w:ascii="Arial" w:cs="Arial" w:eastAsia="Arial" w:hAnsi="Arial"/>
                <w:sz w:val="18"/>
                <w:szCs w:val="18"/>
                <w:color w:val="auto"/>
                <w:w w:val="93"/>
              </w:rPr>
              <w:t>15,823,351</w:t>
            </w:r>
          </w:p>
        </w:tc>
        <w:tc>
          <w:tcPr>
            <w:tcW w:w="280" w:type="dxa"/>
            <w:vAlign w:val="bottom"/>
          </w:tcPr>
          <w:p>
            <w:pPr>
              <w:spacing w:after="0"/>
              <w:rPr>
                <w:sz w:val="21"/>
                <w:szCs w:val="21"/>
                <w:color w:val="auto"/>
              </w:rPr>
            </w:pPr>
          </w:p>
        </w:tc>
        <w:tc>
          <w:tcPr>
            <w:tcW w:w="10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7.69</w:t>
            </w:r>
          </w:p>
        </w:tc>
        <w:tc>
          <w:tcPr>
            <w:tcW w:w="2020" w:type="dxa"/>
            <w:vAlign w:val="bottom"/>
          </w:tcPr>
          <w:p>
            <w:pPr>
              <w:jc w:val="right"/>
              <w:spacing w:after="0"/>
              <w:rPr>
                <w:sz w:val="20"/>
                <w:szCs w:val="20"/>
                <w:color w:val="auto"/>
              </w:rPr>
            </w:pPr>
            <w:r>
              <w:rPr>
                <w:rFonts w:ascii="Arial" w:cs="Arial" w:eastAsia="Arial" w:hAnsi="Arial"/>
                <w:sz w:val="18"/>
                <w:szCs w:val="18"/>
                <w:color w:val="auto"/>
              </w:rPr>
              <w:t>20,271,849</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(3)</w:t>
            </w:r>
          </w:p>
        </w:tc>
      </w:tr>
      <w:tr>
        <w:trPr>
          <w:trHeight w:val="398"/>
        </w:trPr>
        <w:tc>
          <w:tcPr>
            <w:tcW w:w="2280" w:type="dxa"/>
            <w:vAlign w:val="bottom"/>
            <w:gridSpan w:val="2"/>
          </w:tcPr>
          <w:p>
            <w:pPr>
              <w:ind w:left="1140"/>
              <w:spacing w:after="0"/>
              <w:rPr>
                <w:sz w:val="20"/>
                <w:szCs w:val="20"/>
                <w:color w:val="auto"/>
              </w:rPr>
            </w:pPr>
            <w:r>
              <w:rPr>
                <w:rFonts w:ascii="Arial" w:cs="Arial" w:eastAsia="Arial" w:hAnsi="Arial"/>
                <w:sz w:val="18"/>
                <w:szCs w:val="18"/>
                <w:color w:val="auto"/>
                <w:w w:val="99"/>
              </w:rPr>
              <w:t xml:space="preserve">30,341,429 </w:t>
            </w:r>
            <w:r>
              <w:rPr>
                <w:rFonts w:ascii="Arial" w:cs="Arial" w:eastAsia="Arial" w:hAnsi="Arial"/>
                <w:sz w:val="22"/>
                <w:szCs w:val="22"/>
                <w:color w:val="auto"/>
                <w:w w:val="99"/>
                <w:vertAlign w:val="superscript"/>
              </w:rPr>
              <w:t>(4)</w:t>
            </w:r>
          </w:p>
        </w:tc>
        <w:tc>
          <w:tcPr>
            <w:tcW w:w="10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0.49</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8"/>
        </w:trPr>
        <w:tc>
          <w:tcPr>
            <w:tcW w:w="200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color w:val="auto"/>
                <w:w w:val="93"/>
              </w:rPr>
              <w:t>46,164,780</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20,271,849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-209550</wp:posOffset>
            </wp:positionV>
            <wp:extent cx="7134860" cy="1936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860" cy="19367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4020" w:space="340"/>
            <w:col w:w="6880"/>
          </w:cols>
          <w:pgMar w:left="320" w:top="1393" w:right="339" w:bottom="1440" w:gutter="0" w:footer="0" w:header="0"/>
          <w:type w:val="continuous"/>
        </w:sectPr>
      </w:pPr>
    </w:p>
    <w:p>
      <w:pPr>
        <w:ind w:left="320" w:right="280" w:hanging="314"/>
        <w:spacing w:after="0" w:line="237" w:lineRule="auto"/>
        <w:tabs>
          <w:tab w:leader="none" w:pos="312"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options to purchase shares of our Class A common stock, RSU awards representing the right to acquire shares of our Class A common stock, and performance stock unit awards representing the right to acquire shares of our Class A common stock</w:t>
      </w:r>
    </w:p>
    <w:p>
      <w:pPr>
        <w:ind w:left="320" w:right="20" w:hanging="314"/>
        <w:spacing w:after="0" w:line="237" w:lineRule="auto"/>
        <w:tabs>
          <w:tab w:leader="none" w:pos="312"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weighted average exercise price is calculated based solely on the outstanding stock options. It does not take into account the shares issuable upon vesting of outstanding RSU awards, which have no exercise price.</w:t>
      </w:r>
    </w:p>
    <w:p>
      <w:pPr>
        <w:ind w:left="320" w:right="20" w:hanging="314"/>
        <w:spacing w:after="0" w:line="237" w:lineRule="auto"/>
        <w:tabs>
          <w:tab w:leader="none" w:pos="312"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15,467,838 shares remaining available for issuance under the 2021 EIP, and 4,804,011 shares remaining available for issuance under the ESPP. On January 25, 2022, an additional 12,128,941 shares became available for future issuance under the Sema4 Holdings Corp. 2021 Equity Incentive Plan and an additional 2,425,788 became available for issuance under the Sema4 Holdings Corp. 2021 Employee Stock Purchase Plan, both pursuant to the plan’s evergreen provisions.</w:t>
      </w:r>
    </w:p>
    <w:p>
      <w:pPr>
        <w:ind w:left="320" w:right="560" w:hanging="314"/>
        <w:spacing w:after="0" w:line="247" w:lineRule="auto"/>
        <w:tabs>
          <w:tab w:leader="none" w:pos="312"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outstanding stock options that were assumed in connection with our business combination and the Earn Out RSUs granted in connection with the business combination. No additional awards may be granted under the 2017 Plan pursuant to which such awards were initially granted.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Certain Stockholders, Directors and Executive Officers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certain information with respect to the beneficial ownership of our Class A common stock as of February 22, 2022, by:</w:t>
      </w:r>
    </w:p>
    <w:p>
      <w:pPr>
        <w:spacing w:after="0" w:line="199" w:lineRule="exact"/>
        <w:rPr>
          <w:sz w:val="20"/>
          <w:szCs w:val="20"/>
          <w:color w:val="auto"/>
        </w:rPr>
      </w:pPr>
    </w:p>
    <w:p>
      <w:pPr>
        <w:ind w:left="1280" w:hanging="320"/>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Class A common stock;</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Percentage ownership of our Class A common stock is based on 244,727,239 shares of our Class A common stock outstanding on February 22, 2022. 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type w:val="continuous"/>
        </w:sectPr>
      </w:pPr>
    </w:p>
    <w:bookmarkStart w:id="170" w:name="page171"/>
    <w:bookmarkEnd w:id="170"/>
    <w:p>
      <w:pPr>
        <w:spacing w:after="0" w:line="264" w:lineRule="auto"/>
        <w:rPr>
          <w:sz w:val="20"/>
          <w:szCs w:val="20"/>
          <w:color w:val="auto"/>
        </w:rPr>
      </w:pPr>
      <w:r>
        <w:rPr>
          <w:rFonts w:ascii="Arial" w:cs="Arial" w:eastAsia="Arial" w:hAnsi="Arial"/>
          <w:sz w:val="18"/>
          <w:szCs w:val="18"/>
          <w:color w:val="auto"/>
        </w:rPr>
        <w:t>respect to such shares. Unless otherwise noted, the address of each beneficial owner is c/o Sema4 Holdings Corp., 333 Ludlow Street, North Tower, 8th Floor, Stamford, Connecticut 06902.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Number of Shares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33"/>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85"/>
              </w:rPr>
              <w:t>Class</w:t>
            </w: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33"/>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Owners</w:t>
            </w:r>
          </w:p>
        </w:tc>
        <w:tc>
          <w:tcPr>
            <w:tcW w:w="16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0"/>
              </w:rPr>
              <w:t>A Common Stock</w:t>
            </w: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5"/>
              </w:rPr>
              <w:t>Class A</w:t>
            </w:r>
          </w:p>
        </w:tc>
        <w:tc>
          <w:tcPr>
            <w:tcW w:w="0" w:type="dxa"/>
            <w:vAlign w:val="bottom"/>
          </w:tcPr>
          <w:p>
            <w:pPr>
              <w:spacing w:after="0"/>
              <w:rPr>
                <w:sz w:val="1"/>
                <w:szCs w:val="1"/>
                <w:color w:val="auto"/>
              </w:rPr>
            </w:pPr>
          </w:p>
        </w:tc>
      </w:tr>
      <w:tr>
        <w:trPr>
          <w:trHeight w:val="185"/>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Beneficially Owned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219"/>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5% Stockholders: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Blackstone Group Inc.</w:t>
            </w:r>
            <w:r>
              <w:rPr>
                <w:rFonts w:ascii="Arial" w:cs="Arial" w:eastAsia="Arial" w:hAnsi="Arial"/>
                <w:sz w:val="22"/>
                <w:szCs w:val="22"/>
                <w:color w:val="auto"/>
                <w:vertAlign w:val="superscript"/>
              </w:rPr>
              <w:t>(1)</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25,866,502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affiliated with Deerfield Management Company, L.P.</w:t>
            </w:r>
            <w:r>
              <w:rPr>
                <w:rFonts w:ascii="Arial" w:cs="Arial" w:eastAsia="Arial" w:hAnsi="Arial"/>
                <w:sz w:val="22"/>
                <w:szCs w:val="22"/>
                <w:color w:val="auto"/>
                <w:vertAlign w:val="superscript"/>
              </w:rPr>
              <w:t>(2)</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13,966,824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Icahn School of Medicine at Mount Sinai</w:t>
            </w:r>
            <w:r>
              <w:rPr>
                <w:rFonts w:ascii="Arial" w:cs="Arial" w:eastAsia="Arial" w:hAnsi="Arial"/>
                <w:sz w:val="22"/>
                <w:szCs w:val="22"/>
                <w:color w:val="auto"/>
                <w:vertAlign w:val="superscript"/>
              </w:rPr>
              <w:t>(3)</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88,355,473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36.1</w:t>
            </w:r>
          </w:p>
        </w:tc>
        <w:tc>
          <w:tcPr>
            <w:tcW w:w="0" w:type="dxa"/>
            <w:vAlign w:val="bottom"/>
          </w:tcPr>
          <w:p>
            <w:pPr>
              <w:spacing w:after="0"/>
              <w:rPr>
                <w:sz w:val="1"/>
                <w:szCs w:val="1"/>
                <w:color w:val="auto"/>
              </w:rPr>
            </w:pPr>
          </w:p>
        </w:tc>
      </w:tr>
      <w:tr>
        <w:trPr>
          <w:trHeight w:val="199"/>
        </w:trPr>
        <w:tc>
          <w:tcPr>
            <w:tcW w:w="7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Eric Schadt</w:t>
            </w:r>
            <w:r>
              <w:rPr>
                <w:rFonts w:ascii="Arial" w:cs="Arial" w:eastAsia="Arial" w:hAnsi="Arial"/>
                <w:sz w:val="22"/>
                <w:szCs w:val="22"/>
                <w:color w:val="auto"/>
                <w:vertAlign w:val="superscript"/>
              </w:rPr>
              <w:t>(4)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7,484,116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Isaac Ro</w:t>
            </w:r>
            <w:r>
              <w:rPr>
                <w:rFonts w:ascii="Arial" w:cs="Arial" w:eastAsia="Arial" w:hAnsi="Arial"/>
                <w:sz w:val="22"/>
                <w:szCs w:val="22"/>
                <w:color w:val="auto"/>
                <w:vertAlign w:val="superscript"/>
              </w:rPr>
              <w:t>(5)</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395,294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James Coffin </w:t>
            </w:r>
            <w:r>
              <w:rPr>
                <w:rFonts w:ascii="Arial" w:cs="Arial" w:eastAsia="Arial" w:hAnsi="Arial"/>
                <w:sz w:val="22"/>
                <w:szCs w:val="22"/>
                <w:color w:val="auto"/>
                <w:vertAlign w:val="superscript"/>
              </w:rPr>
              <w:t>(6)</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2,696,080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Dennis Charney</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6"/>
        </w:trPr>
        <w:tc>
          <w:tcPr>
            <w:tcW w:w="802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Eli D. Casdin</w:t>
            </w:r>
            <w:r>
              <w:rPr>
                <w:rFonts w:ascii="Arial" w:cs="Arial" w:eastAsia="Arial" w:hAnsi="Arial"/>
                <w:sz w:val="22"/>
                <w:szCs w:val="22"/>
                <w:color w:val="auto"/>
                <w:vertAlign w:val="superscript"/>
              </w:rPr>
              <w:t>(7)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22,730,419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9.3</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Emily Leproust</w:t>
            </w:r>
            <w:r>
              <w:rPr>
                <w:rFonts w:ascii="Arial" w:cs="Arial" w:eastAsia="Arial" w:hAnsi="Arial"/>
                <w:sz w:val="22"/>
                <w:szCs w:val="22"/>
                <w:color w:val="auto"/>
                <w:vertAlign w:val="superscript"/>
              </w:rPr>
              <w:t>(8)</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191,666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Keith Meister</w:t>
            </w:r>
            <w:r>
              <w:rPr>
                <w:rFonts w:ascii="Arial" w:cs="Arial" w:eastAsia="Arial" w:hAnsi="Arial"/>
                <w:sz w:val="22"/>
                <w:szCs w:val="22"/>
                <w:color w:val="auto"/>
                <w:vertAlign w:val="superscript"/>
              </w:rPr>
              <w:t>(9)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22,230,419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Michael Pellini</w:t>
            </w:r>
            <w:r>
              <w:rPr>
                <w:rFonts w:ascii="Arial" w:cs="Arial" w:eastAsia="Arial" w:hAnsi="Arial"/>
                <w:sz w:val="22"/>
                <w:szCs w:val="22"/>
                <w:color w:val="auto"/>
                <w:vertAlign w:val="superscript"/>
              </w:rPr>
              <w:t>(10)</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3,714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Jason Ryan</w:t>
            </w:r>
            <w:r>
              <w:rPr>
                <w:rFonts w:ascii="Arial" w:cs="Arial" w:eastAsia="Arial" w:hAnsi="Arial"/>
                <w:sz w:val="22"/>
                <w:szCs w:val="22"/>
                <w:color w:val="auto"/>
                <w:vertAlign w:val="superscript"/>
              </w:rPr>
              <w:t>(11)</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Joshua Ruch</w:t>
            </w:r>
            <w:r>
              <w:rPr>
                <w:rFonts w:ascii="Arial" w:cs="Arial" w:eastAsia="Arial" w:hAnsi="Arial"/>
                <w:sz w:val="22"/>
                <w:szCs w:val="22"/>
                <w:color w:val="auto"/>
                <w:vertAlign w:val="superscript"/>
              </w:rPr>
              <w:t>(12)</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3,714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Rachel Sherman</w:t>
            </w:r>
            <w:r>
              <w:rPr>
                <w:rFonts w:ascii="Arial" w:cs="Arial" w:eastAsia="Arial" w:hAnsi="Arial"/>
                <w:sz w:val="22"/>
                <w:szCs w:val="22"/>
                <w:color w:val="auto"/>
                <w:vertAlign w:val="superscript"/>
              </w:rPr>
              <w:t>(13)</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181,609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Nat Turner</w:t>
            </w:r>
            <w:r>
              <w:rPr>
                <w:rFonts w:ascii="Arial" w:cs="Arial" w:eastAsia="Arial" w:hAnsi="Arial"/>
                <w:sz w:val="22"/>
                <w:szCs w:val="22"/>
                <w:color w:val="auto"/>
                <w:vertAlign w:val="superscript"/>
              </w:rPr>
              <w:t>(14)</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191,666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b w:val="1"/>
                <w:bCs w:val="1"/>
                <w:color w:val="auto"/>
              </w:rPr>
              <w:t>Directors and executive officers as a group (15 individuals)</w:t>
            </w:r>
            <w:r>
              <w:rPr>
                <w:rFonts w:ascii="Arial" w:cs="Arial" w:eastAsia="Arial" w:hAnsi="Arial"/>
                <w:sz w:val="22"/>
                <w:szCs w:val="22"/>
                <w:b w:val="1"/>
                <w:bCs w:val="1"/>
                <w:color w:val="auto"/>
                <w:vertAlign w:val="superscript"/>
              </w:rPr>
              <w:t>(15)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39,485,253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16.1</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Less than one percent</w:t>
      </w:r>
    </w:p>
    <w:p>
      <w:pPr>
        <w:ind w:left="320" w:hanging="314"/>
        <w:spacing w:after="0" w:line="255" w:lineRule="auto"/>
        <w:tabs>
          <w:tab w:leader="none" w:pos="308" w:val="left"/>
        </w:tabs>
        <w:numPr>
          <w:ilvl w:val="0"/>
          <w:numId w:val="78"/>
        </w:numPr>
        <w:rPr>
          <w:rFonts w:ascii="Arial" w:cs="Arial" w:eastAsia="Arial" w:hAnsi="Arial"/>
          <w:sz w:val="13"/>
          <w:szCs w:val="13"/>
          <w:color w:val="auto"/>
        </w:rPr>
      </w:pPr>
      <w:r>
        <w:rPr>
          <w:rFonts w:ascii="Arial" w:cs="Arial" w:eastAsia="Arial" w:hAnsi="Arial"/>
          <w:sz w:val="13"/>
          <w:szCs w:val="13"/>
          <w:color w:val="auto"/>
        </w:rPr>
        <w:t>Based solely on the information set forth in a Schedule 13D/A filed with the SEC on January 20, 2022 by Blackstone Holding III L.P. Consists of (i) 24,404,324 shares of Class A common stock held by BTO Sema4 Holdings L.P., (ii) 505,095 shares of Class A common stock held by Blackstone Tactical Opportunities Fund - FD L.P., (iii) 147,574 shares of Class A common stock held by Blackstone Family Tactical Opportunities Investment Partnership III ESC L.P., and (iv) (a) 100,000 shares of Class A common stock and (b) warrants to purchase 709,509 shares of Class A common stock which are exercisable within 60 days of February 22, 2022 held by Blackstone Aqua Master Sub-Fund, a sub-fund of Blackstone Global Master Fund ICAV. 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Blackstone Alternative Solutions L.L.C. is the investment manager of Blackstone Aqua Master Sub-Fund, a sub-fund of Blackstone Global Master Fund ICAV. Blackstone Holdings I L.P. is the sole member of Blackstone Alternative Solutions L.L.C. Blackstone Holdings I/II GP L.L.C. is the general partner of Blackstone Holdings 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spacing w:after="0" w:line="2" w:lineRule="exact"/>
        <w:rPr>
          <w:rFonts w:ascii="Arial" w:cs="Arial" w:eastAsia="Arial" w:hAnsi="Arial"/>
          <w:sz w:val="13"/>
          <w:szCs w:val="13"/>
          <w:color w:val="auto"/>
        </w:rPr>
      </w:pPr>
    </w:p>
    <w:p>
      <w:pPr>
        <w:ind w:left="320" w:right="80" w:hanging="314"/>
        <w:spacing w:after="0"/>
        <w:tabs>
          <w:tab w:leader="none" w:pos="308" w:val="left"/>
        </w:tabs>
        <w:numPr>
          <w:ilvl w:val="0"/>
          <w:numId w:val="78"/>
        </w:numPr>
        <w:rPr>
          <w:rFonts w:ascii="Arial" w:cs="Arial" w:eastAsia="Arial" w:hAnsi="Arial"/>
          <w:sz w:val="14"/>
          <w:szCs w:val="14"/>
          <w:color w:val="auto"/>
        </w:rPr>
      </w:pPr>
      <w:r>
        <w:rPr>
          <w:rFonts w:ascii="Arial" w:cs="Arial" w:eastAsia="Arial" w:hAnsi="Arial"/>
          <w:sz w:val="14"/>
          <w:szCs w:val="14"/>
          <w:color w:val="auto"/>
        </w:rPr>
        <w:t>Based solely on the information set forth in a Schedule 13G/A filed with the SEC on February 11, 2022 by James E. Flynn. Consists of (i) 7,042,580 shares of Class A common stock held by Deerfield Partners and (ii) 6,924,244 shares of Class A common stock held by DPDF. Deerfield Management Company, L.P. (“Deerfield Management”) is the investment manager of Deerfield Partners, L.P. (“Deerfield Partners”) and Deerfield Private Design Fund V, L.P. (“DPDF”). Deerfield Mgmt, L.P. (“Deerfield Mgmt”) is the general partner of Deerfield Partners. Deerfield Mgmt V, L.P. (“Deerfield Mgmt V”) is the general partner of DPDF. James E. Flynn is the sole member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71" w:name="page172"/>
    <w:bookmarkEnd w:id="171"/>
    <w:p>
      <w:pPr>
        <w:ind w:left="320" w:right="380"/>
        <w:spacing w:after="0" w:line="261" w:lineRule="auto"/>
        <w:rPr>
          <w:sz w:val="20"/>
          <w:szCs w:val="20"/>
          <w:color w:val="auto"/>
        </w:rPr>
      </w:pPr>
      <w:r>
        <w:rPr>
          <w:rFonts w:ascii="Arial" w:cs="Arial" w:eastAsia="Arial" w:hAnsi="Arial"/>
          <w:sz w:val="13"/>
          <w:szCs w:val="13"/>
          <w:color w:val="auto"/>
        </w:rPr>
        <w:t>general partner of each of Deerfield Management, Deerfield Mgmt and Deerfield Mgmt V. Deerfield Management, Deerfield Mgmt and Mr. 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spacing w:after="0" w:line="1" w:lineRule="exact"/>
        <w:rPr>
          <w:sz w:val="20"/>
          <w:szCs w:val="20"/>
          <w:color w:val="auto"/>
        </w:rPr>
      </w:pPr>
    </w:p>
    <w:p>
      <w:pPr>
        <w:ind w:left="320" w:right="20" w:hanging="314"/>
        <w:spacing w:after="0" w:line="237" w:lineRule="auto"/>
        <w:tabs>
          <w:tab w:leader="none" w:pos="308"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solely on the information set forth in a Schedule 13D/A filed with the SEC on January 21, 2022 by Icahn School of Medicine at Mount Sinai (“ISMMS”). Consists of 88,355,473 shares of Class A common stock held by ISMMS.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ind w:left="320" w:hanging="314"/>
        <w:spacing w:after="0"/>
        <w:tabs>
          <w:tab w:leader="none" w:pos="3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(i) 168,351 shares of Class A common stock and (ii) 7,315,765 shares of Class A common stock subject to options that are exercisable within 60 days of February 22, 2022.</w:t>
      </w:r>
    </w:p>
    <w:p>
      <w:pPr>
        <w:spacing w:after="0" w:line="9" w:lineRule="exact"/>
        <w:rPr>
          <w:rFonts w:ascii="Arial" w:cs="Arial" w:eastAsia="Arial" w:hAnsi="Arial"/>
          <w:sz w:val="13"/>
          <w:szCs w:val="13"/>
          <w:color w:val="auto"/>
        </w:rPr>
      </w:pPr>
    </w:p>
    <w:p>
      <w:pPr>
        <w:ind w:left="320" w:hanging="314"/>
        <w:spacing w:after="0"/>
        <w:tabs>
          <w:tab w:leader="none" w:pos="3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(i) 250,618 shares of Class A common stock and (ii) 144,676 shares of Class A common stock subject to options that are exercisable within 60 days of February 22, 2022.</w:t>
      </w:r>
    </w:p>
    <w:p>
      <w:pPr>
        <w:spacing w:after="0" w:line="9" w:lineRule="exact"/>
        <w:rPr>
          <w:rFonts w:ascii="Arial" w:cs="Arial" w:eastAsia="Arial" w:hAnsi="Arial"/>
          <w:sz w:val="13"/>
          <w:szCs w:val="13"/>
          <w:color w:val="auto"/>
        </w:rPr>
      </w:pPr>
    </w:p>
    <w:p>
      <w:pPr>
        <w:ind w:left="320" w:right="400" w:hanging="314"/>
        <w:spacing w:after="0" w:line="237" w:lineRule="auto"/>
        <w:tabs>
          <w:tab w:leader="none" w:pos="308"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30,893 shares of Class A common stock and (ii) 2,665,187 shares of Class A common stock subject to options that are exercisable within 60 days of February 22, 2022. Dr. Coffin left the Company in February 2022.</w:t>
      </w:r>
    </w:p>
    <w:p>
      <w:pPr>
        <w:ind w:left="320" w:right="40" w:hanging="314"/>
        <w:spacing w:after="0" w:line="255" w:lineRule="auto"/>
        <w:tabs>
          <w:tab w:leader="none" w:pos="308" w:val="left"/>
        </w:tabs>
        <w:numPr>
          <w:ilvl w:val="0"/>
          <w:numId w:val="79"/>
        </w:numPr>
        <w:rPr>
          <w:rFonts w:ascii="Arial" w:cs="Arial" w:eastAsia="Arial" w:hAnsi="Arial"/>
          <w:sz w:val="13"/>
          <w:szCs w:val="13"/>
          <w:color w:val="auto"/>
        </w:rPr>
      </w:pPr>
      <w:r>
        <w:rPr>
          <w:rFonts w:ascii="Arial" w:cs="Arial" w:eastAsia="Arial" w:hAnsi="Arial"/>
          <w:sz w:val="13"/>
          <w:szCs w:val="13"/>
          <w:color w:val="auto"/>
        </w:rPr>
        <w:t>Based solely on the information set forth in a Schedule 13D/A filed with the SEC on January 19, 2022 by CMLS Holdings LLC. Includes (i) 5,000,000 shares of Class A common stock held indirectly by Casdin Partners Master Fund L.P., and (ii) (x) 10,993,750 shares of Class A common stock and (y) 6,736,669 shares of Class A common stock underlying private placement warrants that are exercisable within 60 days of February 22, 2022 held indirectly by CMLS Holdings LLC (the “Former Sponsor”). The Board of Managers of the Former Sponsor is comprised of Mr. Eli Casdin and Mr. Keith Meister who share voting and investment discretion with respect to the Class A common stock held of record by CMLS Holdings LLC. Mr. Casdin is a member of the Board.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spacing w:after="0" w:line="1" w:lineRule="exact"/>
        <w:rPr>
          <w:rFonts w:ascii="Arial" w:cs="Arial" w:eastAsia="Arial" w:hAnsi="Arial"/>
          <w:sz w:val="13"/>
          <w:szCs w:val="13"/>
          <w:color w:val="auto"/>
        </w:rPr>
      </w:pPr>
    </w:p>
    <w:p>
      <w:pPr>
        <w:ind w:left="320" w:right="100" w:hanging="314"/>
        <w:spacing w:after="0" w:line="237" w:lineRule="auto"/>
        <w:tabs>
          <w:tab w:leader="none" w:pos="308"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25,000 shares of Class A common stock and (ii) 166,666 shares of Class A common stock underlying private placement warrants that are exercisable within 60 days of February 22, 2022.</w:t>
      </w:r>
    </w:p>
    <w:p>
      <w:pPr>
        <w:ind w:left="320" w:right="20" w:hanging="314"/>
        <w:spacing w:after="0" w:line="237" w:lineRule="auto"/>
        <w:tabs>
          <w:tab w:leader="none" w:pos="308"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solely on the information set forth in a Schedule 13D/A filed with the SEC on January 19, 2022 by CMLS Holdings LLC. Includes (i) 4,500,000 shares of Class A common stock held indirectly by Corvex Management, L.P. and (ii) (x) 10,993,750 shares of Class A common stock and (y) 6,736,669 shares of Class A common stock underlying private placement warrants that are exercisable within 60 days of February 22, 2022 held indirectly by the Former Sponsor. The Board of Managers of the Former Sponsor is comprised of Mr. Eli Casdin and Mr. Keith Meister who share voting and investment discretion with respect to the Class A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ind w:left="380" w:hanging="374"/>
        <w:spacing w:after="0" w:line="237" w:lineRule="auto"/>
        <w:tabs>
          <w:tab w:leader="none" w:pos="3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3,714 shares of Class A common stock subject to options that are exercisable within 60 days of February 22, 2022.</w:t>
      </w:r>
    </w:p>
    <w:p>
      <w:pPr>
        <w:ind w:left="380" w:hanging="374"/>
        <w:spacing w:after="0" w:line="237" w:lineRule="auto"/>
        <w:tabs>
          <w:tab w:leader="none" w:pos="3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3,714 shares of Class A common stock subject to options that are exercisable within 60 days of February 22, 2022.</w:t>
      </w:r>
    </w:p>
    <w:p>
      <w:pPr>
        <w:ind w:left="380" w:hanging="374"/>
        <w:spacing w:after="0" w:line="237" w:lineRule="auto"/>
        <w:tabs>
          <w:tab w:leader="none" w:pos="3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3,714 shares of Class A common stock subject to options that are exercisable within 60 days of February 22, 2022.</w:t>
      </w:r>
    </w:p>
    <w:p>
      <w:pPr>
        <w:ind w:left="380" w:hanging="374"/>
        <w:spacing w:after="0" w:line="237" w:lineRule="auto"/>
        <w:tabs>
          <w:tab w:leader="none" w:pos="3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181,609 shares of Class A common stock subject to options that are exercisable within 60 days of February 22, 2022.</w:t>
      </w:r>
    </w:p>
    <w:p>
      <w:pPr>
        <w:ind w:left="320" w:right="160" w:hanging="314"/>
        <w:spacing w:after="0" w:line="237" w:lineRule="auto"/>
        <w:tabs>
          <w:tab w:leader="none" w:pos="378"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25,000 shares of Class A common stock held by Nat Turner and (ii) 166,666 shares of Class A common stock underlying private placement warrants held by NTWJ Holdings, LLC (“NTWJ”), that are exercisable within 60 days of February 22, 2022. Mr. Turner is a managing member of NTWJ. The address for NTWJ is 139 Reade Street, New York, New York 10013.</w:t>
      </w:r>
    </w:p>
    <w:p>
      <w:pPr>
        <w:ind w:left="320" w:right="60" w:hanging="314"/>
        <w:spacing w:after="0" w:line="239" w:lineRule="auto"/>
        <w:tabs>
          <w:tab w:leader="none" w:pos="378"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21,376,237 shares of Class A common stock held directly and indirectly by all current directors and executive officers of the Company as a group, (ii) 18,014 shares of Class A common stock issuable pursuant to RSUs held directly by all current directors and executive officers of the Company as a group and that will be vested within 60 days of February 22, 2022, (iii) 11,021,001 shares of Class A common stock subject to options held directly by all current directors and executive officers of the Company as a group and that are exercisable within 60 days of February 22, 2022, and (iv) 7,070,001 shares of Class A common stock underlying private placement warrants held directly and indirectly by all current directors and executive officers of the Company as a group and that are exercisable within 60 days of February 22, 2022.</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 AND DIRECTOR INDEPENDENCE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description of transactions since January 1, 2020 and currently proposed transactions in which:</w:t>
      </w:r>
    </w:p>
    <w:p>
      <w:pPr>
        <w:spacing w:after="0" w:line="164" w:lineRule="exact"/>
        <w:rPr>
          <w:sz w:val="20"/>
          <w:szCs w:val="20"/>
          <w:color w:val="auto"/>
        </w:rPr>
      </w:pPr>
    </w:p>
    <w:p>
      <w:pPr>
        <w:ind w:left="640" w:hanging="31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have been or is to be a participant;</w:t>
      </w:r>
    </w:p>
    <w:p>
      <w:pPr>
        <w:spacing w:after="0" w:line="164" w:lineRule="exact"/>
        <w:rPr>
          <w:rFonts w:ascii="Arial" w:cs="Arial" w:eastAsia="Arial" w:hAnsi="Arial"/>
          <w:sz w:val="18"/>
          <w:szCs w:val="18"/>
          <w:color w:val="auto"/>
        </w:rPr>
      </w:pPr>
    </w:p>
    <w:p>
      <w:pPr>
        <w:ind w:firstLine="324"/>
        <w:spacing w:after="0" w:line="264" w:lineRule="auto"/>
        <w:tabs>
          <w:tab w:leader="none" w:pos="63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 involved exceeded or will exceed the lesser $120,000 or 1% of the average of our total assets as of year-end for the last two completed fiscal years;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72" w:name="page173"/>
    <w:bookmarkEnd w:id="172"/>
    <w:p>
      <w:pPr>
        <w:ind w:firstLine="324"/>
        <w:spacing w:after="0" w:line="264" w:lineRule="auto"/>
        <w:tabs>
          <w:tab w:leader="none" w:pos="626"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Related to the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Subscription Agreements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connection with the Acquisition, the Acquisition PIPE Investors executed subscription agreements to purchase an aggregate of 50,000,000 shares of our Class A common stock at $4.00 per share, for an aggregate purchase price of $200 million in private placements that we expect to close in the first half of 2022. The funds from such private placement will be used in part or whole to fund the Acquisition of GeneDx. The following table sets forth the number of shares of our Class A common stock that we expect to issue to our directors, executive officers and 5% stockholders and their affiliates in this transaction: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Shares of Class A Common Stock</w:t>
            </w:r>
          </w:p>
        </w:tc>
        <w:tc>
          <w:tcPr>
            <w:tcW w:w="0" w:type="dxa"/>
            <w:vAlign w:val="bottom"/>
          </w:tcPr>
          <w:p>
            <w:pPr>
              <w:spacing w:after="0"/>
              <w:rPr>
                <w:sz w:val="1"/>
                <w:szCs w:val="1"/>
                <w:color w:val="auto"/>
              </w:rPr>
            </w:pPr>
          </w:p>
        </w:tc>
      </w:tr>
      <w:tr>
        <w:trPr>
          <w:trHeight w:val="13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 Shares</w:t>
            </w:r>
          </w:p>
        </w:tc>
        <w:tc>
          <w:tcPr>
            <w:tcW w:w="1560" w:type="dxa"/>
            <w:vAlign w:val="bottom"/>
          </w:tcPr>
          <w:p>
            <w:pPr>
              <w:jc w:val="right"/>
              <w:ind w:right="195"/>
              <w:spacing w:after="0" w:line="131" w:lineRule="exact"/>
              <w:rPr>
                <w:sz w:val="20"/>
                <w:szCs w:val="20"/>
                <w:color w:val="auto"/>
              </w:rPr>
            </w:pPr>
            <w:r>
              <w:rPr>
                <w:rFonts w:ascii="Arial" w:cs="Arial" w:eastAsia="Arial" w:hAnsi="Arial"/>
                <w:sz w:val="14"/>
                <w:szCs w:val="14"/>
                <w:b w:val="1"/>
                <w:bCs w:val="1"/>
                <w:color w:val="auto"/>
              </w:rPr>
              <w:t>Aggregate Gross</w:t>
            </w:r>
          </w:p>
        </w:tc>
        <w:tc>
          <w:tcPr>
            <w:tcW w:w="0" w:type="dxa"/>
            <w:vAlign w:val="bottom"/>
          </w:tcPr>
          <w:p>
            <w:pPr>
              <w:spacing w:after="0"/>
              <w:rPr>
                <w:sz w:val="1"/>
                <w:szCs w:val="1"/>
                <w:color w:val="auto"/>
              </w:rPr>
            </w:pPr>
          </w:p>
        </w:tc>
      </w:tr>
      <w:tr>
        <w:trPr>
          <w:trHeight w:val="185"/>
        </w:trPr>
        <w:tc>
          <w:tcPr>
            <w:tcW w:w="80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tcPr>
          <w:p>
            <w:pPr>
              <w:jc w:val="right"/>
              <w:ind w:right="175"/>
              <w:spacing w:after="0"/>
              <w:rPr>
                <w:sz w:val="20"/>
                <w:szCs w:val="20"/>
                <w:color w:val="auto"/>
              </w:rPr>
            </w:pPr>
            <w:r>
              <w:rPr>
                <w:rFonts w:ascii="Arial" w:cs="Arial" w:eastAsia="Arial" w:hAnsi="Arial"/>
                <w:sz w:val="14"/>
                <w:szCs w:val="14"/>
                <w:b w:val="1"/>
                <w:bCs w:val="1"/>
                <w:color w:val="auto"/>
              </w:rPr>
              <w:t>Consideration ($)</w:t>
            </w:r>
          </w:p>
        </w:tc>
        <w:tc>
          <w:tcPr>
            <w:tcW w:w="0" w:type="dxa"/>
            <w:vAlign w:val="bottom"/>
          </w:tcPr>
          <w:p>
            <w:pPr>
              <w:spacing w:after="0"/>
              <w:rPr>
                <w:sz w:val="1"/>
                <w:szCs w:val="1"/>
                <w:color w:val="auto"/>
              </w:rPr>
            </w:pPr>
          </w:p>
        </w:tc>
      </w:tr>
      <w:tr>
        <w:trPr>
          <w:trHeight w:val="219"/>
        </w:trPr>
        <w:tc>
          <w:tcPr>
            <w:tcW w:w="7920" w:type="dxa"/>
            <w:vAlign w:val="bottom"/>
            <w:tcBorders>
              <w:top w:val="single" w:sz="8" w:color="auto"/>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Casdin</w:t>
            </w:r>
            <w:r>
              <w:rPr>
                <w:rFonts w:ascii="Arial" w:cs="Arial" w:eastAsia="Arial" w:hAnsi="Arial"/>
                <w:sz w:val="22"/>
                <w:szCs w:val="22"/>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45,750,000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affiliated with Corvex</w:t>
            </w:r>
            <w:r>
              <w:rPr>
                <w:rFonts w:ascii="Arial" w:cs="Arial" w:eastAsia="Arial" w:hAnsi="Arial"/>
                <w:sz w:val="22"/>
                <w:szCs w:val="22"/>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45,750,000</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Mount Sinai</w:t>
            </w:r>
            <w:r>
              <w:rPr>
                <w:rFonts w:ascii="Arial" w:cs="Arial" w:eastAsia="Arial" w:hAnsi="Arial"/>
                <w:sz w:val="22"/>
                <w:szCs w:val="22"/>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affiliated with Deerfield</w:t>
            </w:r>
            <w:r>
              <w:rPr>
                <w:rFonts w:ascii="Arial" w:cs="Arial" w:eastAsia="Arial" w:hAnsi="Arial"/>
                <w:sz w:val="22"/>
                <w:szCs w:val="22"/>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Rho Partners</w:t>
            </w:r>
            <w:r>
              <w:rPr>
                <w:rFonts w:ascii="Arial" w:cs="Arial" w:eastAsia="Arial" w:hAnsi="Arial"/>
                <w:sz w:val="22"/>
                <w:szCs w:val="22"/>
                <w:color w:val="auto"/>
                <w:vertAlign w:val="superscript"/>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2,125,000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8,500,000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affiliated with Section32</w:t>
            </w:r>
            <w:r>
              <w:rPr>
                <w:rFonts w:ascii="Arial" w:cs="Arial" w:eastAsia="Arial" w:hAnsi="Arial"/>
                <w:sz w:val="22"/>
                <w:szCs w:val="22"/>
                <w:color w:val="auto"/>
                <w:vertAlign w:val="superscript"/>
              </w:rPr>
              <w:t>(7)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8"/>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20" w:hanging="314"/>
        <w:spacing w:after="0" w:line="255" w:lineRule="auto"/>
        <w:tabs>
          <w:tab w:leader="none" w:pos="312" w:val="left"/>
        </w:tabs>
        <w:numPr>
          <w:ilvl w:val="0"/>
          <w:numId w:val="82"/>
        </w:numPr>
        <w:rPr>
          <w:rFonts w:ascii="Arial" w:cs="Arial" w:eastAsia="Arial" w:hAnsi="Arial"/>
          <w:sz w:val="13"/>
          <w:szCs w:val="13"/>
          <w:color w:val="auto"/>
        </w:rPr>
      </w:pPr>
      <w:r>
        <w:rPr>
          <w:rFonts w:ascii="Arial" w:cs="Arial" w:eastAsia="Arial" w:hAnsi="Arial"/>
          <w:sz w:val="13"/>
          <w:szCs w:val="13"/>
          <w:color w:val="auto"/>
        </w:rPr>
        <w:t>Consists of 2,434,863 shares of Class A common stock expected to be issued to BTO Sema4 Holdings L.P., 50,402 shares of Class A common stock expected to be issued to Blackstone Tactical Opportunities Fund - FD L.P. and 14,735 shares of Class A common stock expected to be issued to Blackstone Family Tactical Opportunities Investment Partnership III ESC L.P.</w:t>
      </w:r>
    </w:p>
    <w:p>
      <w:pPr>
        <w:ind w:left="320" w:hanging="314"/>
        <w:spacing w:after="0" w:line="237" w:lineRule="auto"/>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11,437,500 shares of Class A common stock expected to be issued to Casdin Partners Master Fund, L.P.</w:t>
      </w:r>
    </w:p>
    <w:p>
      <w:pPr>
        <w:ind w:left="320" w:right="300" w:hanging="314"/>
        <w:spacing w:after="0" w:line="237" w:lineRule="auto"/>
        <w:tabs>
          <w:tab w:leader="none" w:pos="312"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3,557,000 shares of Class A common stock expected to be issued to Corvex Master Fund LP, 7,320,000 shares of Class A common stock expected to be issued to Corvex Select Equity Master Fund LP, and 560,500 shares of Class A common stock expected to be issued to Corvex Dynamic Equity Select Master Fund LP.</w:t>
      </w:r>
    </w:p>
    <w:p>
      <w:pPr>
        <w:ind w:left="320" w:hanging="314"/>
        <w:spacing w:after="0" w:line="237" w:lineRule="auto"/>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6,250,000 shares of Class A common stock expected to be issued to Ichan School of Medicine at Mount Sinai.</w:t>
      </w:r>
    </w:p>
    <w:p>
      <w:pPr>
        <w:ind w:left="320" w:right="140" w:hanging="314"/>
        <w:spacing w:after="0" w:line="237" w:lineRule="auto"/>
        <w:tabs>
          <w:tab w:leader="none" w:pos="312"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3,125,000 shares of Class A common stock expected to be issued to Deerfield Private Design Fund V, L.P. and 1,875,000 shares of Class A common stock expected to be issued to Deerfield Partners, L.P.</w:t>
      </w:r>
    </w:p>
    <w:p>
      <w:pPr>
        <w:ind w:left="320" w:right="40" w:hanging="314"/>
        <w:spacing w:after="0" w:line="237" w:lineRule="auto"/>
        <w:tabs>
          <w:tab w:leader="none" w:pos="312"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1,632,963 shares of Class A common stock expected to be issued to Vaal Investment Partners Q9 LP, 329,665 shares of Class A common stock expected to be issued to Rugu2 LLC, and 162,372 shares of Class A common stock expected to be issued to Kariba LLC. Rho Partners is an affiliate of Joshua Ruch, a member of our Board.</w:t>
      </w:r>
    </w:p>
    <w:p>
      <w:pPr>
        <w:ind w:left="320" w:hanging="314"/>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1,250,000 shares of Class A common stock expected to be issued to Section 32 Fund 2, L.P. Section32 is an affiliate of Michael Pellini, a member of our Board.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connection with the execution of the Acquisition Merger Agreement, OPKO Health, Inc. (“OPKO”), the parent of GeneDx, and we entered into Support Agreements (the “Support Agreements”) with certain of our stockholders (including CMLS Holdings LLC, Casdin Partners Master Fund, L.P., Corvex Master Fund LP, Corvex Select Equity Master Fund LP, Corvex Dynamic Equity Select Master Fund LP, Icahn School of Medicine at Mount Sinai, and Section 32 Fund 2, L.P., whereby such stockholders agreed to, among other things, (a) vote at any meeting of our stockholders all of their shares of our Class A common stock held of record: (i) to approve the issuance of the stock consideration pursuant to Acquisition Merger Agreement and the issuance of our Class A common stock pursuant to the subscription agreements for the acquisitions; (ii) to approve the appointment of two specified designees to the Board for terms that expire no earlier than the end of the Second Milestone Period (as defined in the Acquisition Merger Agreement); (iii) to approve an amendment to our Charter to increase the authorized shares of our Class A common stock from 380,000,000 to 1,000,000,000; (iv) to approve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73" w:name="page174"/>
    <w:bookmarkEnd w:id="173"/>
    <w:p>
      <w:pPr>
        <w:jc w:val="both"/>
        <w:spacing w:after="0" w:line="306" w:lineRule="auto"/>
        <w:rPr>
          <w:sz w:val="20"/>
          <w:szCs w:val="20"/>
          <w:color w:val="auto"/>
        </w:rPr>
      </w:pPr>
      <w:r>
        <w:rPr>
          <w:rFonts w:ascii="Arial" w:cs="Arial" w:eastAsia="Arial" w:hAnsi="Arial"/>
          <w:sz w:val="15"/>
          <w:szCs w:val="15"/>
          <w:color w:val="auto"/>
        </w:rPr>
        <w:t>proposal included in a proxy statement that is recommended by the Board as necessary to consummate the transactions in connection with the Acquisition Merger Agreement; (v) to approve any proposal that is recommended by the Board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the ability of us to consummate the transactions; (b) provide a proxy to us to vote such shares accordingly (subject to the condition that a proxy statement has been filed with the SEC and provided to our stockholders); (c) be bound by certain other covenants and agreements related to the transactions; and (d) be bound by certain transfer restrictions with respect to all or a percentage of their shares of our Class A common stock, prior to the meeting, in each case, on the terms and subject to the conditions set forth in the Support Agreements.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Immediate Family Members of Our Executive Officers and Directors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Emilio Schadt, the son of Eric Schadt, our Chief Executive and a director, has been employed with us since August 2018 as a Data Science Software Engineer, where he is responsible for implementing methods to improve data reliability. During the year ended December 31, 2021, Mr. Schadt had total compensation, including base salary and bonus, of $177,543. Rick Wallsten, the brother of Eric Schadt, our Chief Executive Officer and a director, has been employed by us since November 2017 as a clinical pharmacist, where he is responsible for certain aspects of our pharmacogenomics program. During the year ended December 31, 2021, Mr. Wallsten had total cash compensation, including base salary and bonus, of $209,563. During the year ended December 31, 2020, Mr. Wallsten had total cash compensation, including base salary and bonus, of $157,620. Carol Senn, the sister-in-law of James Coffin, our former Chief Operating Officer, has been employed with us since November 2020 as an Account Manager, where she is responsible for certain aspects of growing the business. During the year ended December 31, 2021, Ms. Senn had total compensation, including base salary, of $155,706. Kelly Peterson, the sister of James Coffin, our former Chief Operating Officer, has been employed with us since February 2019 as a Sales Specialist Oncology, where she is responsible for the aspect of growing the business. During the year ended December 31, 2021, Ms. Peterson had total compensation, including base salary, of $211,152.</w:t>
      </w:r>
    </w:p>
    <w:p>
      <w:pPr>
        <w:spacing w:after="0" w:line="10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salary and bonus levels, as applicable, of the aforementioned individuals were based on reference to internal pay equity when compared to the compensation paid to employees in similar positions who were not related to our executive officers and directors. They also received equity awards on the same general terms and conditions as applicable to other employees in similar positions who were not related to our executive officers and directors.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Subleases</w:t>
      </w:r>
    </w:p>
    <w:p>
      <w:pPr>
        <w:spacing w:after="0" w:line="164"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We were a party to several space license agreements and continue to be a party to sublease agreements with the Mount Sinai Health System (which we refer to together with its related entities as “Mount Sinai”) pursuant to which we leased approximately 124,000 square feet of office and laboratory space in Stamford, Connecticut for its headquarters and laboratory operations, and approximately 26,000 square feet of office and laboratory space in New York, New York for additional office space and laboratory operations. Rent expense for all facilities subleased by Icahn School of Medicine at Mount Sinai (“ISMMS”) to</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was $4.2 million for the year ended December 31, 2021 and $5.9 million for the year ended December 31, 2020. Future minimum lease payments are expected to total $4.2 million related to all facilities subleased by ISMMS to Sema4 for the year ending December 31, 2022.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and Employee Compensation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ISMMS provided transition services, under a transition services agreement and other contractual arrangements with us for services related to finance (accounts payable &amp; purchasing, general accounting, financial systems, and payroll), real estate management, insurance coverage, compliance, equipment subleases, and IT. The transition services agreement expired on March 28, 2021. We made direct payments to ISMMS of approximately $1.6 million pursuant to such transition services agreement in 2021.</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provide partial reimbursement to Mount Sinai for limited compensation, services, and related expenses for certain individuals employed by Mount Sinai and certain individuals employed at both Mount Sinai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74" w:name="page175"/>
    <w:bookmarkEnd w:id="174"/>
    <w:p>
      <w:pPr>
        <w:jc w:val="both"/>
        <w:spacing w:after="0" w:line="264" w:lineRule="auto"/>
        <w:rPr>
          <w:sz w:val="20"/>
          <w:szCs w:val="20"/>
          <w:color w:val="auto"/>
        </w:rPr>
      </w:pPr>
      <w:r>
        <w:rPr>
          <w:rFonts w:ascii="Arial" w:cs="Arial" w:eastAsia="Arial" w:hAnsi="Arial"/>
          <w:sz w:val="18"/>
          <w:szCs w:val="18"/>
          <w:color w:val="auto"/>
        </w:rPr>
        <w:t>company. For the years ended December 31, 2021 and 2020, the total amount of reimbursement for employee compensation and expenses paid by us to Mount Sinai was equal to approximately $1.2 million and $1.3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Relationships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provide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w:t>
      </w:r>
    </w:p>
    <w:p>
      <w:pPr>
        <w:spacing w:after="0" w:line="13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particular, these arrangements include a data structuring and curation services agreement, dated August 1, 2019, with ISMMS and certain other Mount Sinai entities, pursuant to which we provide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us certain rights to use de-identified curated data. The data structuring and curation services agreement has a five-year term and, provided we are not in default under the terms of the agreement, the agreement may be renewed at our option for up to two one-year extension periods. Following the extension periods, the agreement may be further renewed by the mutual agreement of the parties. The agreement may be terminated earlier by Mount Sinai upon certain fundamental breaches by us, by us upon a breach by Mount Sinai of its material obligations, and by either party if certain insolvency or bankruptcy events occur with respect to the other party.</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also receive products and services from Mount Sinai at fair market value, including for certain research and clinical services, development services and lab services, and licenses certain intellectual property from Mount Sinai. Pursuant to these arrangements, we made direct payments to Mount Sinai of approximately $1.4 million and $3.4 million for the years ended December 31, 2021 and 2020,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Charter contains provisions limiting the liability of directors, and our Bylaws provide that we will indemnify each of our directors to the fullest extent permitted under Delaware law. Our Charter and our Bylaws also provide the Board with discretion to indemnify officers and employees when determined appropriate by our Board.</w:t>
      </w:r>
    </w:p>
    <w:p>
      <w:pPr>
        <w:spacing w:after="0" w:line="13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have entered into indemnification agreements with each of our directors and executive officers and certain other key employees. The indemnification agreements provide that we will indemnify each of its directors, executive officers, and such other key employees against any and all expenses incurred by that director, executive officer, or other key employee because of his or her status as one of the Company’s directors, executive officers, or other key employees, to the fullest extent permitted by Delaware law, our Charter and our Bylaws. In addition, the indemnification agreements provide that, to the fullest extent permitted by Delaware law, the Company will advance all expenses incurred by its directors, executive officers, and other key employees in connection with a legal proceeding involving his or her status as a director, executive officer, or key employee.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Sema4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July 2020, Legacy Sema4 sold an aggregate of 197,821 shares of its Series C preferred stock at a purchase price of $613.6743 per share to accredited investors for an aggregate purchase price of approximately $121.4 million. On July 22, 2021, each share of Legacy Sema4’s Series C preferred stock was cancelled and received a portion of the merger consideration in connection with the completion of the business combination, as provided in the Prior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75" w:name="page176"/>
    <w:bookmarkEnd w:id="175"/>
    <w:p>
      <w:pPr>
        <w:ind w:firstLine="318"/>
        <w:spacing w:after="0" w:line="264" w:lineRule="auto"/>
        <w:rPr>
          <w:sz w:val="20"/>
          <w:szCs w:val="20"/>
          <w:color w:val="auto"/>
        </w:rPr>
      </w:pPr>
      <w:r>
        <w:rPr>
          <w:rFonts w:ascii="Arial" w:cs="Arial" w:eastAsia="Arial" w:hAnsi="Arial"/>
          <w:sz w:val="18"/>
          <w:szCs w:val="18"/>
          <w:color w:val="auto"/>
        </w:rPr>
        <w:t>The following table summarizes purchases of shares of Legacy Sema4’s Series C preferred stock by its executive officers, directors, and holders of more than 5% of its capital stock.</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Shares of Series C Preferred Stock</w:t>
            </w:r>
          </w:p>
        </w:tc>
        <w:tc>
          <w:tcPr>
            <w:tcW w:w="0" w:type="dxa"/>
            <w:vAlign w:val="bottom"/>
          </w:tcPr>
          <w:p>
            <w:pPr>
              <w:spacing w:after="0"/>
              <w:rPr>
                <w:sz w:val="1"/>
                <w:szCs w:val="1"/>
                <w:color w:val="auto"/>
              </w:rPr>
            </w:pPr>
          </w:p>
        </w:tc>
      </w:tr>
      <w:tr>
        <w:trPr>
          <w:trHeight w:val="13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tcPr>
          <w:p>
            <w:pPr>
              <w:ind w:left="440"/>
              <w:spacing w:after="0" w:line="131" w:lineRule="exact"/>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1"/>
                <w:szCs w:val="11"/>
                <w:color w:val="auto"/>
              </w:rPr>
            </w:pPr>
          </w:p>
        </w:tc>
        <w:tc>
          <w:tcPr>
            <w:tcW w:w="1380" w:type="dxa"/>
            <w:vAlign w:val="bottom"/>
          </w:tcPr>
          <w:p>
            <w:pPr>
              <w:jc w:val="center"/>
              <w:ind w:right="103"/>
              <w:spacing w:after="0" w:line="131" w:lineRule="exact"/>
              <w:rPr>
                <w:sz w:val="20"/>
                <w:szCs w:val="20"/>
                <w:color w:val="auto"/>
              </w:rPr>
            </w:pPr>
            <w:r>
              <w:rPr>
                <w:rFonts w:ascii="Arial" w:cs="Arial" w:eastAsia="Arial" w:hAnsi="Arial"/>
                <w:sz w:val="14"/>
                <w:szCs w:val="14"/>
                <w:b w:val="1"/>
                <w:bCs w:val="1"/>
                <w:color w:val="auto"/>
                <w:w w:val="88"/>
              </w:rPr>
              <w:t>Aggregate Gross</w:t>
            </w:r>
          </w:p>
        </w:tc>
        <w:tc>
          <w:tcPr>
            <w:tcW w:w="0" w:type="dxa"/>
            <w:vAlign w:val="bottom"/>
          </w:tcPr>
          <w:p>
            <w:pPr>
              <w:spacing w:after="0"/>
              <w:rPr>
                <w:sz w:val="1"/>
                <w:szCs w:val="1"/>
                <w:color w:val="auto"/>
              </w:rPr>
            </w:pPr>
          </w:p>
        </w:tc>
      </w:tr>
      <w:tr>
        <w:trPr>
          <w:trHeight w:val="185"/>
        </w:trPr>
        <w:tc>
          <w:tcPr>
            <w:tcW w:w="8020" w:type="dxa"/>
            <w:vAlign w:val="bottom"/>
            <w:gridSpan w:val="2"/>
            <w:vMerge w:val="continue"/>
          </w:tcPr>
          <w:p>
            <w:pPr>
              <w:spacing w:after="0"/>
              <w:rPr>
                <w:sz w:val="16"/>
                <w:szCs w:val="16"/>
                <w:color w:val="auto"/>
              </w:rPr>
            </w:pPr>
          </w:p>
        </w:tc>
        <w:tc>
          <w:tcPr>
            <w:tcW w:w="1660" w:type="dxa"/>
            <w:vAlign w:val="bottom"/>
            <w:gridSpan w:val="2"/>
          </w:tcPr>
          <w:p>
            <w:pPr>
              <w:ind w:left="5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380" w:type="dxa"/>
            <w:vAlign w:val="bottom"/>
          </w:tcPr>
          <w:p>
            <w:pPr>
              <w:jc w:val="center"/>
              <w:ind w:right="103"/>
              <w:spacing w:after="0"/>
              <w:rPr>
                <w:sz w:val="20"/>
                <w:szCs w:val="20"/>
                <w:color w:val="auto"/>
              </w:rPr>
            </w:pPr>
            <w:r>
              <w:rPr>
                <w:rFonts w:ascii="Arial" w:cs="Arial" w:eastAsia="Arial" w:hAnsi="Arial"/>
                <w:sz w:val="14"/>
                <w:szCs w:val="14"/>
                <w:b w:val="1"/>
                <w:bCs w:val="1"/>
                <w:color w:val="auto"/>
                <w:w w:val="90"/>
              </w:rPr>
              <w:t>Consideration ($)</w:t>
            </w:r>
          </w:p>
        </w:tc>
        <w:tc>
          <w:tcPr>
            <w:tcW w:w="0" w:type="dxa"/>
            <w:vAlign w:val="bottom"/>
          </w:tcPr>
          <w:p>
            <w:pPr>
              <w:spacing w:after="0"/>
              <w:rPr>
                <w:sz w:val="1"/>
                <w:szCs w:val="1"/>
                <w:color w:val="auto"/>
              </w:rPr>
            </w:pPr>
          </w:p>
        </w:tc>
      </w:tr>
      <w:tr>
        <w:trPr>
          <w:trHeight w:val="219"/>
        </w:trPr>
        <w:tc>
          <w:tcPr>
            <w:tcW w:w="7920" w:type="dxa"/>
            <w:vAlign w:val="bottom"/>
            <w:tcBorders>
              <w:top w:val="single" w:sz="8" w:color="auto"/>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23,399,401</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180" w:hanging="314"/>
        <w:spacing w:after="0" w:line="247" w:lineRule="auto"/>
        <w:tabs>
          <w:tab w:leader="none" w:pos="312"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37,138 shares of Series C preferred stock held by BTO Sema4 Holdings L.P., 768 shares of Series C preferred stock held by Blackstone Tactical Opportunities Fund - FD L.P. and 224 shares of Series C preferred stock held by Blackstone Family Tactical Opportunities Investment Partnership III ESC L.P.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Stockholders Agreement</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July 27, 2020, Legacy Sema4 entered into a second amended and restated stockholders’ agreement, as amended (the “A&amp;R Stockholders’ Agreement”), with certain holders of Legacy Sema4’s capital stock. The A&amp;R Stockholders’ Agreement provided for certain customary rights with respect to the management of Legacy Sema4, rights of first offer and pre-emptive rights, transfer restrictions, tag-along rights and drag-along rights, which rights and restrictions terminated on July 22, 2021, upon the consummation of the business combination. In addition, the A&amp;R Stockholders’ Agreement provided for certain customary registration rights.</w:t>
      </w:r>
    </w:p>
    <w:p>
      <w:pPr>
        <w:spacing w:after="0" w:line="135" w:lineRule="exact"/>
        <w:rPr>
          <w:sz w:val="20"/>
          <w:szCs w:val="20"/>
          <w:color w:val="auto"/>
        </w:rPr>
      </w:pPr>
    </w:p>
    <w:p>
      <w:pPr>
        <w:ind w:right="4700"/>
        <w:spacing w:after="0" w:line="433" w:lineRule="auto"/>
        <w:rPr>
          <w:sz w:val="20"/>
          <w:szCs w:val="20"/>
          <w:color w:val="auto"/>
        </w:rPr>
      </w:pPr>
      <w:r>
        <w:rPr>
          <w:rFonts w:ascii="Arial" w:cs="Arial" w:eastAsia="Arial" w:hAnsi="Arial"/>
          <w:sz w:val="18"/>
          <w:szCs w:val="18"/>
          <w:b w:val="1"/>
          <w:bCs w:val="1"/>
          <w:color w:val="auto"/>
        </w:rPr>
        <w:t xml:space="preserve">Related Party Transactions Entered into in Connection with the Business Combination </w:t>
      </w:r>
      <w:r>
        <w:rPr>
          <w:rFonts w:ascii="Arial" w:cs="Arial" w:eastAsia="Arial" w:hAnsi="Arial"/>
          <w:sz w:val="18"/>
          <w:szCs w:val="18"/>
          <w:b w:val="1"/>
          <w:bCs w:val="1"/>
          <w:i w:val="1"/>
          <w:iCs w:val="1"/>
          <w:color w:val="auto"/>
        </w:rPr>
        <w:t>Business Combination Subscription Agreements</w:t>
      </w:r>
    </w:p>
    <w:p>
      <w:pPr>
        <w:spacing w:after="0" w:line="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connection with our business combination, the Merger PIPE Investors purchased an aggregate of 35,000,000 shares of our Class A common stock at $10.00 per share, for an aggregate purchase price of $350 million in private placements that closed immediately prior to the Merger Closing. The funds from such private placement were used as part of the consideration to Legacy Sema4’s equity holders in connection with the business combination. The following table sets forth the number of shares of our Class A common stock that we issued to our directors, executive officers and 5% stockholders and their affiliates in this transaction: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Shares of Class A Common Stock</w:t>
            </w:r>
          </w:p>
        </w:tc>
        <w:tc>
          <w:tcPr>
            <w:tcW w:w="0" w:type="dxa"/>
            <w:vAlign w:val="bottom"/>
          </w:tcPr>
          <w:p>
            <w:pPr>
              <w:spacing w:after="0"/>
              <w:rPr>
                <w:sz w:val="1"/>
                <w:szCs w:val="1"/>
                <w:color w:val="auto"/>
              </w:rPr>
            </w:pPr>
          </w:p>
        </w:tc>
      </w:tr>
      <w:tr>
        <w:trPr>
          <w:trHeight w:val="13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4"/>
              </w:rPr>
              <w:t>Number of</w:t>
            </w:r>
          </w:p>
        </w:tc>
        <w:tc>
          <w:tcPr>
            <w:tcW w:w="1560" w:type="dxa"/>
            <w:vAlign w:val="bottom"/>
          </w:tcPr>
          <w:p>
            <w:pPr>
              <w:jc w:val="right"/>
              <w:ind w:right="198"/>
              <w:spacing w:after="0" w:line="131" w:lineRule="exact"/>
              <w:rPr>
                <w:sz w:val="20"/>
                <w:szCs w:val="20"/>
                <w:color w:val="auto"/>
              </w:rPr>
            </w:pPr>
            <w:r>
              <w:rPr>
                <w:rFonts w:ascii="Arial" w:cs="Arial" w:eastAsia="Arial" w:hAnsi="Arial"/>
                <w:sz w:val="14"/>
                <w:szCs w:val="14"/>
                <w:b w:val="1"/>
                <w:bCs w:val="1"/>
                <w:color w:val="auto"/>
              </w:rPr>
              <w:t>Aggregate Gross</w:t>
            </w:r>
          </w:p>
        </w:tc>
        <w:tc>
          <w:tcPr>
            <w:tcW w:w="0" w:type="dxa"/>
            <w:vAlign w:val="bottom"/>
          </w:tcPr>
          <w:p>
            <w:pPr>
              <w:spacing w:after="0"/>
              <w:rPr>
                <w:sz w:val="1"/>
                <w:szCs w:val="1"/>
                <w:color w:val="auto"/>
              </w:rPr>
            </w:pPr>
          </w:p>
        </w:tc>
      </w:tr>
      <w:tr>
        <w:trPr>
          <w:trHeight w:val="185"/>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560" w:type="dxa"/>
            <w:vAlign w:val="bottom"/>
          </w:tcPr>
          <w:p>
            <w:pPr>
              <w:jc w:val="right"/>
              <w:ind w:right="178"/>
              <w:spacing w:after="0"/>
              <w:rPr>
                <w:sz w:val="20"/>
                <w:szCs w:val="20"/>
                <w:color w:val="auto"/>
              </w:rPr>
            </w:pPr>
            <w:r>
              <w:rPr>
                <w:rFonts w:ascii="Arial" w:cs="Arial" w:eastAsia="Arial" w:hAnsi="Arial"/>
                <w:sz w:val="14"/>
                <w:szCs w:val="14"/>
                <w:b w:val="1"/>
                <w:bCs w:val="1"/>
                <w:color w:val="auto"/>
              </w:rPr>
              <w:t>Consideration ($)</w:t>
            </w:r>
          </w:p>
        </w:tc>
        <w:tc>
          <w:tcPr>
            <w:tcW w:w="0" w:type="dxa"/>
            <w:vAlign w:val="bottom"/>
          </w:tcPr>
          <w:p>
            <w:pPr>
              <w:spacing w:after="0"/>
              <w:rPr>
                <w:sz w:val="1"/>
                <w:szCs w:val="1"/>
                <w:color w:val="auto"/>
              </w:rPr>
            </w:pPr>
          </w:p>
        </w:tc>
      </w:tr>
      <w:tr>
        <w:trPr>
          <w:trHeight w:val="219"/>
        </w:trPr>
        <w:tc>
          <w:tcPr>
            <w:tcW w:w="7920" w:type="dxa"/>
            <w:vAlign w:val="bottom"/>
            <w:tcBorders>
              <w:top w:val="single" w:sz="8" w:color="auto"/>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Entities affiliated with Casdin</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Corvex</w:t>
            </w:r>
            <w:r>
              <w:rPr>
                <w:rFonts w:ascii="Arial" w:cs="Arial" w:eastAsia="Arial" w:hAnsi="Arial"/>
                <w:sz w:val="22"/>
                <w:szCs w:val="22"/>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affiliated with Deerfield</w:t>
            </w:r>
            <w:r>
              <w:rPr>
                <w:rFonts w:ascii="Arial" w:cs="Arial" w:eastAsia="Arial" w:hAnsi="Arial"/>
                <w:sz w:val="22"/>
                <w:szCs w:val="22"/>
                <w:color w:val="auto"/>
                <w:vertAlign w:val="superscript"/>
              </w:rPr>
              <w:t>(3)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27,500,000</w:t>
            </w:r>
          </w:p>
        </w:tc>
        <w:tc>
          <w:tcPr>
            <w:tcW w:w="0" w:type="dxa"/>
            <w:vAlign w:val="bottom"/>
          </w:tcPr>
          <w:p>
            <w:pPr>
              <w:spacing w:after="0"/>
              <w:rPr>
                <w:sz w:val="1"/>
                <w:szCs w:val="1"/>
                <w:color w:val="auto"/>
              </w:rPr>
            </w:pPr>
          </w:p>
        </w:tc>
      </w:tr>
      <w:tr>
        <w:trPr>
          <w:trHeight w:val="219"/>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Consists of 5,000,000 shares of Class A common stock held by affiliates of Casdin Partners Master Fund L.P.</w:t>
      </w:r>
    </w:p>
    <w:p>
      <w:pPr>
        <w:ind w:left="320" w:hanging="314"/>
        <w:spacing w:after="0" w:line="237" w:lineRule="auto"/>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Consists of 4,000,000 shares of Class A common stock held by affiliates of Corvex Management LP.</w:t>
      </w:r>
    </w:p>
    <w:p>
      <w:pPr>
        <w:ind w:left="320" w:hanging="314"/>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Consists of 2,750,000 shares of Class A common stock held by affiliates of Deerfield Management Company, L.P.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connection with the consummation of our business combination, we, CMLS Holdings LLC (the “Former Sponsor”) and certain other parties thereto (collectively, the “rights holders”) entered into an amended and restated registration rights agreement (the “Amended and Restated Registration Rights Agreement”). Pursuant to the terms of the Amended and Restated Registration Rights Agreement, we were required to prepare and file with the SEC, no later than 30 days after the closing date for the Merger, a shelf registration statement for an offering to be made on a continuous basis from time to time with respect to the resale of the registrable shares under the Amended and Restated Registration Rights Agreement. We were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us that it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review such registration statement, subject to extension in the event that the registration is subject comments from the SEC.</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we file a registration statement on Form S-1 or Form S-3 to register certain shares of our Class A common stock held by such rights holders. The Amended and Restated Registration Rights Agreement also provides the rights holders with “piggy-back” registration rights, subject to certain requirements and customary conditions. We will bear the expenses incurred in connection with the filing of any such registration statement.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ISMMS Lock-Up Agreement</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execution of the Prior Merger Agreement, we and Icahn School of Medicine at Mount Sinai entered into the ISMMS Lock-Up Agreement whereby ISMMS agreed to certain transfer restrictions in respect of the shares of our Class A common stock issued to ISMMS pursuant to the Prior Merger Agreement. These transfer restrictions expired on January 18, 2022.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Lock-up Agreements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the execution of the Prior Merger Agreement, each stockholder of Legacy Sema4 prior to the closing of the business combination holding more than 1% of the outstanding common stock of Legacy Sema4 as of the date thereof, entered into a Stockholder Lock-up Agreement whereby such shareholder agreed to certain transfer restrictions in respect of the shares of our Class A common stock issued to such shareholder pursuant to the Prior Merger Agreement. These transfer restrictions expired on January 18, 2022.</w:t>
      </w:r>
    </w:p>
    <w:p>
      <w:pPr>
        <w:spacing w:after="0" w:line="132" w:lineRule="exact"/>
        <w:rPr>
          <w:sz w:val="20"/>
          <w:szCs w:val="20"/>
          <w:color w:val="auto"/>
        </w:rPr>
      </w:pPr>
    </w:p>
    <w:p>
      <w:pPr>
        <w:ind w:right="5000"/>
        <w:spacing w:after="0" w:line="433" w:lineRule="auto"/>
        <w:rPr>
          <w:sz w:val="20"/>
          <w:szCs w:val="20"/>
          <w:color w:val="auto"/>
        </w:rPr>
      </w:pPr>
      <w:r>
        <w:rPr>
          <w:rFonts w:ascii="Arial" w:cs="Arial" w:eastAsia="Arial" w:hAnsi="Arial"/>
          <w:sz w:val="18"/>
          <w:szCs w:val="18"/>
          <w:b w:val="1"/>
          <w:bCs w:val="1"/>
          <w:color w:val="auto"/>
        </w:rPr>
        <w:t xml:space="preserve">CMLS Related Party Transactions Entered into Prior to the Business Combination </w:t>
      </w:r>
      <w:r>
        <w:rPr>
          <w:rFonts w:ascii="Arial" w:cs="Arial" w:eastAsia="Arial" w:hAnsi="Arial"/>
          <w:sz w:val="18"/>
          <w:szCs w:val="18"/>
          <w:b w:val="1"/>
          <w:bCs w:val="1"/>
          <w:i w:val="1"/>
          <w:iCs w:val="1"/>
          <w:color w:val="auto"/>
        </w:rPr>
        <w:t>Founder Shares</w:t>
      </w:r>
    </w:p>
    <w:p>
      <w:pPr>
        <w:spacing w:after="0" w:line="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On July 16, 2020, the Former Sponsor purchased an aggregate of 10,062,500 shares of Class B common stock of CMLS (the “Class B common stock”), for a total purchase price of $25,000, or approximately $0.002 per share. In August 2020, the Former Sponsor transferred 25,000 of Class B common stock to each of Dr. Leproust and Mr. Turner. On September 1, 2020, CMLS effected a 1:1.1 stock split of its Class B common stock, resulting in the Former Sponsor holding an aggregate of 10,993,750 shares of Class B common stock. The shares of Class B common stock automatically converted into Class A common stock on July 22, 2021 in connection with the consummation of the business combination (such shares, the “Founder Shares”).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On September 1, 2020, simultaneously with the closing of CMLS’s initial public offering (the “Initial Public Offering”), the Former Sponsor and certain of CMLS’s independent directors purchased an aggregate of 7,236,667 private placement warrants (the “Private Placement Warrants”), at a price of $1.50 per Private Placement Warrant, for an aggregate purchase price of $10,855,000. The Former Sponsor purchased 6,903,335 Private Placement Warrants, and Dr. Leproust (and/or one or more entities controlled by her) purchased 166,666 Private Placement Warrants. Each Private Placement Warrant is exercisable to purchase one share of Class A common stock at a price of $11.50 per share, subject to adjustment.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Note–Related Party</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July 16, 2020, the Former Sponsor issued an unsecured promissory note to CMLS (the “Promissory Note”), pursuant to which CMLS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i w:val="1"/>
          <w:iCs w:val="1"/>
          <w:color w:val="auto"/>
        </w:rPr>
        <w:t>Insider Letter</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September 1, 2020, in connection with the Initial Public Offering, CMLS, the Former Sponsor and certain insiders of CMLS entered into a letter agreement (the “Insider Letter”) providing for, among other things, a lock-up in relation to the Founder Shares until the earlier of (a) one year after the completion of the business combination and (b) subsequent to the business combination, if the closing price of the Class A common stock equals or exceeds $12.00 per share (as adjusted for stock splits, stock dividends, reorganizations, recapitalizations, and the like) for any 20 trading days within any 30-day trading day period commencing at least 150 days after the business combination or (y) the date following the completion of the business combination on which we complete a liquidation, merger, capital stock exchange, reorganization or other similar transaction that results in all of our stockholders having the right to exchange their shares of Class A common stock for cash securities or other property. The Former Sponsor and each insider also agreed not to transfer any Private Placement Warrants (or any share of Class A common stock issued or issuable upon the exercise of the Private Placement Warrants), until 30 days after the completion of the business combination.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September 1, 2020, in connection with the Initial Public Offering, CMLS entered into separate forward purchase agreements with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provided therein, they caused the Clients to purchase from us up to an aggregate amount of 15,000,000 shares of Class A common stock the private placement that closed concurrently with the closing of the business combination.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Parties</w:t>
      </w:r>
    </w:p>
    <w:p>
      <w:pPr>
        <w:spacing w:after="0" w:line="17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July 22, 2021, we adopted a written related party transaction policy in connection with the completion of the business combination. The policy provides that officers, directors, holders of more than 5% of any class of our voting securities, and any member of the immediate family of and any entity affiliated with any of the foregoing persons, will not be permitted to enter into a related-party transaction with us without the prior consent of our audit committee, or other independent members of our Board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the proposed transactions, our audit committee will take into account all of the relevant facts and circumstances available.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rules of Nasdaq require that a majority of our Board be independent. An “independent director” is defined generally as a person other than an executive officer or employee of the issuer or any other individual having a relationship which, in the opinion of the issuer’s board of directors, would interfere with the exercise of independent judgement in carrying out the responsibilities of a director. Each individual serving on our Board, other than Eric Schadt and Jason Ryan, qualifies as an independent director under Nasdaq listing standards. Each director who serves on our audit committee, compensation committee and nominating and corporate governance committee are independent under Nasdaq listing standards. See “Corporate Governance” in Item 10 above for more information.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Accountant Fees and Services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represents aggregate fees billed or to be billed to the Company for the fiscal years ended December 31, 2021 and December 31, 2020 by Ernst &amp; Young LLP, our independent registered public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78" w:name="page179"/>
    <w:bookmarkEnd w:id="178"/>
    <w:p>
      <w:pPr>
        <w:spacing w:after="0" w:line="264" w:lineRule="auto"/>
        <w:rPr>
          <w:sz w:val="20"/>
          <w:szCs w:val="20"/>
          <w:color w:val="auto"/>
        </w:rPr>
      </w:pPr>
      <w:r>
        <w:rPr>
          <w:rFonts w:ascii="Arial" w:cs="Arial" w:eastAsia="Arial" w:hAnsi="Arial"/>
          <w:sz w:val="18"/>
          <w:szCs w:val="18"/>
          <w:color w:val="auto"/>
        </w:rPr>
        <w:t>firm since the closing of the business combination and the independent registered public accounting firm of Legacy Sema4 prior to the closing of the business combination: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Fees Billed to Sema4</w:t>
            </w:r>
          </w:p>
        </w:tc>
        <w:tc>
          <w:tcPr>
            <w:tcW w:w="20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 2021</w:t>
            </w:r>
          </w:p>
        </w:tc>
        <w:tc>
          <w:tcPr>
            <w:tcW w:w="200" w:type="dxa"/>
            <w:vAlign w:val="bottom"/>
          </w:tcPr>
          <w:p>
            <w:pPr>
              <w:spacing w:after="0"/>
              <w:rPr>
                <w:sz w:val="15"/>
                <w:szCs w:val="15"/>
                <w:color w:val="auto"/>
              </w:rPr>
            </w:pPr>
          </w:p>
        </w:tc>
        <w:tc>
          <w:tcPr>
            <w:tcW w:w="1360" w:type="dxa"/>
            <w:vAlign w:val="bottom"/>
          </w:tcPr>
          <w:p>
            <w:pPr>
              <w:jc w:val="right"/>
              <w:ind w:right="202"/>
              <w:spacing w:after="0"/>
              <w:rPr>
                <w:sz w:val="20"/>
                <w:szCs w:val="20"/>
                <w:color w:val="auto"/>
              </w:rPr>
            </w:pPr>
            <w:r>
              <w:rPr>
                <w:rFonts w:ascii="Arial" w:cs="Arial" w:eastAsia="Arial" w:hAnsi="Arial"/>
                <w:sz w:val="14"/>
                <w:szCs w:val="14"/>
                <w:b w:val="1"/>
                <w:bCs w:val="1"/>
                <w:color w:val="auto"/>
                <w:w w:val="97"/>
              </w:rPr>
              <w:t>Fiscal Year 2020</w:t>
            </w:r>
          </w:p>
        </w:tc>
        <w:tc>
          <w:tcPr>
            <w:tcW w:w="0" w:type="dxa"/>
            <w:vAlign w:val="bottom"/>
          </w:tcPr>
          <w:p>
            <w:pPr>
              <w:spacing w:after="0"/>
              <w:rPr>
                <w:sz w:val="1"/>
                <w:szCs w:val="1"/>
                <w:color w:val="auto"/>
              </w:rPr>
            </w:pPr>
          </w:p>
        </w:tc>
      </w:tr>
      <w:tr>
        <w:trPr>
          <w:trHeight w:val="24"/>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0"/>
                <w:szCs w:val="20"/>
                <w:color w:val="auto"/>
                <w:vertAlign w:val="superscript"/>
              </w:rPr>
              <w:t>(1)</w:t>
            </w:r>
          </w:p>
        </w:tc>
        <w:tc>
          <w:tcPr>
            <w:tcW w:w="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1,400,000</w:t>
            </w:r>
          </w:p>
        </w:tc>
        <w:tc>
          <w:tcPr>
            <w:tcW w:w="100" w:type="dxa"/>
            <w:vAlign w:val="bottom"/>
            <w:shd w:val="clear" w:color="auto" w:fill="CCEEFF"/>
          </w:tcPr>
          <w:p>
            <w:pPr>
              <w:spacing w:after="0"/>
              <w:rPr>
                <w:sz w:val="24"/>
                <w:szCs w:val="24"/>
                <w:color w:val="auto"/>
              </w:rPr>
            </w:pPr>
          </w:p>
        </w:tc>
        <w:tc>
          <w:tcPr>
            <w:tcW w:w="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2,766,250</w:t>
            </w:r>
          </w:p>
        </w:tc>
        <w:tc>
          <w:tcPr>
            <w:tcW w:w="0" w:type="dxa"/>
            <w:vAlign w:val="bottom"/>
          </w:tcPr>
          <w:p>
            <w:pPr>
              <w:spacing w:after="0"/>
              <w:rPr>
                <w:sz w:val="1"/>
                <w:szCs w:val="1"/>
                <w:color w:val="auto"/>
              </w:rPr>
            </w:pPr>
          </w:p>
        </w:tc>
      </w:tr>
      <w:tr>
        <w:trPr>
          <w:trHeight w:val="110"/>
        </w:trPr>
        <w:tc>
          <w:tcPr>
            <w:tcW w:w="7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0"/>
                <w:szCs w:val="20"/>
                <w:color w:val="auto"/>
                <w:vertAlign w:val="superscript"/>
              </w:rPr>
              <w:t>(2)</w:t>
            </w:r>
          </w:p>
        </w:tc>
        <w:tc>
          <w:tcPr>
            <w:tcW w:w="2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1"/>
        </w:trPr>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fees</w:t>
            </w:r>
            <w:r>
              <w:rPr>
                <w:rFonts w:ascii="Arial" w:cs="Arial" w:eastAsia="Arial" w:hAnsi="Arial"/>
                <w:sz w:val="20"/>
                <w:szCs w:val="20"/>
                <w:color w:val="auto"/>
                <w:vertAlign w:val="superscript"/>
              </w:rPr>
              <w:t>(3)</w:t>
            </w:r>
          </w:p>
        </w:tc>
        <w:tc>
          <w:tcPr>
            <w:tcW w:w="200" w:type="dxa"/>
            <w:vAlign w:val="bottom"/>
            <w:shd w:val="clear" w:color="auto" w:fill="CCEEFF"/>
          </w:tcPr>
          <w:p>
            <w:pPr>
              <w:spacing w:after="0"/>
              <w:rPr>
                <w:sz w:val="24"/>
                <w:szCs w:val="24"/>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0"/>
        </w:trPr>
        <w:tc>
          <w:tcPr>
            <w:tcW w:w="7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6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All other fees</w:t>
            </w:r>
            <w:r>
              <w:rPr>
                <w:rFonts w:ascii="Arial" w:cs="Arial" w:eastAsia="Arial" w:hAnsi="Arial"/>
                <w:sz w:val="20"/>
                <w:szCs w:val="20"/>
                <w:color w:val="auto"/>
                <w:vertAlign w:val="superscript"/>
              </w:rPr>
              <w:t>(4)</w:t>
            </w:r>
          </w:p>
        </w:tc>
        <w:tc>
          <w:tcPr>
            <w:tcW w:w="2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1,778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2,601</w:t>
            </w:r>
          </w:p>
        </w:tc>
        <w:tc>
          <w:tcPr>
            <w:tcW w:w="0" w:type="dxa"/>
            <w:vAlign w:val="bottom"/>
          </w:tcPr>
          <w:p>
            <w:pPr>
              <w:spacing w:after="0"/>
              <w:rPr>
                <w:sz w:val="1"/>
                <w:szCs w:val="1"/>
                <w:color w:val="auto"/>
              </w:rPr>
            </w:pPr>
          </w:p>
        </w:tc>
      </w:tr>
      <w:tr>
        <w:trPr>
          <w:trHeight w:val="103"/>
        </w:trPr>
        <w:tc>
          <w:tcPr>
            <w:tcW w:w="79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fees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1,701,778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2,768,851</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80" w:hanging="314"/>
        <w:spacing w:after="0" w:line="276" w:lineRule="auto"/>
        <w:tabs>
          <w:tab w:leader="none" w:pos="312" w:val="left"/>
        </w:tabs>
        <w:numPr>
          <w:ilvl w:val="0"/>
          <w:numId w:val="8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Audit fees</w:t>
      </w:r>
      <w:r>
        <w:rPr>
          <w:rFonts w:ascii="Arial" w:cs="Arial" w:eastAsia="Arial" w:hAnsi="Arial"/>
          <w:sz w:val="12"/>
          <w:szCs w:val="12"/>
          <w:color w:val="auto"/>
        </w:rPr>
        <w:t>” include fees for audit services primarily related to the audit of our annual consolidated financial statements; the review of our quarterly consolidated financial statements; consents, and assistance with and review of documents filed with the SEC; and other accounting and financial reporting consultation and research work billed as audit fees or necessary to comply with the standards of the Public Company Accounting Oversight Board (United States) and the SPAC merger transaction and subsequent SEC filings including registration statements.</w:t>
      </w:r>
    </w:p>
    <w:p>
      <w:pPr>
        <w:ind w:left="320" w:hanging="314"/>
        <w:spacing w:after="0" w:line="237" w:lineRule="auto"/>
        <w:tabs>
          <w:tab w:leader="none" w:pos="3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Audit-related fees</w:t>
      </w:r>
      <w:r>
        <w:rPr>
          <w:rFonts w:ascii="Arial" w:cs="Arial" w:eastAsia="Arial" w:hAnsi="Arial"/>
          <w:sz w:val="14"/>
          <w:szCs w:val="14"/>
          <w:color w:val="auto"/>
        </w:rPr>
        <w:t>” include fees related to performing Sema4’s internal control environment assessment.</w:t>
      </w:r>
    </w:p>
    <w:p>
      <w:pPr>
        <w:ind w:left="320" w:right="500" w:hanging="314"/>
        <w:spacing w:after="0" w:line="247" w:lineRule="auto"/>
        <w:tabs>
          <w:tab w:leader="none" w:pos="312" w:val="left"/>
        </w:tabs>
        <w:numPr>
          <w:ilvl w:val="0"/>
          <w:numId w:val="8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Tax fees</w:t>
      </w:r>
      <w:r>
        <w:rPr>
          <w:rFonts w:ascii="Arial" w:cs="Arial" w:eastAsia="Arial" w:hAnsi="Arial"/>
          <w:sz w:val="14"/>
          <w:szCs w:val="14"/>
          <w:color w:val="auto"/>
        </w:rPr>
        <w:t>” include fees for tax compliance and advice. Tax advice fees encompass a variety of permissible services, including technical tax advice related to federal and state income tax matters; assistance with sales tax; assistance with tax matters related to acquisitions and assistance with tax audits.</w:t>
      </w:r>
    </w:p>
    <w:p>
      <w:pPr>
        <w:spacing w:after="0" w:line="133" w:lineRule="exact"/>
        <w:rPr>
          <w:rFonts w:ascii="Arial" w:cs="Arial" w:eastAsia="Arial" w:hAnsi="Arial"/>
          <w:sz w:val="14"/>
          <w:szCs w:val="14"/>
          <w:color w:val="auto"/>
        </w:rPr>
      </w:pPr>
    </w:p>
    <w:p>
      <w:pPr>
        <w:ind w:left="320" w:hanging="314"/>
        <w:spacing w:after="0"/>
        <w:tabs>
          <w:tab w:leader="none" w:pos="3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All other fees</w:t>
      </w:r>
      <w:r>
        <w:rPr>
          <w:rFonts w:ascii="Arial" w:cs="Arial" w:eastAsia="Arial" w:hAnsi="Arial"/>
          <w:sz w:val="14"/>
          <w:szCs w:val="14"/>
          <w:color w:val="auto"/>
        </w:rPr>
        <w:t>” include fees for services other than the services described in the above three categories, principally comprised of support services.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Policy on Audit Committee Pre-Approval of Audit and Permissible Non-Audit Services of Independent Registered Public Accounting Firm</w:t>
      </w:r>
    </w:p>
    <w:p>
      <w:pPr>
        <w:spacing w:after="0" w:line="17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audit committee’s policy is to pre-approve all audit and permissible non-audit services rendered by Ernst &amp; Young LLP, our independent registered public accounting firm. The audit committee pre-approves specified services in defined categories of audit services, audit-related services and tax services up to specified amounts, as part of the audit committee’s approval of the scope of the engagement of Ernst &amp; Young LLP or on an individual case-by-case basis before Ernst &amp; Young LLP is engaged to provide a service. The audit committee has determined that the rendering of the services other than audit services by Ernst &amp; Young LLP is compatible with maintaining the principal accountant’s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Part IV</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57" w:lineRule="exact"/>
        <w:rPr>
          <w:sz w:val="20"/>
          <w:szCs w:val="20"/>
          <w:color w:val="auto"/>
        </w:rPr>
      </w:pPr>
    </w:p>
    <w:p>
      <w:pPr>
        <w:ind w:left="180" w:hanging="174"/>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Annual Report.</w:t>
      </w:r>
    </w:p>
    <w:p>
      <w:pPr>
        <w:spacing w:after="0" w:line="150" w:lineRule="exact"/>
        <w:rPr>
          <w:rFonts w:ascii="Arial" w:cs="Arial" w:eastAsia="Arial" w:hAnsi="Arial"/>
          <w:sz w:val="18"/>
          <w:szCs w:val="18"/>
          <w:color w:val="auto"/>
        </w:rPr>
      </w:pPr>
    </w:p>
    <w:p>
      <w:pPr>
        <w:ind w:right="20" w:firstLine="324"/>
        <w:spacing w:after="0" w:line="264" w:lineRule="auto"/>
        <w:tabs>
          <w:tab w:leader="none" w:pos="497" w:val="left"/>
        </w:tabs>
        <w:numPr>
          <w:ilvl w:val="1"/>
          <w:numId w:val="86"/>
        </w:numPr>
        <w:rPr>
          <w:rFonts w:ascii="Arial" w:cs="Arial" w:eastAsia="Arial" w:hAnsi="Arial"/>
          <w:sz w:val="18"/>
          <w:szCs w:val="18"/>
          <w:color w:val="auto"/>
        </w:rPr>
      </w:pPr>
      <w:r>
        <w:rPr>
          <w:rFonts w:ascii="Arial" w:cs="Arial" w:eastAsia="Arial" w:hAnsi="Arial"/>
          <w:sz w:val="18"/>
          <w:szCs w:val="18"/>
          <w:color w:val="auto"/>
        </w:rPr>
        <w:t>Consolidated financial statements: The consolidated financial statements are set forth under “Item 8. Financial Statements and Supplementary Data” of this Annual Report on Form 10-K.</w:t>
      </w:r>
    </w:p>
    <w:p>
      <w:pPr>
        <w:spacing w:after="0" w:line="127" w:lineRule="exact"/>
        <w:rPr>
          <w:rFonts w:ascii="Arial" w:cs="Arial" w:eastAsia="Arial" w:hAnsi="Arial"/>
          <w:sz w:val="18"/>
          <w:szCs w:val="18"/>
          <w:color w:val="auto"/>
        </w:rPr>
      </w:pPr>
    </w:p>
    <w:p>
      <w:pPr>
        <w:ind w:firstLine="324"/>
        <w:spacing w:after="0" w:line="264" w:lineRule="auto"/>
        <w:tabs>
          <w:tab w:leader="none" w:pos="496" w:val="left"/>
        </w:tabs>
        <w:numPr>
          <w:ilvl w:val="1"/>
          <w:numId w:val="86"/>
        </w:numPr>
        <w:rPr>
          <w:rFonts w:ascii="Arial" w:cs="Arial" w:eastAsia="Arial" w:hAnsi="Arial"/>
          <w:sz w:val="18"/>
          <w:szCs w:val="18"/>
          <w:color w:val="auto"/>
        </w:rPr>
      </w:pPr>
      <w:r>
        <w:rPr>
          <w:rFonts w:ascii="Arial" w:cs="Arial" w:eastAsia="Arial" w:hAnsi="Arial"/>
          <w:sz w:val="18"/>
          <w:szCs w:val="18"/>
          <w:color w:val="auto"/>
        </w:rPr>
        <w:t>Financial statement schedules: All schedules have been omitted because they are not required, not applicable, or the required information is included in the consolidated financial statements or notes thereto.</w:t>
      </w:r>
    </w:p>
    <w:p>
      <w:pPr>
        <w:spacing w:after="0" w:line="114" w:lineRule="exact"/>
        <w:rPr>
          <w:rFonts w:ascii="Arial" w:cs="Arial" w:eastAsia="Arial" w:hAnsi="Arial"/>
          <w:sz w:val="18"/>
          <w:szCs w:val="18"/>
          <w:color w:val="auto"/>
        </w:rPr>
      </w:pPr>
    </w:p>
    <w:p>
      <w:pPr>
        <w:ind w:left="500" w:hanging="176"/>
        <w:spacing w:after="0"/>
        <w:tabs>
          <w:tab w:leader="none" w:pos="500" w:val="left"/>
        </w:tabs>
        <w:numPr>
          <w:ilvl w:val="1"/>
          <w:numId w:val="86"/>
        </w:numPr>
        <w:rPr>
          <w:rFonts w:ascii="Arial" w:cs="Arial" w:eastAsia="Arial" w:hAnsi="Arial"/>
          <w:sz w:val="15"/>
          <w:szCs w:val="15"/>
          <w:color w:val="auto"/>
        </w:rPr>
      </w:pPr>
      <w:r>
        <w:rPr>
          <w:rFonts w:ascii="Arial" w:cs="Arial" w:eastAsia="Arial" w:hAnsi="Arial"/>
          <w:sz w:val="15"/>
          <w:szCs w:val="15"/>
          <w:color w:val="auto"/>
        </w:rPr>
        <w:t>Exhibits: The exhibits listed in the accompanying Exhibit Index are filed or incorporated by reference as part of this Annual Report on Form 10-K.</w:t>
      </w:r>
    </w:p>
    <w:p>
      <w:pPr>
        <w:spacing w:after="0" w:line="2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b w:val="1"/>
          <w:bCs w:val="1"/>
          <w:color w:val="auto"/>
        </w:rPr>
        <w:t>Incorporated by Reference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b w:val="1"/>
                <w:bCs w:val="1"/>
                <w:color w:val="auto"/>
              </w:rPr>
              <w:t>No.</w:t>
            </w:r>
          </w:p>
        </w:tc>
        <w:tc>
          <w:tcPr>
            <w:tcW w:w="200" w:type="dxa"/>
            <w:vAlign w:val="bottom"/>
            <w:tcBorders>
              <w:bottom w:val="single" w:sz="8" w:color="CCEEFF"/>
            </w:tcBorders>
          </w:tcPr>
          <w:p>
            <w:pPr>
              <w:spacing w:after="0"/>
              <w:rPr>
                <w:sz w:val="19"/>
                <w:szCs w:val="19"/>
                <w:color w:val="auto"/>
              </w:rPr>
            </w:pPr>
          </w:p>
        </w:tc>
        <w:tc>
          <w:tcPr>
            <w:tcW w:w="4300" w:type="dxa"/>
            <w:vAlign w:val="bottom"/>
            <w:tcBorders>
              <w:top w:val="single" w:sz="8" w:color="auto"/>
              <w:bottom w:val="single" w:sz="8" w:color="auto"/>
            </w:tcBorders>
            <w:gridSpan w:val="23"/>
          </w:tcPr>
          <w:p>
            <w:pPr>
              <w:spacing w:after="0"/>
              <w:rPr>
                <w:sz w:val="20"/>
                <w:szCs w:val="20"/>
                <w:color w:val="auto"/>
              </w:rPr>
            </w:pPr>
            <w:r>
              <w:rPr>
                <w:rFonts w:ascii="Arial" w:cs="Arial" w:eastAsia="Arial" w:hAnsi="Arial"/>
                <w:sz w:val="16"/>
                <w:szCs w:val="16"/>
                <w:b w:val="1"/>
                <w:bCs w:val="1"/>
                <w:color w:val="auto"/>
              </w:rPr>
              <w:t>Description of Exhibit</w:t>
            </w:r>
          </w:p>
        </w:tc>
        <w:tc>
          <w:tcPr>
            <w:tcW w:w="16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8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Exhibit</w:t>
            </w:r>
          </w:p>
        </w:tc>
        <w:tc>
          <w:tcPr>
            <w:tcW w:w="16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Filing Date</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Filed Herewith</w:t>
            </w:r>
          </w:p>
        </w:tc>
      </w:tr>
      <w:tr>
        <w:trPr>
          <w:trHeight w:val="172"/>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8"/>
              </w:rPr>
              <w:t>2.1+</w:t>
            </w:r>
          </w:p>
        </w:tc>
        <w:tc>
          <w:tcPr>
            <w:tcW w:w="200" w:type="dxa"/>
            <w:vAlign w:val="bottom"/>
            <w:tcBorders>
              <w:right w:val="single" w:sz="8" w:color="CCEEFF"/>
            </w:tcBorders>
            <w:shd w:val="clear" w:color="auto" w:fill="CCEEFF"/>
          </w:tcPr>
          <w:p>
            <w:pPr>
              <w:spacing w:after="0"/>
              <w:rPr>
                <w:sz w:val="14"/>
                <w:szCs w:val="14"/>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w w:val="98"/>
              </w:rPr>
            </w:pPr>
            <w:hyperlink r:id="rId194">
              <w:r>
                <w:rPr>
                  <w:rFonts w:ascii="Arial" w:cs="Arial" w:eastAsia="Arial" w:hAnsi="Arial"/>
                  <w:sz w:val="16"/>
                  <w:szCs w:val="16"/>
                  <w:color w:val="0000FF"/>
                  <w:w w:val="98"/>
                </w:rPr>
                <w:t>Agreement and Plan of Merger, dated February 9, 2021, by and</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4"/>
              </w:rPr>
              <w:t>DEF14M</w:t>
            </w:r>
          </w:p>
        </w:tc>
        <w:tc>
          <w:tcPr>
            <w:tcW w:w="146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5"/>
              </w:rPr>
              <w:t>Annex A</w:t>
            </w: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07/02/2021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52"/>
        </w:trPr>
        <w:tc>
          <w:tcPr>
            <w:tcW w:w="9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4080" w:type="dxa"/>
            <w:vAlign w:val="bottom"/>
            <w:tcBorders>
              <w:top w:val="single" w:sz="8" w:color="0000FF"/>
              <w:right w:val="single" w:sz="8" w:color="CCEEFF"/>
            </w:tcBorders>
            <w:gridSpan w:val="17"/>
            <w:shd w:val="clear" w:color="auto" w:fill="CCEEFF"/>
          </w:tcPr>
          <w:p>
            <w:pPr>
              <w:spacing w:after="0" w:line="152" w:lineRule="exact"/>
              <w:rPr>
                <w:rFonts w:ascii="Arial" w:cs="Arial" w:eastAsia="Arial" w:hAnsi="Arial"/>
                <w:sz w:val="16"/>
                <w:szCs w:val="16"/>
                <w:color w:val="0000FF"/>
                <w:w w:val="89"/>
              </w:rPr>
            </w:pPr>
            <w:hyperlink r:id="rId194">
              <w:r>
                <w:rPr>
                  <w:rFonts w:ascii="Arial" w:cs="Arial" w:eastAsia="Arial" w:hAnsi="Arial"/>
                  <w:sz w:val="16"/>
                  <w:szCs w:val="16"/>
                  <w:color w:val="0000FF"/>
                  <w:w w:val="89"/>
                </w:rPr>
                <w:t>among CMLS, Merger Sub and Legacy Sema4, as amended by</w:t>
              </w:r>
            </w:hyperlink>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r>
      <w:tr>
        <w:trPr>
          <w:trHeight w:val="185"/>
        </w:trPr>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460" w:type="dxa"/>
            <w:vAlign w:val="bottom"/>
            <w:gridSpan w:val="24"/>
            <w:shd w:val="clear" w:color="auto" w:fill="CCEEFF"/>
          </w:tcPr>
          <w:p>
            <w:pPr>
              <w:spacing w:after="0" w:line="152" w:lineRule="exact"/>
              <w:rPr>
                <w:rFonts w:ascii="Arial" w:cs="Arial" w:eastAsia="Arial" w:hAnsi="Arial"/>
                <w:sz w:val="16"/>
                <w:szCs w:val="16"/>
                <w:color w:val="0000FF"/>
                <w:w w:val="94"/>
              </w:rPr>
            </w:pPr>
            <w:hyperlink r:id="rId194">
              <w:r>
                <w:rPr>
                  <w:rFonts w:ascii="Arial" w:cs="Arial" w:eastAsia="Arial" w:hAnsi="Arial"/>
                  <w:sz w:val="16"/>
                  <w:szCs w:val="16"/>
                  <w:color w:val="0000FF"/>
                  <w:w w:val="94"/>
                </w:rPr>
                <w:t>Amendment to Agreement and Plan of Merger dated May 3, 2021.</w:t>
              </w:r>
            </w:hyperlink>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72"/>
        </w:trPr>
        <w:tc>
          <w:tcPr>
            <w:tcW w:w="92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2.2</w:t>
            </w: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4080" w:type="dxa"/>
            <w:vAlign w:val="bottom"/>
            <w:tcBorders>
              <w:bottom w:val="single" w:sz="8" w:color="0000FF"/>
              <w:right w:val="single" w:sz="8" w:color="CCEEFF"/>
            </w:tcBorders>
            <w:gridSpan w:val="17"/>
            <w:shd w:val="clear" w:color="auto" w:fill="CCEEFF"/>
          </w:tcPr>
          <w:p>
            <w:pPr>
              <w:spacing w:after="0" w:line="172" w:lineRule="exact"/>
              <w:rPr>
                <w:rFonts w:ascii="Arial" w:cs="Arial" w:eastAsia="Arial" w:hAnsi="Arial"/>
                <w:sz w:val="16"/>
                <w:szCs w:val="16"/>
                <w:color w:val="0000FF"/>
                <w:w w:val="89"/>
              </w:rPr>
            </w:pPr>
            <w:hyperlink r:id="rId195">
              <w:r>
                <w:rPr>
                  <w:rFonts w:ascii="Arial" w:cs="Arial" w:eastAsia="Arial" w:hAnsi="Arial"/>
                  <w:sz w:val="16"/>
                  <w:szCs w:val="16"/>
                  <w:color w:val="0000FF"/>
                  <w:w w:val="89"/>
                </w:rPr>
                <w:t>Agreement and Plan of Merger and Reorganization, dated as of</w:t>
              </w:r>
            </w:hyperlink>
          </w:p>
        </w:tc>
        <w:tc>
          <w:tcPr>
            <w:tcW w:w="380" w:type="dxa"/>
            <w:vAlign w:val="bottom"/>
            <w:tcBorders>
              <w:bottom w:val="single" w:sz="8" w:color="CCEEFF"/>
            </w:tcBorders>
            <w:gridSpan w:val="7"/>
            <w:shd w:val="clear" w:color="auto" w:fill="CCEEFF"/>
          </w:tcPr>
          <w:p>
            <w:pPr>
              <w:spacing w:after="0"/>
              <w:rPr>
                <w:sz w:val="14"/>
                <w:szCs w:val="14"/>
                <w:color w:val="auto"/>
              </w:rPr>
            </w:pPr>
          </w:p>
        </w:tc>
        <w:tc>
          <w:tcPr>
            <w:tcW w:w="1480" w:type="dxa"/>
            <w:vAlign w:val="bottom"/>
            <w:tcBorders>
              <w:bottom w:val="single" w:sz="8" w:color="CCEEFF"/>
            </w:tcBorders>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2.1</w:t>
            </w:r>
          </w:p>
        </w:tc>
        <w:tc>
          <w:tcPr>
            <w:tcW w:w="16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ind w:left="300"/>
              <w:spacing w:after="0" w:line="172" w:lineRule="exact"/>
              <w:rPr>
                <w:sz w:val="20"/>
                <w:szCs w:val="20"/>
                <w:color w:val="auto"/>
              </w:rPr>
            </w:pPr>
            <w:r>
              <w:rPr>
                <w:rFonts w:ascii="Arial" w:cs="Arial" w:eastAsia="Arial" w:hAnsi="Arial"/>
                <w:sz w:val="16"/>
                <w:szCs w:val="16"/>
                <w:color w:val="auto"/>
              </w:rPr>
              <w:t>01/18/2022</w:t>
            </w: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r>
      <w:tr>
        <w:trPr>
          <w:trHeight w:val="152"/>
        </w:trPr>
        <w:tc>
          <w:tcPr>
            <w:tcW w:w="9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460" w:type="dxa"/>
            <w:vAlign w:val="bottom"/>
            <w:gridSpan w:val="24"/>
            <w:shd w:val="clear" w:color="auto" w:fill="CCEEFF"/>
          </w:tcPr>
          <w:p>
            <w:pPr>
              <w:spacing w:after="0" w:line="152" w:lineRule="exact"/>
              <w:rPr>
                <w:rFonts w:ascii="Arial" w:cs="Arial" w:eastAsia="Arial" w:hAnsi="Arial"/>
                <w:sz w:val="16"/>
                <w:szCs w:val="16"/>
                <w:color w:val="0000FF"/>
                <w:w w:val="96"/>
              </w:rPr>
            </w:pPr>
            <w:hyperlink r:id="rId195">
              <w:r>
                <w:rPr>
                  <w:rFonts w:ascii="Arial" w:cs="Arial" w:eastAsia="Arial" w:hAnsi="Arial"/>
                  <w:sz w:val="16"/>
                  <w:szCs w:val="16"/>
                  <w:color w:val="0000FF"/>
                  <w:w w:val="96"/>
                </w:rPr>
                <w:t>January 14, 2022, by and among, Orion Merger Sub I, Inc., Orion</w:t>
              </w:r>
            </w:hyperlink>
          </w:p>
        </w:tc>
        <w:tc>
          <w:tcPr>
            <w:tcW w:w="1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52"/>
        </w:trPr>
        <w:tc>
          <w:tcPr>
            <w:tcW w:w="9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4160" w:type="dxa"/>
            <w:vAlign w:val="bottom"/>
            <w:tcBorders>
              <w:top w:val="single" w:sz="8" w:color="0000FF"/>
            </w:tcBorders>
            <w:gridSpan w:val="18"/>
            <w:shd w:val="clear" w:color="auto" w:fill="CCEEFF"/>
          </w:tcPr>
          <w:p>
            <w:pPr>
              <w:spacing w:after="0" w:line="152" w:lineRule="exact"/>
              <w:rPr>
                <w:rFonts w:ascii="Arial" w:cs="Arial" w:eastAsia="Arial" w:hAnsi="Arial"/>
                <w:sz w:val="16"/>
                <w:szCs w:val="16"/>
                <w:color w:val="0000FF"/>
                <w:w w:val="93"/>
              </w:rPr>
            </w:pPr>
            <w:hyperlink r:id="rId195">
              <w:r>
                <w:rPr>
                  <w:rFonts w:ascii="Arial" w:cs="Arial" w:eastAsia="Arial" w:hAnsi="Arial"/>
                  <w:sz w:val="16"/>
                  <w:szCs w:val="16"/>
                  <w:color w:val="0000FF"/>
                  <w:w w:val="93"/>
                </w:rPr>
                <w:t>Merger Sub II, LLC, GeneDx, Inc., GeneDx Holding 2, Inc. and</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r>
      <w:tr>
        <w:trPr>
          <w:trHeight w:val="185"/>
        </w:trPr>
        <w:tc>
          <w:tcPr>
            <w:tcW w:w="9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4080" w:type="dxa"/>
            <w:vAlign w:val="bottom"/>
            <w:tcBorders>
              <w:top w:val="single" w:sz="8" w:color="0000FF"/>
              <w:right w:val="single" w:sz="8" w:color="CCEEFF"/>
            </w:tcBorders>
            <w:gridSpan w:val="17"/>
            <w:shd w:val="clear" w:color="auto" w:fill="CCEEFF"/>
          </w:tcPr>
          <w:p>
            <w:pPr>
              <w:spacing w:after="0" w:line="152" w:lineRule="exact"/>
              <w:rPr>
                <w:rFonts w:ascii="Arial" w:cs="Arial" w:eastAsia="Arial" w:hAnsi="Arial"/>
                <w:sz w:val="16"/>
                <w:szCs w:val="16"/>
                <w:color w:val="0000FF"/>
              </w:rPr>
            </w:pPr>
            <w:hyperlink r:id="rId195">
              <w:r>
                <w:rPr>
                  <w:rFonts w:ascii="Arial" w:cs="Arial" w:eastAsia="Arial" w:hAnsi="Arial"/>
                  <w:sz w:val="16"/>
                  <w:szCs w:val="16"/>
                  <w:color w:val="0000FF"/>
                </w:rPr>
                <w:t>OPKO Health, Inc.</w:t>
              </w:r>
            </w:hyperlink>
          </w:p>
        </w:tc>
        <w:tc>
          <w:tcPr>
            <w:tcW w:w="10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2"/>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72"/>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3.1</w:t>
            </w:r>
          </w:p>
        </w:tc>
        <w:tc>
          <w:tcPr>
            <w:tcW w:w="200" w:type="dxa"/>
            <w:vAlign w:val="bottom"/>
            <w:tcBorders>
              <w:right w:val="single" w:sz="8" w:color="CCEEFF"/>
            </w:tcBorders>
            <w:shd w:val="clear" w:color="auto" w:fill="CCEEFF"/>
          </w:tcPr>
          <w:p>
            <w:pPr>
              <w:spacing w:after="0"/>
              <w:rPr>
                <w:sz w:val="14"/>
                <w:szCs w:val="14"/>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196">
              <w:r>
                <w:rPr>
                  <w:rFonts w:ascii="Arial" w:cs="Arial" w:eastAsia="Arial" w:hAnsi="Arial"/>
                  <w:sz w:val="16"/>
                  <w:szCs w:val="16"/>
                  <w:color w:val="0000FF"/>
                </w:rPr>
                <w:t>Third Amended and Restated Certificate of Incorporation of</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3.1</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5"/>
        </w:trPr>
        <w:tc>
          <w:tcPr>
            <w:tcW w:w="9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3820" w:type="dxa"/>
            <w:vAlign w:val="bottom"/>
            <w:tcBorders>
              <w:top w:val="single" w:sz="8" w:color="0000FF"/>
            </w:tcBorders>
            <w:gridSpan w:val="15"/>
            <w:shd w:val="clear" w:color="auto" w:fill="CCEEFF"/>
          </w:tcPr>
          <w:p>
            <w:pPr>
              <w:spacing w:after="0" w:line="152" w:lineRule="exact"/>
              <w:rPr>
                <w:rFonts w:ascii="Arial" w:cs="Arial" w:eastAsia="Arial" w:hAnsi="Arial"/>
                <w:sz w:val="16"/>
                <w:szCs w:val="16"/>
                <w:color w:val="0000FF"/>
              </w:rPr>
            </w:pPr>
            <w:hyperlink r:id="rId196">
              <w:r>
                <w:rPr>
                  <w:rFonts w:ascii="Arial" w:cs="Arial" w:eastAsia="Arial" w:hAnsi="Arial"/>
                  <w:sz w:val="16"/>
                  <w:szCs w:val="16"/>
                  <w:color w:val="0000FF"/>
                </w:rPr>
                <w:t>Sema4 Holdings Corp.</w:t>
              </w:r>
            </w:hyperlink>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2"/>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3.2</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197">
              <w:r>
                <w:rPr>
                  <w:rFonts w:ascii="Arial" w:cs="Arial" w:eastAsia="Arial" w:hAnsi="Arial"/>
                  <w:sz w:val="16"/>
                  <w:szCs w:val="16"/>
                  <w:color w:val="0000FF"/>
                </w:rPr>
                <w:t>Restated Bylaws of Sema4 Holdings Corp.</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3.2</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4.1</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198">
              <w:r>
                <w:rPr>
                  <w:rFonts w:ascii="Arial" w:cs="Arial" w:eastAsia="Arial" w:hAnsi="Arial"/>
                  <w:sz w:val="16"/>
                  <w:szCs w:val="16"/>
                  <w:color w:val="0000FF"/>
                </w:rPr>
                <w:t>Specimen Class A Common Stock Certificate.</w:t>
              </w:r>
            </w:hyperlink>
          </w:p>
        </w:tc>
        <w:tc>
          <w:tcPr>
            <w:tcW w:w="1480" w:type="dxa"/>
            <w:vAlign w:val="bottom"/>
            <w:gridSpan w:val="2"/>
            <w:shd w:val="clear" w:color="auto" w:fill="CCEEFF"/>
          </w:tcPr>
          <w:p>
            <w:pPr>
              <w:jc w:val="center"/>
              <w:ind w:right="180"/>
              <w:spacing w:after="0" w:line="172" w:lineRule="exact"/>
              <w:rPr>
                <w:sz w:val="20"/>
                <w:szCs w:val="20"/>
                <w:color w:val="auto"/>
              </w:rPr>
            </w:pPr>
            <w:r>
              <w:rPr>
                <w:rFonts w:ascii="Arial" w:cs="Arial" w:eastAsia="Arial" w:hAnsi="Arial"/>
                <w:sz w:val="16"/>
                <w:szCs w:val="16"/>
                <w:color w:val="auto"/>
                <w:w w:val="94"/>
              </w:rPr>
              <w:t>S-1/A</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4.2</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08/24/2020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4.2</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199">
              <w:r>
                <w:rPr>
                  <w:rFonts w:ascii="Arial" w:cs="Arial" w:eastAsia="Arial" w:hAnsi="Arial"/>
                  <w:sz w:val="16"/>
                  <w:szCs w:val="16"/>
                  <w:color w:val="0000FF"/>
                </w:rPr>
                <w:t>Specimen Warrant Certificate.</w:t>
              </w:r>
            </w:hyperlink>
          </w:p>
        </w:tc>
        <w:tc>
          <w:tcPr>
            <w:tcW w:w="1480" w:type="dxa"/>
            <w:vAlign w:val="bottom"/>
            <w:gridSpan w:val="2"/>
            <w:shd w:val="clear" w:color="auto" w:fill="CCEEFF"/>
          </w:tcPr>
          <w:p>
            <w:pPr>
              <w:jc w:val="center"/>
              <w:ind w:right="180"/>
              <w:spacing w:after="0" w:line="172" w:lineRule="exact"/>
              <w:rPr>
                <w:sz w:val="20"/>
                <w:szCs w:val="20"/>
                <w:color w:val="auto"/>
              </w:rPr>
            </w:pPr>
            <w:r>
              <w:rPr>
                <w:rFonts w:ascii="Arial" w:cs="Arial" w:eastAsia="Arial" w:hAnsi="Arial"/>
                <w:sz w:val="16"/>
                <w:szCs w:val="16"/>
                <w:color w:val="auto"/>
                <w:w w:val="94"/>
              </w:rPr>
              <w:t>S-1/A</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4.3</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08/24/2020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72"/>
        </w:trPr>
        <w:tc>
          <w:tcPr>
            <w:tcW w:w="92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4.3</w:t>
            </w: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3760" w:type="dxa"/>
            <w:vAlign w:val="bottom"/>
            <w:tcBorders>
              <w:bottom w:val="single" w:sz="8" w:color="0000FF"/>
            </w:tcBorders>
            <w:gridSpan w:val="14"/>
            <w:shd w:val="clear" w:color="auto" w:fill="CCEEFF"/>
          </w:tcPr>
          <w:p>
            <w:pPr>
              <w:spacing w:after="0" w:line="172" w:lineRule="exact"/>
              <w:rPr>
                <w:rFonts w:ascii="Arial" w:cs="Arial" w:eastAsia="Arial" w:hAnsi="Arial"/>
                <w:sz w:val="16"/>
                <w:szCs w:val="16"/>
                <w:color w:val="0000FF"/>
                <w:w w:val="87"/>
              </w:rPr>
            </w:pPr>
            <w:hyperlink r:id="rId200">
              <w:r>
                <w:rPr>
                  <w:rFonts w:ascii="Arial" w:cs="Arial" w:eastAsia="Arial" w:hAnsi="Arial"/>
                  <w:sz w:val="16"/>
                  <w:szCs w:val="16"/>
                  <w:color w:val="0000FF"/>
                  <w:w w:val="87"/>
                </w:rPr>
                <w:t>Warrant Agreement, dated as of September 1, 2020, by and</w:t>
              </w:r>
            </w:hyperlink>
          </w:p>
        </w:tc>
        <w:tc>
          <w:tcPr>
            <w:tcW w:w="700" w:type="dxa"/>
            <w:vAlign w:val="bottom"/>
            <w:tcBorders>
              <w:bottom w:val="single" w:sz="8" w:color="CCEEFF"/>
            </w:tcBorders>
            <w:gridSpan w:val="10"/>
            <w:shd w:val="clear" w:color="auto" w:fill="CCEEFF"/>
          </w:tcPr>
          <w:p>
            <w:pPr>
              <w:spacing w:after="0"/>
              <w:rPr>
                <w:sz w:val="14"/>
                <w:szCs w:val="14"/>
                <w:color w:val="auto"/>
              </w:rPr>
            </w:pPr>
          </w:p>
        </w:tc>
        <w:tc>
          <w:tcPr>
            <w:tcW w:w="1480" w:type="dxa"/>
            <w:vAlign w:val="bottom"/>
            <w:tcBorders>
              <w:bottom w:val="single" w:sz="8" w:color="CCEEFF"/>
            </w:tcBorders>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10.1</w:t>
            </w:r>
          </w:p>
        </w:tc>
        <w:tc>
          <w:tcPr>
            <w:tcW w:w="16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ind w:left="300"/>
              <w:spacing w:after="0" w:line="172" w:lineRule="exact"/>
              <w:rPr>
                <w:sz w:val="20"/>
                <w:szCs w:val="20"/>
                <w:color w:val="auto"/>
              </w:rPr>
            </w:pPr>
            <w:r>
              <w:rPr>
                <w:rFonts w:ascii="Arial" w:cs="Arial" w:eastAsia="Arial" w:hAnsi="Arial"/>
                <w:sz w:val="16"/>
                <w:szCs w:val="16"/>
                <w:color w:val="auto"/>
              </w:rPr>
              <w:t>09/04/2020</w:t>
            </w: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r>
      <w:tr>
        <w:trPr>
          <w:trHeight w:val="152"/>
        </w:trPr>
        <w:tc>
          <w:tcPr>
            <w:tcW w:w="9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460" w:type="dxa"/>
            <w:vAlign w:val="bottom"/>
            <w:gridSpan w:val="24"/>
            <w:shd w:val="clear" w:color="auto" w:fill="CCEEFF"/>
          </w:tcPr>
          <w:p>
            <w:pPr>
              <w:spacing w:after="0" w:line="152" w:lineRule="exact"/>
              <w:rPr>
                <w:rFonts w:ascii="Arial" w:cs="Arial" w:eastAsia="Arial" w:hAnsi="Arial"/>
                <w:sz w:val="16"/>
                <w:szCs w:val="16"/>
                <w:color w:val="0000FF"/>
                <w:w w:val="95"/>
              </w:rPr>
            </w:pPr>
            <w:hyperlink r:id="rId200">
              <w:r>
                <w:rPr>
                  <w:rFonts w:ascii="Arial" w:cs="Arial" w:eastAsia="Arial" w:hAnsi="Arial"/>
                  <w:sz w:val="16"/>
                  <w:szCs w:val="16"/>
                  <w:color w:val="0000FF"/>
                  <w:w w:val="95"/>
                </w:rPr>
                <w:t>between CM Life Sciences, Inc. and Continental Stock Transfer &amp;</w:t>
              </w:r>
            </w:hyperlink>
          </w:p>
        </w:tc>
        <w:tc>
          <w:tcPr>
            <w:tcW w:w="1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85"/>
        </w:trPr>
        <w:tc>
          <w:tcPr>
            <w:tcW w:w="9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4220" w:type="dxa"/>
            <w:vAlign w:val="bottom"/>
            <w:tcBorders>
              <w:top w:val="single" w:sz="8" w:color="0000FF"/>
            </w:tcBorders>
            <w:gridSpan w:val="20"/>
            <w:shd w:val="clear" w:color="auto" w:fill="CCEEFF"/>
          </w:tcPr>
          <w:p>
            <w:pPr>
              <w:spacing w:after="0" w:line="152" w:lineRule="exact"/>
              <w:rPr>
                <w:rFonts w:ascii="Arial" w:cs="Arial" w:eastAsia="Arial" w:hAnsi="Arial"/>
                <w:sz w:val="16"/>
                <w:szCs w:val="16"/>
                <w:color w:val="0000FF"/>
              </w:rPr>
            </w:pPr>
            <w:hyperlink r:id="rId200">
              <w:r>
                <w:rPr>
                  <w:rFonts w:ascii="Arial" w:cs="Arial" w:eastAsia="Arial" w:hAnsi="Arial"/>
                  <w:sz w:val="16"/>
                  <w:szCs w:val="16"/>
                  <w:color w:val="0000FF"/>
                </w:rPr>
                <w:t>Trust Company, as warrant agent.</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2"/>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98"/>
              </w:rPr>
              <w:t>4.4*</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w:anchor="page186">
              <w:r>
                <w:rPr>
                  <w:rFonts w:ascii="Arial" w:cs="Arial" w:eastAsia="Arial" w:hAnsi="Arial"/>
                  <w:sz w:val="16"/>
                  <w:szCs w:val="16"/>
                  <w:color w:val="0000FF"/>
                </w:rPr>
                <w:t>Description of Securities</w:t>
              </w:r>
            </w:hyperlink>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X</w:t>
            </w: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72"/>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10.1</w:t>
            </w:r>
          </w:p>
        </w:tc>
        <w:tc>
          <w:tcPr>
            <w:tcW w:w="200" w:type="dxa"/>
            <w:vAlign w:val="bottom"/>
            <w:tcBorders>
              <w:right w:val="single" w:sz="8" w:color="CCEEFF"/>
            </w:tcBorders>
            <w:shd w:val="clear" w:color="auto" w:fill="CCEEFF"/>
          </w:tcPr>
          <w:p>
            <w:pPr>
              <w:spacing w:after="0"/>
              <w:rPr>
                <w:sz w:val="14"/>
                <w:szCs w:val="14"/>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w w:val="92"/>
              </w:rPr>
            </w:pPr>
            <w:hyperlink r:id="rId201">
              <w:r>
                <w:rPr>
                  <w:rFonts w:ascii="Arial" w:cs="Arial" w:eastAsia="Arial" w:hAnsi="Arial"/>
                  <w:sz w:val="16"/>
                  <w:szCs w:val="16"/>
                  <w:color w:val="0000FF"/>
                  <w:w w:val="92"/>
                </w:rPr>
                <w:t>Amended and Restated Registration Rights Agreement, dated as of</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10.2</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52"/>
        </w:trPr>
        <w:tc>
          <w:tcPr>
            <w:tcW w:w="9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4260" w:type="dxa"/>
            <w:vAlign w:val="bottom"/>
            <w:tcBorders>
              <w:top w:val="single" w:sz="8" w:color="0000FF"/>
            </w:tcBorders>
            <w:gridSpan w:val="22"/>
            <w:shd w:val="clear" w:color="auto" w:fill="CCEEFF"/>
          </w:tcPr>
          <w:p>
            <w:pPr>
              <w:spacing w:after="0" w:line="152" w:lineRule="exact"/>
              <w:rPr>
                <w:rFonts w:ascii="Arial" w:cs="Arial" w:eastAsia="Arial" w:hAnsi="Arial"/>
                <w:sz w:val="16"/>
                <w:szCs w:val="16"/>
                <w:color w:val="0000FF"/>
                <w:w w:val="90"/>
              </w:rPr>
            </w:pPr>
            <w:hyperlink r:id="rId201">
              <w:r>
                <w:rPr>
                  <w:rFonts w:ascii="Arial" w:cs="Arial" w:eastAsia="Arial" w:hAnsi="Arial"/>
                  <w:sz w:val="16"/>
                  <w:szCs w:val="16"/>
                  <w:color w:val="0000FF"/>
                  <w:w w:val="90"/>
                </w:rPr>
                <w:t>July 22, 2021, by and among the Company, certain equity holders</w:t>
              </w:r>
            </w:hyperlink>
          </w:p>
        </w:tc>
        <w:tc>
          <w:tcPr>
            <w:tcW w:w="200" w:type="dxa"/>
            <w:vAlign w:val="bottom"/>
            <w:tcBorders>
              <w:top w:val="single" w:sz="8" w:color="CCEEFF"/>
            </w:tcBorders>
            <w:gridSpan w:val="2"/>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r>
      <w:tr>
        <w:trPr>
          <w:trHeight w:val="152"/>
        </w:trPr>
        <w:tc>
          <w:tcPr>
            <w:tcW w:w="9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4180" w:type="dxa"/>
            <w:vAlign w:val="bottom"/>
            <w:tcBorders>
              <w:top w:val="single" w:sz="8" w:color="0000FF"/>
            </w:tcBorders>
            <w:gridSpan w:val="19"/>
            <w:shd w:val="clear" w:color="auto" w:fill="CCEEFF"/>
          </w:tcPr>
          <w:p>
            <w:pPr>
              <w:spacing w:after="0" w:line="152" w:lineRule="exact"/>
              <w:rPr>
                <w:rFonts w:ascii="Arial" w:cs="Arial" w:eastAsia="Arial" w:hAnsi="Arial"/>
                <w:sz w:val="16"/>
                <w:szCs w:val="16"/>
                <w:color w:val="0000FF"/>
                <w:w w:val="97"/>
              </w:rPr>
            </w:pPr>
            <w:hyperlink r:id="rId201">
              <w:r>
                <w:rPr>
                  <w:rFonts w:ascii="Arial" w:cs="Arial" w:eastAsia="Arial" w:hAnsi="Arial"/>
                  <w:sz w:val="16"/>
                  <w:szCs w:val="16"/>
                  <w:color w:val="0000FF"/>
                  <w:w w:val="97"/>
                </w:rPr>
                <w:t>of the Company named therein and certain equity holders of</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r>
      <w:tr>
        <w:trPr>
          <w:trHeight w:val="185"/>
        </w:trPr>
        <w:tc>
          <w:tcPr>
            <w:tcW w:w="9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3840" w:type="dxa"/>
            <w:vAlign w:val="bottom"/>
            <w:tcBorders>
              <w:top w:val="single" w:sz="8" w:color="0000FF"/>
            </w:tcBorders>
            <w:gridSpan w:val="16"/>
            <w:shd w:val="clear" w:color="auto" w:fill="CCEEFF"/>
          </w:tcPr>
          <w:p>
            <w:pPr>
              <w:spacing w:after="0" w:line="152" w:lineRule="exact"/>
              <w:rPr>
                <w:rFonts w:ascii="Arial" w:cs="Arial" w:eastAsia="Arial" w:hAnsi="Arial"/>
                <w:sz w:val="16"/>
                <w:szCs w:val="16"/>
                <w:color w:val="0000FF"/>
              </w:rPr>
            </w:pPr>
            <w:hyperlink r:id="rId201">
              <w:r>
                <w:rPr>
                  <w:rFonts w:ascii="Arial" w:cs="Arial" w:eastAsia="Arial" w:hAnsi="Arial"/>
                  <w:sz w:val="16"/>
                  <w:szCs w:val="16"/>
                  <w:color w:val="0000FF"/>
                </w:rPr>
                <w:t>Sema4 named therein.</w:t>
              </w:r>
            </w:hyperlink>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4"/>
            <w:shd w:val="clear" w:color="auto" w:fill="CCEEFF"/>
          </w:tcPr>
          <w:p>
            <w:pPr>
              <w:spacing w:after="0"/>
              <w:rPr>
                <w:sz w:val="16"/>
                <w:szCs w:val="16"/>
                <w:color w:val="auto"/>
              </w:rPr>
            </w:pPr>
          </w:p>
        </w:tc>
        <w:tc>
          <w:tcPr>
            <w:tcW w:w="220" w:type="dxa"/>
            <w:vAlign w:val="bottom"/>
            <w:tcBorders>
              <w:top w:val="single" w:sz="8" w:color="CCEEFF"/>
            </w:tcBorders>
            <w:gridSpan w:val="3"/>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10.2</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202">
              <w:r>
                <w:rPr>
                  <w:rFonts w:ascii="Arial" w:cs="Arial" w:eastAsia="Arial" w:hAnsi="Arial"/>
                  <w:sz w:val="16"/>
                  <w:szCs w:val="16"/>
                  <w:color w:val="0000FF"/>
                </w:rPr>
                <w:t>Form Director of and Officer Indemnification Agreement.</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10.4</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10.3</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203">
              <w:r>
                <w:rPr>
                  <w:rFonts w:ascii="Arial" w:cs="Arial" w:eastAsia="Arial" w:hAnsi="Arial"/>
                  <w:sz w:val="16"/>
                  <w:szCs w:val="16"/>
                  <w:color w:val="0000FF"/>
                </w:rPr>
                <w:t>2021 Equity Incentive Award Plan.</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10.5</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72"/>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10.4</w:t>
            </w:r>
          </w:p>
        </w:tc>
        <w:tc>
          <w:tcPr>
            <w:tcW w:w="200" w:type="dxa"/>
            <w:vAlign w:val="bottom"/>
            <w:tcBorders>
              <w:right w:val="single" w:sz="8" w:color="CCEEFF"/>
            </w:tcBorders>
            <w:shd w:val="clear" w:color="auto" w:fill="CCEEFF"/>
          </w:tcPr>
          <w:p>
            <w:pPr>
              <w:spacing w:after="0"/>
              <w:rPr>
                <w:sz w:val="14"/>
                <w:szCs w:val="14"/>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w w:val="95"/>
              </w:rPr>
            </w:pPr>
            <w:hyperlink r:id="rId204">
              <w:r>
                <w:rPr>
                  <w:rFonts w:ascii="Arial" w:cs="Arial" w:eastAsia="Arial" w:hAnsi="Arial"/>
                  <w:sz w:val="16"/>
                  <w:szCs w:val="16"/>
                  <w:color w:val="0000FF"/>
                  <w:w w:val="95"/>
                </w:rPr>
                <w:t>Form of Stock Option Agreement under the 2021 Incentive Award</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10.6</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5"/>
        </w:trPr>
        <w:tc>
          <w:tcPr>
            <w:tcW w:w="9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4220" w:type="dxa"/>
            <w:vAlign w:val="bottom"/>
            <w:tcBorders>
              <w:top w:val="single" w:sz="8" w:color="0000FF"/>
            </w:tcBorders>
            <w:gridSpan w:val="20"/>
            <w:shd w:val="clear" w:color="auto" w:fill="CCEEFF"/>
          </w:tcPr>
          <w:p>
            <w:pPr>
              <w:spacing w:after="0" w:line="152" w:lineRule="exact"/>
              <w:rPr>
                <w:rFonts w:ascii="Arial" w:cs="Arial" w:eastAsia="Arial" w:hAnsi="Arial"/>
                <w:sz w:val="16"/>
                <w:szCs w:val="16"/>
                <w:color w:val="0000FF"/>
              </w:rPr>
            </w:pPr>
            <w:hyperlink r:id="rId204">
              <w:r>
                <w:rPr>
                  <w:rFonts w:ascii="Arial" w:cs="Arial" w:eastAsia="Arial" w:hAnsi="Arial"/>
                  <w:sz w:val="16"/>
                  <w:szCs w:val="16"/>
                  <w:color w:val="0000FF"/>
                </w:rPr>
                <w:t>Plan.</w:t>
              </w:r>
            </w:hyperlink>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gridSpan w:val="3"/>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10.5</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w w:val="99"/>
              </w:rPr>
            </w:pPr>
            <w:hyperlink r:id="rId205">
              <w:r>
                <w:rPr>
                  <w:rFonts w:ascii="Arial" w:cs="Arial" w:eastAsia="Arial" w:hAnsi="Arial"/>
                  <w:sz w:val="16"/>
                  <w:szCs w:val="16"/>
                  <w:color w:val="0000FF"/>
                  <w:w w:val="99"/>
                </w:rPr>
                <w:t>Form of RSU Agreement under the 2021 Incentive Award Plan.</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10.7</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10.6</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206">
              <w:r>
                <w:rPr>
                  <w:rFonts w:ascii="Arial" w:cs="Arial" w:eastAsia="Arial" w:hAnsi="Arial"/>
                  <w:sz w:val="16"/>
                  <w:szCs w:val="16"/>
                  <w:color w:val="0000FF"/>
                </w:rPr>
                <w:t>Form of Earn-Out RSU Agreement.</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10.8</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10.7</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207">
              <w:r>
                <w:rPr>
                  <w:rFonts w:ascii="Arial" w:cs="Arial" w:eastAsia="Arial" w:hAnsi="Arial"/>
                  <w:sz w:val="16"/>
                  <w:szCs w:val="16"/>
                  <w:color w:val="0000FF"/>
                </w:rPr>
                <w:t>2021 Employee Stock Purchase Plan.</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10.9</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72"/>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10.8</w:t>
            </w:r>
          </w:p>
        </w:tc>
        <w:tc>
          <w:tcPr>
            <w:tcW w:w="200" w:type="dxa"/>
            <w:vAlign w:val="bottom"/>
            <w:tcBorders>
              <w:right w:val="single" w:sz="8" w:color="CCEEFF"/>
            </w:tcBorders>
            <w:shd w:val="clear" w:color="auto" w:fill="CCEEFF"/>
          </w:tcPr>
          <w:p>
            <w:pPr>
              <w:spacing w:after="0"/>
              <w:rPr>
                <w:sz w:val="14"/>
                <w:szCs w:val="14"/>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w w:val="94"/>
              </w:rPr>
            </w:pPr>
            <w:hyperlink r:id="rId208">
              <w:r>
                <w:rPr>
                  <w:rFonts w:ascii="Arial" w:cs="Arial" w:eastAsia="Arial" w:hAnsi="Arial"/>
                  <w:sz w:val="16"/>
                  <w:szCs w:val="16"/>
                  <w:color w:val="0000FF"/>
                  <w:w w:val="94"/>
                </w:rPr>
                <w:t>Amended and Restated Employment of Agreement of Eric Schadt.</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10.10</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17"/>
        </w:trPr>
        <w:tc>
          <w:tcPr>
            <w:tcW w:w="1120" w:type="dxa"/>
            <w:vAlign w:val="bottom"/>
            <w:shd w:val="clear" w:color="auto" w:fill="CCEEFF"/>
          </w:tcPr>
          <w:p>
            <w:pPr>
              <w:jc w:val="center"/>
              <w:ind w:right="121"/>
              <w:spacing w:after="0"/>
              <w:rPr>
                <w:sz w:val="20"/>
                <w:szCs w:val="20"/>
                <w:color w:val="auto"/>
              </w:rPr>
            </w:pPr>
            <w:r>
              <w:rPr>
                <w:rFonts w:ascii="Arial" w:cs="Arial" w:eastAsia="Arial" w:hAnsi="Arial"/>
                <w:sz w:val="16"/>
                <w:szCs w:val="16"/>
                <w:color w:val="auto"/>
                <w:w w:val="89"/>
              </w:rPr>
              <w:t>10.9</w:t>
            </w:r>
          </w:p>
        </w:tc>
        <w:tc>
          <w:tcPr>
            <w:tcW w:w="4340" w:type="dxa"/>
            <w:vAlign w:val="bottom"/>
            <w:gridSpan w:val="31"/>
            <w:shd w:val="clear" w:color="auto" w:fill="CCEEFF"/>
          </w:tcPr>
          <w:p>
            <w:pPr>
              <w:spacing w:after="0"/>
              <w:rPr>
                <w:rFonts w:ascii="Arial" w:cs="Arial" w:eastAsia="Arial" w:hAnsi="Arial"/>
                <w:sz w:val="16"/>
                <w:szCs w:val="16"/>
                <w:color w:val="0000FF"/>
              </w:rPr>
            </w:pPr>
            <w:hyperlink r:id="rId210">
              <w:r>
                <w:rPr>
                  <w:rFonts w:ascii="Arial" w:cs="Arial" w:eastAsia="Arial" w:hAnsi="Arial"/>
                  <w:sz w:val="16"/>
                  <w:szCs w:val="16"/>
                  <w:color w:val="0000FF"/>
                </w:rPr>
                <w:t>Employment Agreement of Isaac Ro.</w:t>
              </w:r>
            </w:hyperlink>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rPr>
                <w:sz w:val="20"/>
                <w:szCs w:val="20"/>
                <w:color w:val="auto"/>
              </w:rPr>
            </w:pPr>
            <w:r>
              <w:rPr>
                <w:rFonts w:ascii="Arial" w:cs="Arial" w:eastAsia="Arial" w:hAnsi="Arial"/>
                <w:sz w:val="16"/>
                <w:szCs w:val="16"/>
                <w:color w:val="auto"/>
                <w:w w:val="89"/>
              </w:rPr>
              <w:t>10.11</w:t>
            </w:r>
          </w:p>
        </w:tc>
        <w:tc>
          <w:tcPr>
            <w:tcW w:w="2880" w:type="dxa"/>
            <w:vAlign w:val="bottom"/>
            <w:shd w:val="clear" w:color="auto" w:fill="CCEEFF"/>
          </w:tcPr>
          <w:p>
            <w:pPr>
              <w:jc w:val="right"/>
              <w:ind w:right="1601"/>
              <w:spacing w:after="0"/>
              <w:rPr>
                <w:sz w:val="20"/>
                <w:szCs w:val="20"/>
                <w:color w:val="auto"/>
              </w:rPr>
            </w:pPr>
            <w:r>
              <w:rPr>
                <w:rFonts w:ascii="Arial" w:cs="Arial" w:eastAsia="Arial" w:hAnsi="Arial"/>
                <w:sz w:val="16"/>
                <w:szCs w:val="16"/>
                <w:color w:val="auto"/>
              </w:rPr>
              <w:t>07/28/2021</w:t>
            </w: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205"/>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10.10</w:t>
            </w:r>
          </w:p>
        </w:tc>
        <w:tc>
          <w:tcPr>
            <w:tcW w:w="4340" w:type="dxa"/>
            <w:vAlign w:val="bottom"/>
            <w:gridSpan w:val="31"/>
            <w:shd w:val="clear" w:color="auto" w:fill="CCEEFF"/>
          </w:tcPr>
          <w:p>
            <w:pPr>
              <w:spacing w:after="0" w:line="172" w:lineRule="exact"/>
              <w:rPr>
                <w:rFonts w:ascii="Arial" w:cs="Arial" w:eastAsia="Arial" w:hAnsi="Arial"/>
                <w:sz w:val="16"/>
                <w:szCs w:val="16"/>
                <w:color w:val="0000FF"/>
              </w:rPr>
            </w:pPr>
            <w:hyperlink r:id="rId211">
              <w:r>
                <w:rPr>
                  <w:rFonts w:ascii="Arial" w:cs="Arial" w:eastAsia="Arial" w:hAnsi="Arial"/>
                  <w:sz w:val="16"/>
                  <w:szCs w:val="16"/>
                  <w:color w:val="0000FF"/>
                </w:rPr>
                <w:t>Employment Agreement of James Coffin.</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10.13</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10.11</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5"/>
              </w:rPr>
            </w:pPr>
            <w:hyperlink r:id="rId212">
              <w:r>
                <w:rPr>
                  <w:rFonts w:ascii="Arial" w:cs="Arial" w:eastAsia="Arial" w:hAnsi="Arial"/>
                  <w:sz w:val="16"/>
                  <w:szCs w:val="16"/>
                  <w:color w:val="0000FF"/>
                  <w:w w:val="95"/>
                </w:rPr>
                <w:t>Sub-Sublease, dated as of June 6, 2017, by and between Icahn</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10.17</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20"/>
        </w:trPr>
        <w:tc>
          <w:tcPr>
            <w:tcW w:w="1120" w:type="dxa"/>
            <w:vAlign w:val="bottom"/>
            <w:shd w:val="clear" w:color="auto" w:fill="CCEE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4340" w:type="dxa"/>
            <w:vAlign w:val="bottom"/>
            <w:gridSpan w:val="31"/>
            <w:shd w:val="clear" w:color="auto" w:fill="CCEEFF"/>
          </w:tcPr>
          <w:p>
            <w:pPr>
              <w:spacing w:after="0" w:line="152" w:lineRule="exact"/>
              <w:rPr>
                <w:rFonts w:ascii="Arial" w:cs="Arial" w:eastAsia="Arial" w:hAnsi="Arial"/>
                <w:sz w:val="16"/>
                <w:szCs w:val="16"/>
                <w:color w:val="0000FF"/>
                <w:w w:val="91"/>
              </w:rPr>
            </w:pPr>
            <w:hyperlink r:id="rId212">
              <w:r>
                <w:rPr>
                  <w:rFonts w:ascii="Arial" w:cs="Arial" w:eastAsia="Arial" w:hAnsi="Arial"/>
                  <w:sz w:val="16"/>
                  <w:szCs w:val="16"/>
                  <w:color w:val="0000FF"/>
                  <w:w w:val="91"/>
                </w:rPr>
                <w:t>School of Medicine at Mount Sinai and the Company, as amended</w:t>
              </w:r>
            </w:hyperlink>
          </w:p>
        </w:tc>
        <w:tc>
          <w:tcPr>
            <w:tcW w:w="15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240" w:type="dxa"/>
            <w:vAlign w:val="bottom"/>
            <w:tcBorders>
              <w:top w:val="single" w:sz="8" w:color="0000FF"/>
            </w:tcBorders>
            <w:gridSpan w:val="26"/>
            <w:shd w:val="clear" w:color="auto" w:fill="CCEEFF"/>
          </w:tcPr>
          <w:p>
            <w:pPr>
              <w:spacing w:after="0" w:line="152" w:lineRule="exact"/>
              <w:rPr>
                <w:rFonts w:ascii="Arial" w:cs="Arial" w:eastAsia="Arial" w:hAnsi="Arial"/>
                <w:sz w:val="16"/>
                <w:szCs w:val="16"/>
                <w:color w:val="0000FF"/>
              </w:rPr>
            </w:pPr>
            <w:hyperlink r:id="rId212">
              <w:r>
                <w:rPr>
                  <w:rFonts w:ascii="Arial" w:cs="Arial" w:eastAsia="Arial" w:hAnsi="Arial"/>
                  <w:sz w:val="16"/>
                  <w:szCs w:val="16"/>
                  <w:color w:val="0000FF"/>
                </w:rPr>
                <w:t>July 31, 2019.</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10.12</w:t>
            </w:r>
          </w:p>
        </w:tc>
        <w:tc>
          <w:tcPr>
            <w:tcW w:w="4340" w:type="dxa"/>
            <w:vAlign w:val="bottom"/>
            <w:gridSpan w:val="31"/>
            <w:shd w:val="clear" w:color="auto" w:fill="CCEEFF"/>
          </w:tcPr>
          <w:p>
            <w:pPr>
              <w:spacing w:after="0" w:line="172" w:lineRule="exact"/>
              <w:rPr>
                <w:rFonts w:ascii="Arial" w:cs="Arial" w:eastAsia="Arial" w:hAnsi="Arial"/>
                <w:sz w:val="16"/>
                <w:szCs w:val="16"/>
                <w:color w:val="0000FF"/>
              </w:rPr>
            </w:pPr>
            <w:hyperlink r:id="rId213">
              <w:r>
                <w:rPr>
                  <w:rFonts w:ascii="Arial" w:cs="Arial" w:eastAsia="Arial" w:hAnsi="Arial"/>
                  <w:sz w:val="16"/>
                  <w:szCs w:val="16"/>
                  <w:color w:val="0000FF"/>
                </w:rPr>
                <w:t>Sublease Agreement, dated as of November 8, 2019, by and</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10.18</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0000FF"/>
            </w:tcBorders>
            <w:gridSpan w:val="17"/>
            <w:shd w:val="clear" w:color="auto" w:fill="CCEEFF"/>
          </w:tcPr>
          <w:p>
            <w:pPr>
              <w:spacing w:after="0" w:line="152" w:lineRule="exact"/>
              <w:rPr>
                <w:rFonts w:ascii="Arial" w:cs="Arial" w:eastAsia="Arial" w:hAnsi="Arial"/>
                <w:sz w:val="16"/>
                <w:szCs w:val="16"/>
                <w:color w:val="0000FF"/>
                <w:w w:val="99"/>
              </w:rPr>
            </w:pPr>
            <w:hyperlink r:id="rId213">
              <w:r>
                <w:rPr>
                  <w:rFonts w:ascii="Arial" w:cs="Arial" w:eastAsia="Arial" w:hAnsi="Arial"/>
                  <w:sz w:val="16"/>
                  <w:szCs w:val="16"/>
                  <w:color w:val="0000FF"/>
                  <w:w w:val="99"/>
                </w:rPr>
                <w:t>between Marriott International, Inc. and the Company.</w:t>
              </w:r>
            </w:hyperlink>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10.13</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1"/>
              </w:rPr>
            </w:pPr>
            <w:hyperlink r:id="rId214">
              <w:r>
                <w:rPr>
                  <w:rFonts w:ascii="Arial" w:cs="Arial" w:eastAsia="Arial" w:hAnsi="Arial"/>
                  <w:sz w:val="16"/>
                  <w:szCs w:val="16"/>
                  <w:color w:val="0000FF"/>
                  <w:w w:val="91"/>
                </w:rPr>
                <w:t>Sublease, dated as of June 1, 2017, by and between Icahn School</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10.19</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4140" w:type="dxa"/>
            <w:vAlign w:val="bottom"/>
            <w:tcBorders>
              <w:top w:val="single" w:sz="8" w:color="0000FF"/>
            </w:tcBorders>
            <w:gridSpan w:val="23"/>
            <w:shd w:val="clear" w:color="auto" w:fill="CCEEFF"/>
          </w:tcPr>
          <w:p>
            <w:pPr>
              <w:spacing w:after="0" w:line="152" w:lineRule="exact"/>
              <w:rPr>
                <w:rFonts w:ascii="Arial" w:cs="Arial" w:eastAsia="Arial" w:hAnsi="Arial"/>
                <w:sz w:val="16"/>
                <w:szCs w:val="16"/>
                <w:color w:val="0000FF"/>
                <w:w w:val="98"/>
              </w:rPr>
            </w:pPr>
            <w:hyperlink r:id="rId214">
              <w:r>
                <w:rPr>
                  <w:rFonts w:ascii="Arial" w:cs="Arial" w:eastAsia="Arial" w:hAnsi="Arial"/>
                  <w:sz w:val="16"/>
                  <w:szCs w:val="16"/>
                  <w:color w:val="0000FF"/>
                  <w:w w:val="98"/>
                </w:rPr>
                <w:t>of Medicine at Mount Sinai and the Company, as amended</w:t>
              </w:r>
            </w:hyperlink>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CCEEFF"/>
            </w:tcBorders>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0000FF"/>
            </w:tcBorders>
            <w:gridSpan w:val="15"/>
            <w:shd w:val="clear" w:color="auto" w:fill="CCEEFF"/>
          </w:tcPr>
          <w:p>
            <w:pPr>
              <w:spacing w:after="0" w:line="152" w:lineRule="exact"/>
              <w:rPr>
                <w:rFonts w:ascii="Arial" w:cs="Arial" w:eastAsia="Arial" w:hAnsi="Arial"/>
                <w:sz w:val="16"/>
                <w:szCs w:val="16"/>
                <w:color w:val="0000FF"/>
              </w:rPr>
            </w:pPr>
            <w:hyperlink r:id="rId214">
              <w:r>
                <w:rPr>
                  <w:rFonts w:ascii="Arial" w:cs="Arial" w:eastAsia="Arial" w:hAnsi="Arial"/>
                  <w:sz w:val="16"/>
                  <w:szCs w:val="16"/>
                  <w:color w:val="0000FF"/>
                </w:rPr>
                <w:t>December 22, 2017.</w:t>
              </w:r>
            </w:hyperlink>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10.14</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0"/>
              </w:rPr>
            </w:pPr>
            <w:hyperlink r:id="rId215">
              <w:r>
                <w:rPr>
                  <w:rFonts w:ascii="Arial" w:cs="Arial" w:eastAsia="Arial" w:hAnsi="Arial"/>
                  <w:sz w:val="16"/>
                  <w:szCs w:val="16"/>
                  <w:color w:val="0000FF"/>
                  <w:w w:val="90"/>
                </w:rPr>
                <w:t>Sublease, dated as of April 23, 2019, by and between Icahn School</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10.20</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300" w:type="dxa"/>
            <w:vAlign w:val="bottom"/>
            <w:tcBorders>
              <w:top w:val="single" w:sz="8" w:color="0000FF"/>
            </w:tcBorders>
            <w:gridSpan w:val="29"/>
            <w:shd w:val="clear" w:color="auto" w:fill="CCEEFF"/>
          </w:tcPr>
          <w:p>
            <w:pPr>
              <w:spacing w:after="0" w:line="152" w:lineRule="exact"/>
              <w:rPr>
                <w:rFonts w:ascii="Arial" w:cs="Arial" w:eastAsia="Arial" w:hAnsi="Arial"/>
                <w:sz w:val="16"/>
                <w:szCs w:val="16"/>
                <w:color w:val="0000FF"/>
              </w:rPr>
            </w:pPr>
            <w:hyperlink r:id="rId215">
              <w:r>
                <w:rPr>
                  <w:rFonts w:ascii="Arial" w:cs="Arial" w:eastAsia="Arial" w:hAnsi="Arial"/>
                  <w:sz w:val="16"/>
                  <w:szCs w:val="16"/>
                  <w:color w:val="0000FF"/>
                </w:rPr>
                <w:t>of Medicine at Mount Sinai and the Company.</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10.15</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0"/>
              </w:rPr>
            </w:pPr>
            <w:hyperlink r:id="rId216">
              <w:r>
                <w:rPr>
                  <w:rFonts w:ascii="Arial" w:cs="Arial" w:eastAsia="Arial" w:hAnsi="Arial"/>
                  <w:sz w:val="16"/>
                  <w:szCs w:val="16"/>
                  <w:color w:val="0000FF"/>
                  <w:w w:val="90"/>
                </w:rPr>
                <w:t>Lease Agreement, dated as of January 31, 2020, by and between 1</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10.21</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220" w:type="dxa"/>
            <w:vAlign w:val="bottom"/>
            <w:tcBorders>
              <w:top w:val="single" w:sz="8" w:color="0000FF"/>
            </w:tcBorders>
            <w:gridSpan w:val="25"/>
            <w:shd w:val="clear" w:color="auto" w:fill="CCEEFF"/>
          </w:tcPr>
          <w:p>
            <w:pPr>
              <w:spacing w:after="0" w:line="152" w:lineRule="exact"/>
              <w:rPr>
                <w:rFonts w:ascii="Arial" w:cs="Arial" w:eastAsia="Arial" w:hAnsi="Arial"/>
                <w:sz w:val="16"/>
                <w:szCs w:val="16"/>
                <w:color w:val="0000FF"/>
              </w:rPr>
            </w:pPr>
            <w:hyperlink r:id="rId216">
              <w:r>
                <w:rPr>
                  <w:rFonts w:ascii="Arial" w:cs="Arial" w:eastAsia="Arial" w:hAnsi="Arial"/>
                  <w:sz w:val="16"/>
                  <w:szCs w:val="16"/>
                  <w:color w:val="0000FF"/>
                </w:rPr>
                <w:t>Commercial Street Associates, LLC and the Company.</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93"/>
        </w:trPr>
        <w:tc>
          <w:tcPr>
            <w:tcW w:w="1120" w:type="dxa"/>
            <w:vAlign w:val="bottom"/>
            <w:tcBorders>
              <w:top w:val="single" w:sz="8" w:color="CCEEFF"/>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1520" w:type="dxa"/>
            <w:vAlign w:val="bottom"/>
            <w:tcBorders>
              <w:top w:val="single" w:sz="8" w:color="CCEEFF"/>
            </w:tcBorders>
          </w:tcPr>
          <w:p>
            <w:pPr>
              <w:spacing w:after="0"/>
              <w:rPr>
                <w:sz w:val="8"/>
                <w:szCs w:val="8"/>
                <w:color w:val="auto"/>
              </w:rPr>
            </w:pPr>
          </w:p>
        </w:tc>
        <w:tc>
          <w:tcPr>
            <w:tcW w:w="1380" w:type="dxa"/>
            <w:vAlign w:val="bottom"/>
            <w:tcBorders>
              <w:top w:val="single" w:sz="8" w:color="CCEEFF"/>
            </w:tcBorders>
          </w:tcPr>
          <w:p>
            <w:pPr>
              <w:spacing w:after="0"/>
              <w:rPr>
                <w:sz w:val="8"/>
                <w:szCs w:val="8"/>
                <w:color w:val="auto"/>
              </w:rPr>
            </w:pPr>
          </w:p>
        </w:tc>
        <w:tc>
          <w:tcPr>
            <w:tcW w:w="2880" w:type="dxa"/>
            <w:vAlign w:val="bottom"/>
            <w:tcBorders>
              <w:top w:val="single" w:sz="8" w:color="CCEEFF"/>
            </w:tcBorders>
          </w:tcPr>
          <w:p>
            <w:pPr>
              <w:spacing w:after="0"/>
              <w:rPr>
                <w:sz w:val="8"/>
                <w:szCs w:val="8"/>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10.16#</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8"/>
              </w:rPr>
            </w:pPr>
            <w:hyperlink r:id="rId217">
              <w:r>
                <w:rPr>
                  <w:rFonts w:ascii="Arial" w:cs="Arial" w:eastAsia="Arial" w:hAnsi="Arial"/>
                  <w:sz w:val="16"/>
                  <w:szCs w:val="16"/>
                  <w:color w:val="0000FF"/>
                  <w:w w:val="98"/>
                </w:rPr>
                <w:t>Master Services Agreement, dated as of April 2, 2018, by and</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10.22</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20"/>
        </w:trPr>
        <w:tc>
          <w:tcPr>
            <w:tcW w:w="1120" w:type="dxa"/>
            <w:vAlign w:val="bottom"/>
            <w:shd w:val="clear" w:color="auto" w:fill="CCEE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CCEEFF"/>
            </w:tcBorders>
            <w:gridSpan w:val="2"/>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4340" w:type="dxa"/>
            <w:vAlign w:val="bottom"/>
            <w:gridSpan w:val="31"/>
            <w:shd w:val="clear" w:color="auto" w:fill="CCEEFF"/>
          </w:tcPr>
          <w:p>
            <w:pPr>
              <w:spacing w:after="0" w:line="152" w:lineRule="exact"/>
              <w:rPr>
                <w:rFonts w:ascii="Arial" w:cs="Arial" w:eastAsia="Arial" w:hAnsi="Arial"/>
                <w:sz w:val="16"/>
                <w:szCs w:val="16"/>
                <w:color w:val="0000FF"/>
                <w:w w:val="96"/>
              </w:rPr>
            </w:pPr>
            <w:hyperlink r:id="rId217">
              <w:r>
                <w:rPr>
                  <w:rFonts w:ascii="Arial" w:cs="Arial" w:eastAsia="Arial" w:hAnsi="Arial"/>
                  <w:sz w:val="16"/>
                  <w:szCs w:val="16"/>
                  <w:color w:val="0000FF"/>
                  <w:w w:val="96"/>
                </w:rPr>
                <w:t>among the Company, Icahn School of Medicine at Mount Sinai,</w:t>
              </w:r>
            </w:hyperlink>
          </w:p>
        </w:tc>
        <w:tc>
          <w:tcPr>
            <w:tcW w:w="15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4060" w:type="dxa"/>
            <w:vAlign w:val="bottom"/>
            <w:tcBorders>
              <w:top w:val="single" w:sz="8" w:color="0000FF"/>
            </w:tcBorders>
            <w:gridSpan w:val="19"/>
            <w:shd w:val="clear" w:color="auto" w:fill="CCEEFF"/>
          </w:tcPr>
          <w:p>
            <w:pPr>
              <w:spacing w:after="0" w:line="152" w:lineRule="exact"/>
              <w:rPr>
                <w:rFonts w:ascii="Arial" w:cs="Arial" w:eastAsia="Arial" w:hAnsi="Arial"/>
                <w:sz w:val="16"/>
                <w:szCs w:val="16"/>
                <w:color w:val="0000FF"/>
                <w:w w:val="90"/>
              </w:rPr>
            </w:pPr>
            <w:hyperlink r:id="rId217">
              <w:r>
                <w:rPr>
                  <w:rFonts w:ascii="Arial" w:cs="Arial" w:eastAsia="Arial" w:hAnsi="Arial"/>
                  <w:sz w:val="16"/>
                  <w:szCs w:val="16"/>
                  <w:color w:val="0000FF"/>
                  <w:w w:val="90"/>
                </w:rPr>
                <w:t>The Mount Sinai Hospital, and the parties thereto, as amended</w:t>
              </w:r>
            </w:hyperlink>
          </w:p>
        </w:tc>
        <w:tc>
          <w:tcPr>
            <w:tcW w:w="280" w:type="dxa"/>
            <w:vAlign w:val="bottom"/>
            <w:tcBorders>
              <w:top w:val="single" w:sz="8" w:color="CCEEFF"/>
            </w:tcBorders>
            <w:gridSpan w:val="12"/>
            <w:shd w:val="clear" w:color="auto" w:fill="CCEEFF"/>
          </w:tcPr>
          <w:p>
            <w:pPr>
              <w:spacing w:after="0" w:line="152" w:lineRule="exact"/>
              <w:rPr>
                <w:rFonts w:ascii="Arial" w:cs="Arial" w:eastAsia="Arial" w:hAnsi="Arial"/>
                <w:sz w:val="16"/>
                <w:szCs w:val="16"/>
                <w:color w:val="0000FF"/>
                <w:w w:val="91"/>
              </w:rPr>
            </w:pPr>
            <w:hyperlink r:id="rId217">
              <w:r>
                <w:rPr>
                  <w:rFonts w:ascii="Arial" w:cs="Arial" w:eastAsia="Arial" w:hAnsi="Arial"/>
                  <w:sz w:val="16"/>
                  <w:szCs w:val="16"/>
                  <w:color w:val="0000FF"/>
                  <w:w w:val="91"/>
                </w:rPr>
                <w:t>July</w:t>
              </w:r>
            </w:hyperlink>
          </w:p>
        </w:tc>
        <w:tc>
          <w:tcPr>
            <w:tcW w:w="15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CCEEFF"/>
            </w:tcBorders>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0000FF"/>
            </w:tcBorders>
            <w:gridSpan w:val="2"/>
            <w:shd w:val="clear" w:color="auto" w:fill="CCEEFF"/>
          </w:tcPr>
          <w:p>
            <w:pPr>
              <w:spacing w:after="0" w:line="152" w:lineRule="exact"/>
              <w:rPr>
                <w:rFonts w:ascii="Arial" w:cs="Arial" w:eastAsia="Arial" w:hAnsi="Arial"/>
                <w:sz w:val="16"/>
                <w:szCs w:val="16"/>
                <w:color w:val="0000FF"/>
              </w:rPr>
            </w:pPr>
            <w:hyperlink r:id="rId217">
              <w:r>
                <w:rPr>
                  <w:rFonts w:ascii="Arial" w:cs="Arial" w:eastAsia="Arial" w:hAnsi="Arial"/>
                  <w:sz w:val="16"/>
                  <w:szCs w:val="16"/>
                  <w:color w:val="0000FF"/>
                </w:rPr>
                <w:t>31, 2019.</w:t>
              </w:r>
            </w:hyperlink>
          </w:p>
        </w:tc>
        <w:tc>
          <w:tcPr>
            <w:tcW w:w="8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58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38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right w:val="single" w:sz="8" w:color="CCEE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93"/>
        </w:trPr>
        <w:tc>
          <w:tcPr>
            <w:tcW w:w="1120" w:type="dxa"/>
            <w:vAlign w:val="bottom"/>
            <w:tcBorders>
              <w:top w:val="single" w:sz="8" w:color="CCEEFF"/>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3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58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38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1520" w:type="dxa"/>
            <w:vAlign w:val="bottom"/>
            <w:tcBorders>
              <w:top w:val="single" w:sz="8" w:color="CCEEFF"/>
            </w:tcBorders>
          </w:tcPr>
          <w:p>
            <w:pPr>
              <w:spacing w:after="0"/>
              <w:rPr>
                <w:sz w:val="8"/>
                <w:szCs w:val="8"/>
                <w:color w:val="auto"/>
              </w:rPr>
            </w:pPr>
          </w:p>
        </w:tc>
        <w:tc>
          <w:tcPr>
            <w:tcW w:w="1380" w:type="dxa"/>
            <w:vAlign w:val="bottom"/>
            <w:tcBorders>
              <w:top w:val="single" w:sz="8" w:color="CCEEFF"/>
            </w:tcBorders>
          </w:tcPr>
          <w:p>
            <w:pPr>
              <w:spacing w:after="0"/>
              <w:rPr>
                <w:sz w:val="8"/>
                <w:szCs w:val="8"/>
                <w:color w:val="auto"/>
              </w:rPr>
            </w:pPr>
          </w:p>
        </w:tc>
        <w:tc>
          <w:tcPr>
            <w:tcW w:w="2880" w:type="dxa"/>
            <w:vAlign w:val="bottom"/>
            <w:tcBorders>
              <w:top w:val="single" w:sz="8" w:color="CCEEFF"/>
            </w:tcBorders>
          </w:tcPr>
          <w:p>
            <w:pPr>
              <w:spacing w:after="0"/>
              <w:rPr>
                <w:sz w:val="8"/>
                <w:szCs w:val="8"/>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10.17#</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7"/>
              </w:rPr>
            </w:pPr>
            <w:hyperlink r:id="rId218">
              <w:r>
                <w:rPr>
                  <w:rFonts w:ascii="Arial" w:cs="Arial" w:eastAsia="Arial" w:hAnsi="Arial"/>
                  <w:sz w:val="16"/>
                  <w:szCs w:val="16"/>
                  <w:color w:val="0000FF"/>
                  <w:w w:val="97"/>
                </w:rPr>
                <w:t>Master Services Agreement, dated as of May 10, 2018, by and</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10.23</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152"/>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3980" w:type="dxa"/>
            <w:vAlign w:val="bottom"/>
            <w:tcBorders>
              <w:top w:val="single" w:sz="8" w:color="0000FF"/>
              <w:bottom w:val="single" w:sz="8" w:color="0000FF"/>
              <w:right w:val="single" w:sz="8" w:color="CCEEFF"/>
            </w:tcBorders>
            <w:gridSpan w:val="18"/>
            <w:shd w:val="clear" w:color="auto" w:fill="CCEEFF"/>
          </w:tcPr>
          <w:p>
            <w:pPr>
              <w:spacing w:after="0" w:line="152" w:lineRule="exact"/>
              <w:rPr>
                <w:rFonts w:ascii="Arial" w:cs="Arial" w:eastAsia="Arial" w:hAnsi="Arial"/>
                <w:sz w:val="16"/>
                <w:szCs w:val="16"/>
                <w:color w:val="0000FF"/>
                <w:w w:val="89"/>
              </w:rPr>
            </w:pPr>
            <w:hyperlink r:id="rId218">
              <w:r>
                <w:rPr>
                  <w:rFonts w:ascii="Arial" w:cs="Arial" w:eastAsia="Arial" w:hAnsi="Arial"/>
                  <w:sz w:val="16"/>
                  <w:szCs w:val="16"/>
                  <w:color w:val="0000FF"/>
                  <w:w w:val="89"/>
                </w:rPr>
                <w:t>between the Company and Icahn School of Medicine at Mount</w:t>
              </w:r>
            </w:hyperlink>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52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28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5"/>
        </w:trPr>
        <w:tc>
          <w:tcPr>
            <w:tcW w:w="1120" w:type="dxa"/>
            <w:vAlign w:val="bottom"/>
            <w:shd w:val="clear" w:color="auto" w:fill="CCEEFF"/>
          </w:tcPr>
          <w:p>
            <w:pPr>
              <w:spacing w:after="0"/>
              <w:rPr>
                <w:sz w:val="16"/>
                <w:szCs w:val="16"/>
                <w:color w:val="auto"/>
              </w:rPr>
            </w:pPr>
          </w:p>
        </w:tc>
        <w:tc>
          <w:tcPr>
            <w:tcW w:w="3980" w:type="dxa"/>
            <w:vAlign w:val="bottom"/>
            <w:tcBorders>
              <w:right w:val="single" w:sz="8" w:color="CCEEFF"/>
            </w:tcBorders>
            <w:gridSpan w:val="18"/>
            <w:shd w:val="clear" w:color="auto" w:fill="CCEEFF"/>
          </w:tcPr>
          <w:p>
            <w:pPr>
              <w:spacing w:after="0" w:line="152" w:lineRule="exact"/>
              <w:rPr>
                <w:rFonts w:ascii="Arial" w:cs="Arial" w:eastAsia="Arial" w:hAnsi="Arial"/>
                <w:sz w:val="16"/>
                <w:szCs w:val="16"/>
                <w:color w:val="0000FF"/>
              </w:rPr>
            </w:pPr>
            <w:hyperlink r:id="rId218">
              <w:r>
                <w:rPr>
                  <w:rFonts w:ascii="Arial" w:cs="Arial" w:eastAsia="Arial" w:hAnsi="Arial"/>
                  <w:sz w:val="16"/>
                  <w:szCs w:val="16"/>
                  <w:color w:val="0000FF"/>
                </w:rPr>
                <w:t>Sinai, as amended July 31, 2019.</w:t>
              </w:r>
            </w:hyperlink>
          </w:p>
        </w:tc>
        <w:tc>
          <w:tcPr>
            <w:tcW w:w="100" w:type="dxa"/>
            <w:vAlign w:val="bottom"/>
            <w:gridSpan w:val="2"/>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gridSpan w:val="2"/>
            <w:shd w:val="clear" w:color="auto" w:fill="CCEEFF"/>
          </w:tcPr>
          <w:p>
            <w:pPr>
              <w:spacing w:after="0"/>
              <w:rPr>
                <w:sz w:val="16"/>
                <w:szCs w:val="16"/>
                <w:color w:val="auto"/>
              </w:rPr>
            </w:pPr>
          </w:p>
        </w:tc>
        <w:tc>
          <w:tcPr>
            <w:tcW w:w="60" w:type="dxa"/>
            <w:vAlign w:val="bottom"/>
            <w:gridSpan w:val="3"/>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10.18#</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5"/>
              </w:rPr>
            </w:pPr>
            <w:hyperlink r:id="rId219">
              <w:r>
                <w:rPr>
                  <w:rFonts w:ascii="Arial" w:cs="Arial" w:eastAsia="Arial" w:hAnsi="Arial"/>
                  <w:sz w:val="16"/>
                  <w:szCs w:val="16"/>
                  <w:color w:val="0000FF"/>
                  <w:w w:val="95"/>
                </w:rPr>
                <w:t>Data Structuring and Curation Agreement, dated as of August 1,</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10.24</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4100" w:type="dxa"/>
            <w:vAlign w:val="bottom"/>
            <w:tcBorders>
              <w:top w:val="single" w:sz="8" w:color="0000FF"/>
            </w:tcBorders>
            <w:gridSpan w:val="21"/>
            <w:shd w:val="clear" w:color="auto" w:fill="CCEEFF"/>
          </w:tcPr>
          <w:p>
            <w:pPr>
              <w:spacing w:after="0" w:line="152" w:lineRule="exact"/>
              <w:rPr>
                <w:rFonts w:ascii="Arial" w:cs="Arial" w:eastAsia="Arial" w:hAnsi="Arial"/>
                <w:sz w:val="16"/>
                <w:szCs w:val="16"/>
                <w:color w:val="0000FF"/>
                <w:w w:val="91"/>
              </w:rPr>
            </w:pPr>
            <w:hyperlink r:id="rId219">
              <w:r>
                <w:rPr>
                  <w:rFonts w:ascii="Arial" w:cs="Arial" w:eastAsia="Arial" w:hAnsi="Arial"/>
                  <w:sz w:val="16"/>
                  <w:szCs w:val="16"/>
                  <w:color w:val="0000FF"/>
                  <w:w w:val="91"/>
                </w:rPr>
                <w:t>2019, by and between Icahn School of Medicine at Mount Sinai</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CCEEFF"/>
            </w:tcBorders>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080" w:type="dxa"/>
            <w:vAlign w:val="bottom"/>
            <w:tcBorders>
              <w:top w:val="single" w:sz="8" w:color="0000FF"/>
            </w:tcBorders>
            <w:gridSpan w:val="20"/>
            <w:shd w:val="clear" w:color="auto" w:fill="CCEEFF"/>
          </w:tcPr>
          <w:p>
            <w:pPr>
              <w:spacing w:after="0" w:line="152" w:lineRule="exact"/>
              <w:rPr>
                <w:rFonts w:ascii="Arial" w:cs="Arial" w:eastAsia="Arial" w:hAnsi="Arial"/>
                <w:sz w:val="16"/>
                <w:szCs w:val="16"/>
                <w:color w:val="0000FF"/>
              </w:rPr>
            </w:pPr>
            <w:hyperlink r:id="rId219">
              <w:r>
                <w:rPr>
                  <w:rFonts w:ascii="Arial" w:cs="Arial" w:eastAsia="Arial" w:hAnsi="Arial"/>
                  <w:sz w:val="16"/>
                  <w:szCs w:val="16"/>
                  <w:color w:val="0000FF"/>
                </w:rPr>
                <w:t>and the Company, as amended March 11, 2020.</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10.19#</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1"/>
              </w:rPr>
            </w:pPr>
            <w:hyperlink r:id="rId220">
              <w:r>
                <w:rPr>
                  <w:rFonts w:ascii="Arial" w:cs="Arial" w:eastAsia="Arial" w:hAnsi="Arial"/>
                  <w:sz w:val="16"/>
                  <w:szCs w:val="16"/>
                  <w:color w:val="0000FF"/>
                  <w:w w:val="91"/>
                </w:rPr>
                <w:t>BioMe Biospecimen and Data Access Agreement, dated as of July</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10.25</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4260" w:type="dxa"/>
            <w:vAlign w:val="bottom"/>
            <w:tcBorders>
              <w:top w:val="single" w:sz="8" w:color="0000FF"/>
            </w:tcBorders>
            <w:gridSpan w:val="27"/>
            <w:shd w:val="clear" w:color="auto" w:fill="CCEEFF"/>
          </w:tcPr>
          <w:p>
            <w:pPr>
              <w:spacing w:after="0" w:line="152" w:lineRule="exact"/>
              <w:rPr>
                <w:rFonts w:ascii="Arial" w:cs="Arial" w:eastAsia="Arial" w:hAnsi="Arial"/>
                <w:sz w:val="16"/>
                <w:szCs w:val="16"/>
                <w:color w:val="0000FF"/>
                <w:w w:val="97"/>
              </w:rPr>
            </w:pPr>
            <w:hyperlink r:id="rId220">
              <w:r>
                <w:rPr>
                  <w:rFonts w:ascii="Arial" w:cs="Arial" w:eastAsia="Arial" w:hAnsi="Arial"/>
                  <w:sz w:val="16"/>
                  <w:szCs w:val="16"/>
                  <w:color w:val="0000FF"/>
                  <w:w w:val="97"/>
                </w:rPr>
                <w:t>19, 2019, by and between Icahn School of Medicine at Mount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CCEEFF"/>
            </w:tcBorders>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0000FF"/>
              <w:right w:val="single" w:sz="8" w:color="CCEEFF"/>
            </w:tcBorders>
            <w:gridSpan w:val="18"/>
            <w:shd w:val="clear" w:color="auto" w:fill="CCEEFF"/>
          </w:tcPr>
          <w:p>
            <w:pPr>
              <w:spacing w:after="0" w:line="152" w:lineRule="exact"/>
              <w:rPr>
                <w:rFonts w:ascii="Arial" w:cs="Arial" w:eastAsia="Arial" w:hAnsi="Arial"/>
                <w:sz w:val="16"/>
                <w:szCs w:val="16"/>
                <w:color w:val="0000FF"/>
              </w:rPr>
            </w:pPr>
            <w:hyperlink r:id="rId220">
              <w:r>
                <w:rPr>
                  <w:rFonts w:ascii="Arial" w:cs="Arial" w:eastAsia="Arial" w:hAnsi="Arial"/>
                  <w:sz w:val="16"/>
                  <w:szCs w:val="16"/>
                  <w:color w:val="0000FF"/>
                </w:rPr>
                <w:t>Sinai and the Company.</w:t>
              </w:r>
            </w:hyperlink>
          </w:p>
        </w:tc>
        <w:tc>
          <w:tcPr>
            <w:tcW w:w="140" w:type="dxa"/>
            <w:vAlign w:val="bottom"/>
            <w:tcBorders>
              <w:top w:val="single" w:sz="8" w:color="CCEEFF"/>
            </w:tcBorders>
            <w:gridSpan w:val="4"/>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10.20#</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8"/>
              </w:rPr>
            </w:pPr>
            <w:hyperlink r:id="rId221">
              <w:r>
                <w:rPr>
                  <w:rFonts w:ascii="Arial" w:cs="Arial" w:eastAsia="Arial" w:hAnsi="Arial"/>
                  <w:sz w:val="16"/>
                  <w:szCs w:val="16"/>
                  <w:color w:val="0000FF"/>
                  <w:w w:val="98"/>
                </w:rPr>
                <w:t>Non-Exclusive Patent License Agreement, dated as of June 1,</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10.26</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20"/>
        </w:trPr>
        <w:tc>
          <w:tcPr>
            <w:tcW w:w="1120" w:type="dxa"/>
            <w:vAlign w:val="bottom"/>
            <w:shd w:val="clear" w:color="auto" w:fill="CCEE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420" w:type="dxa"/>
            <w:vAlign w:val="bottom"/>
            <w:gridSpan w:val="8"/>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CCEEFF"/>
            </w:tcBorders>
            <w:gridSpan w:val="2"/>
            <w:shd w:val="clear" w:color="auto" w:fill="0000FF"/>
          </w:tcPr>
          <w:p>
            <w:pPr>
              <w:spacing w:after="0" w:line="20" w:lineRule="exact"/>
              <w:rPr>
                <w:sz w:val="1"/>
                <w:szCs w:val="1"/>
                <w:color w:val="auto"/>
              </w:rPr>
            </w:pPr>
          </w:p>
        </w:tc>
        <w:tc>
          <w:tcPr>
            <w:tcW w:w="140" w:type="dxa"/>
            <w:vAlign w:val="bottom"/>
            <w:gridSpan w:val="4"/>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4340" w:type="dxa"/>
            <w:vAlign w:val="bottom"/>
            <w:gridSpan w:val="31"/>
            <w:shd w:val="clear" w:color="auto" w:fill="CCEEFF"/>
          </w:tcPr>
          <w:p>
            <w:pPr>
              <w:spacing w:after="0" w:line="152" w:lineRule="exact"/>
              <w:rPr>
                <w:rFonts w:ascii="Arial" w:cs="Arial" w:eastAsia="Arial" w:hAnsi="Arial"/>
                <w:sz w:val="16"/>
                <w:szCs w:val="16"/>
                <w:color w:val="0000FF"/>
                <w:w w:val="91"/>
              </w:rPr>
            </w:pPr>
            <w:hyperlink r:id="rId221">
              <w:r>
                <w:rPr>
                  <w:rFonts w:ascii="Arial" w:cs="Arial" w:eastAsia="Arial" w:hAnsi="Arial"/>
                  <w:sz w:val="16"/>
                  <w:szCs w:val="16"/>
                  <w:color w:val="0000FF"/>
                  <w:w w:val="91"/>
                </w:rPr>
                <w:t>2017, by and between the Company and Icahn School of Medicine</w:t>
              </w:r>
            </w:hyperlink>
          </w:p>
        </w:tc>
        <w:tc>
          <w:tcPr>
            <w:tcW w:w="15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280" w:type="dxa"/>
            <w:vAlign w:val="bottom"/>
            <w:tcBorders>
              <w:top w:val="single" w:sz="8" w:color="0000FF"/>
            </w:tcBorders>
            <w:gridSpan w:val="28"/>
            <w:shd w:val="clear" w:color="auto" w:fill="CCEEFF"/>
          </w:tcPr>
          <w:p>
            <w:pPr>
              <w:spacing w:after="0" w:line="152" w:lineRule="exact"/>
              <w:rPr>
                <w:rFonts w:ascii="Arial" w:cs="Arial" w:eastAsia="Arial" w:hAnsi="Arial"/>
                <w:sz w:val="16"/>
                <w:szCs w:val="16"/>
                <w:color w:val="0000FF"/>
              </w:rPr>
            </w:pPr>
            <w:hyperlink r:id="rId221">
              <w:r>
                <w:rPr>
                  <w:rFonts w:ascii="Arial" w:cs="Arial" w:eastAsia="Arial" w:hAnsi="Arial"/>
                  <w:sz w:val="16"/>
                  <w:szCs w:val="16"/>
                  <w:color w:val="0000FF"/>
                </w:rPr>
                <w:t>at Mount Sinai.</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10.21#</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1"/>
              </w:rPr>
            </w:pPr>
            <w:hyperlink r:id="rId222">
              <w:r>
                <w:rPr>
                  <w:rFonts w:ascii="Arial" w:cs="Arial" w:eastAsia="Arial" w:hAnsi="Arial"/>
                  <w:sz w:val="16"/>
                  <w:szCs w:val="16"/>
                  <w:color w:val="0000FF"/>
                  <w:w w:val="91"/>
                </w:rPr>
                <w:t>Supply Agreement, dated as of June 20, 2014, by and between the</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10.27</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200" w:type="dxa"/>
            <w:vAlign w:val="bottom"/>
            <w:tcBorders>
              <w:top w:val="single" w:sz="8" w:color="0000FF"/>
            </w:tcBorders>
            <w:gridSpan w:val="24"/>
            <w:shd w:val="clear" w:color="auto" w:fill="CCEEFF"/>
          </w:tcPr>
          <w:p>
            <w:pPr>
              <w:spacing w:after="0" w:line="152" w:lineRule="exact"/>
              <w:rPr>
                <w:rFonts w:ascii="Arial" w:cs="Arial" w:eastAsia="Arial" w:hAnsi="Arial"/>
                <w:sz w:val="16"/>
                <w:szCs w:val="16"/>
                <w:color w:val="0000FF"/>
              </w:rPr>
            </w:pPr>
            <w:hyperlink r:id="rId222">
              <w:r>
                <w:rPr>
                  <w:rFonts w:ascii="Arial" w:cs="Arial" w:eastAsia="Arial" w:hAnsi="Arial"/>
                  <w:sz w:val="16"/>
                  <w:szCs w:val="16"/>
                  <w:color w:val="0000FF"/>
                </w:rPr>
                <w:t>Company and Illumina, Inc., and amendments thereto.</w:t>
              </w:r>
            </w:hyperlink>
          </w:p>
        </w:tc>
        <w:tc>
          <w:tcPr>
            <w:tcW w:w="100" w:type="dxa"/>
            <w:vAlign w:val="bottom"/>
            <w:tcBorders>
              <w:top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10.22</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5"/>
              </w:rPr>
            </w:pPr>
            <w:hyperlink r:id="rId223">
              <w:r>
                <w:rPr>
                  <w:rFonts w:ascii="Arial" w:cs="Arial" w:eastAsia="Arial" w:hAnsi="Arial"/>
                  <w:sz w:val="16"/>
                  <w:szCs w:val="16"/>
                  <w:color w:val="0000FF"/>
                  <w:w w:val="95"/>
                </w:rPr>
                <w:t>Mount  Sinai  Genomics,  Inc.  2017  Equity  Incentive  Plan,  as</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8"/>
              </w:rPr>
              <w:t>S-8</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99.6</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09/27/2021</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320" w:type="dxa"/>
            <w:vAlign w:val="bottom"/>
            <w:tcBorders>
              <w:top w:val="single" w:sz="8" w:color="0000FF"/>
            </w:tcBorders>
            <w:gridSpan w:val="30"/>
            <w:shd w:val="clear" w:color="auto" w:fill="CCEEFF"/>
          </w:tcPr>
          <w:p>
            <w:pPr>
              <w:spacing w:after="0" w:line="152" w:lineRule="exact"/>
              <w:rPr>
                <w:rFonts w:ascii="Arial" w:cs="Arial" w:eastAsia="Arial" w:hAnsi="Arial"/>
                <w:sz w:val="16"/>
                <w:szCs w:val="16"/>
                <w:color w:val="0000FF"/>
              </w:rPr>
            </w:pPr>
            <w:hyperlink r:id="rId223">
              <w:r>
                <w:rPr>
                  <w:rFonts w:ascii="Arial" w:cs="Arial" w:eastAsia="Arial" w:hAnsi="Arial"/>
                  <w:sz w:val="16"/>
                  <w:szCs w:val="16"/>
                  <w:color w:val="0000FF"/>
                </w:rPr>
                <w:t>amended, and forms of equity agreements thereunder.</w:t>
              </w:r>
            </w:hyperlink>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tcBorders>
              <w:bottom w:val="single" w:sz="8" w:color="CCEEFF"/>
            </w:tcBorders>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10.23</w:t>
            </w:r>
          </w:p>
        </w:tc>
        <w:tc>
          <w:tcPr>
            <w:tcW w:w="4340" w:type="dxa"/>
            <w:vAlign w:val="bottom"/>
            <w:tcBorders>
              <w:bottom w:val="single" w:sz="8" w:color="0000FF"/>
            </w:tcBorders>
            <w:gridSpan w:val="31"/>
            <w:shd w:val="clear" w:color="auto" w:fill="CCEEFF"/>
          </w:tcPr>
          <w:p>
            <w:pPr>
              <w:spacing w:after="0" w:line="172" w:lineRule="exact"/>
              <w:rPr>
                <w:rFonts w:ascii="Arial" w:cs="Arial" w:eastAsia="Arial" w:hAnsi="Arial"/>
                <w:sz w:val="16"/>
                <w:szCs w:val="16"/>
                <w:color w:val="0000FF"/>
                <w:w w:val="96"/>
              </w:rPr>
            </w:pPr>
            <w:hyperlink r:id="rId224">
              <w:r>
                <w:rPr>
                  <w:rFonts w:ascii="Arial" w:cs="Arial" w:eastAsia="Arial" w:hAnsi="Arial"/>
                  <w:sz w:val="16"/>
                  <w:szCs w:val="16"/>
                  <w:color w:val="0000FF"/>
                  <w:w w:val="96"/>
                </w:rPr>
                <w:t>Loan and Security Agreement, dated as of November 15, 2021,</w:t>
              </w:r>
            </w:hyperlink>
          </w:p>
        </w:tc>
        <w:tc>
          <w:tcPr>
            <w:tcW w:w="152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95"/>
              </w:rPr>
              <w:t>10-Q</w:t>
            </w:r>
          </w:p>
        </w:tc>
        <w:tc>
          <w:tcPr>
            <w:tcW w:w="1380" w:type="dxa"/>
            <w:vAlign w:val="bottom"/>
            <w:tcBorders>
              <w:bottom w:val="single" w:sz="8" w:color="CCEEFF"/>
            </w:tcBorders>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10.26</w:t>
            </w:r>
          </w:p>
        </w:tc>
        <w:tc>
          <w:tcPr>
            <w:tcW w:w="2880" w:type="dxa"/>
            <w:vAlign w:val="bottom"/>
            <w:tcBorders>
              <w:bottom w:val="single" w:sz="8" w:color="CCEEFF"/>
            </w:tcBorders>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11/15/2021</w:t>
            </w:r>
          </w:p>
        </w:tc>
      </w:tr>
      <w:tr>
        <w:trPr>
          <w:trHeight w:val="185"/>
        </w:trPr>
        <w:tc>
          <w:tcPr>
            <w:tcW w:w="1120" w:type="dxa"/>
            <w:vAlign w:val="bottom"/>
            <w:shd w:val="clear" w:color="auto" w:fill="CCEEFF"/>
          </w:tcPr>
          <w:p>
            <w:pPr>
              <w:spacing w:after="0"/>
              <w:rPr>
                <w:sz w:val="16"/>
                <w:szCs w:val="16"/>
                <w:color w:val="auto"/>
              </w:rPr>
            </w:pPr>
          </w:p>
        </w:tc>
        <w:tc>
          <w:tcPr>
            <w:tcW w:w="4340" w:type="dxa"/>
            <w:vAlign w:val="bottom"/>
            <w:gridSpan w:val="31"/>
            <w:shd w:val="clear" w:color="auto" w:fill="CCEEFF"/>
          </w:tcPr>
          <w:p>
            <w:pPr>
              <w:spacing w:after="0" w:line="152" w:lineRule="exact"/>
              <w:rPr>
                <w:rFonts w:ascii="Arial" w:cs="Arial" w:eastAsia="Arial" w:hAnsi="Arial"/>
                <w:sz w:val="16"/>
                <w:szCs w:val="16"/>
                <w:color w:val="0000FF"/>
                <w:w w:val="91"/>
              </w:rPr>
            </w:pPr>
            <w:hyperlink r:id="rId224">
              <w:r>
                <w:rPr>
                  <w:rFonts w:ascii="Arial" w:cs="Arial" w:eastAsia="Arial" w:hAnsi="Arial"/>
                  <w:sz w:val="16"/>
                  <w:szCs w:val="16"/>
                  <w:color w:val="0000FF"/>
                  <w:w w:val="91"/>
                </w:rPr>
                <w:t>between Silicon Valley Bank, the Company and Sema4 OpCo, Inc.</w:t>
              </w:r>
            </w:hyperlink>
          </w:p>
        </w:tc>
        <w:tc>
          <w:tcPr>
            <w:tcW w:w="15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10.24</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4"/>
              </w:rPr>
            </w:pPr>
            <w:hyperlink r:id="rId225">
              <w:r>
                <w:rPr>
                  <w:rFonts w:ascii="Arial" w:cs="Arial" w:eastAsia="Arial" w:hAnsi="Arial"/>
                  <w:sz w:val="16"/>
                  <w:szCs w:val="16"/>
                  <w:color w:val="0000FF"/>
                  <w:w w:val="94"/>
                </w:rPr>
                <w:t>Lockup Agreement, dated as of February 9, 2021, by and among</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02/11/2021</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120" w:type="dxa"/>
            <w:vAlign w:val="bottom"/>
            <w:tcBorders>
              <w:top w:val="single" w:sz="8" w:color="0000FF"/>
            </w:tcBorders>
            <w:gridSpan w:val="22"/>
            <w:shd w:val="clear" w:color="auto" w:fill="CCEEFF"/>
          </w:tcPr>
          <w:p>
            <w:pPr>
              <w:spacing w:after="0" w:line="152" w:lineRule="exact"/>
              <w:rPr>
                <w:rFonts w:ascii="Arial" w:cs="Arial" w:eastAsia="Arial" w:hAnsi="Arial"/>
                <w:sz w:val="16"/>
                <w:szCs w:val="16"/>
                <w:color w:val="0000FF"/>
                <w:w w:val="98"/>
              </w:rPr>
            </w:pPr>
            <w:hyperlink r:id="rId225">
              <w:r>
                <w:rPr>
                  <w:rFonts w:ascii="Arial" w:cs="Arial" w:eastAsia="Arial" w:hAnsi="Arial"/>
                  <w:sz w:val="16"/>
                  <w:szCs w:val="16"/>
                  <w:color w:val="0000FF"/>
                  <w:w w:val="98"/>
                </w:rPr>
                <w:t>the Company and the stockholder parties identified therein.</w:t>
              </w:r>
            </w:hyperlink>
          </w:p>
        </w:tc>
        <w:tc>
          <w:tcPr>
            <w:tcW w:w="220" w:type="dxa"/>
            <w:vAlign w:val="bottom"/>
            <w:tcBorders>
              <w:top w:val="single" w:sz="8" w:color="CCEEFF"/>
            </w:tcBorders>
            <w:gridSpan w:val="9"/>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10.25</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7"/>
              </w:rPr>
            </w:pPr>
            <w:hyperlink r:id="rId226">
              <w:r>
                <w:rPr>
                  <w:rFonts w:ascii="Arial" w:cs="Arial" w:eastAsia="Arial" w:hAnsi="Arial"/>
                  <w:sz w:val="16"/>
                  <w:szCs w:val="16"/>
                  <w:color w:val="0000FF"/>
                  <w:w w:val="97"/>
                </w:rPr>
                <w:t>Subscription Agreement, dated as of February 9, 2021, by and</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10.1</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02/11/2021</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3980" w:type="dxa"/>
            <w:vAlign w:val="bottom"/>
            <w:tcBorders>
              <w:top w:val="single" w:sz="8" w:color="0000FF"/>
              <w:right w:val="single" w:sz="8" w:color="CCEEFF"/>
            </w:tcBorders>
            <w:gridSpan w:val="18"/>
            <w:shd w:val="clear" w:color="auto" w:fill="CCEEFF"/>
          </w:tcPr>
          <w:p>
            <w:pPr>
              <w:spacing w:after="0" w:line="152" w:lineRule="exact"/>
              <w:rPr>
                <w:rFonts w:ascii="Arial" w:cs="Arial" w:eastAsia="Arial" w:hAnsi="Arial"/>
                <w:sz w:val="16"/>
                <w:szCs w:val="16"/>
                <w:color w:val="0000FF"/>
                <w:w w:val="99"/>
              </w:rPr>
            </w:pPr>
            <w:hyperlink r:id="rId226">
              <w:r>
                <w:rPr>
                  <w:rFonts w:ascii="Arial" w:cs="Arial" w:eastAsia="Arial" w:hAnsi="Arial"/>
                  <w:sz w:val="16"/>
                  <w:szCs w:val="16"/>
                  <w:color w:val="0000FF"/>
                  <w:w w:val="99"/>
                </w:rPr>
                <w:t>among the Company and the subscriber parties thereto.</w:t>
              </w:r>
            </w:hyperlink>
          </w:p>
        </w:tc>
        <w:tc>
          <w:tcPr>
            <w:tcW w:w="360" w:type="dxa"/>
            <w:vAlign w:val="bottom"/>
            <w:tcBorders>
              <w:top w:val="single" w:sz="8" w:color="CCEEFF"/>
            </w:tcBorders>
            <w:gridSpan w:val="13"/>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CCEEFF"/>
            </w:tcBorders>
            <w:shd w:val="clear" w:color="auto" w:fill="CCEEFF"/>
          </w:tcPr>
          <w:p>
            <w:pPr>
              <w:spacing w:after="0"/>
              <w:rPr>
                <w:sz w:val="13"/>
                <w:szCs w:val="13"/>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184"/>
        </w:trPr>
        <w:tc>
          <w:tcPr>
            <w:tcW w:w="112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84"/>
              </w:rPr>
              <w:t>10.26</w:t>
            </w:r>
          </w:p>
        </w:tc>
        <w:tc>
          <w:tcPr>
            <w:tcW w:w="4640" w:type="dxa"/>
            <w:vAlign w:val="bottom"/>
            <w:gridSpan w:val="22"/>
            <w:shd w:val="clear" w:color="auto" w:fill="CCEEFF"/>
          </w:tcPr>
          <w:p>
            <w:pPr>
              <w:spacing w:after="0"/>
              <w:rPr>
                <w:rFonts w:ascii="Arial" w:cs="Arial" w:eastAsia="Arial" w:hAnsi="Arial"/>
                <w:sz w:val="16"/>
                <w:szCs w:val="16"/>
                <w:color w:val="0000FF"/>
                <w:w w:val="98"/>
              </w:rPr>
            </w:pPr>
            <w:hyperlink r:id="rId226">
              <w:r>
                <w:rPr>
                  <w:rFonts w:ascii="Arial" w:cs="Arial" w:eastAsia="Arial" w:hAnsi="Arial"/>
                  <w:sz w:val="16"/>
                  <w:szCs w:val="16"/>
                  <w:color w:val="0000FF"/>
                  <w:w w:val="98"/>
                </w:rPr>
                <w:t>Form of Subscription Agreement, dated as of January 14, 2022 by</w:t>
              </w:r>
            </w:hyperlink>
          </w:p>
        </w:tc>
        <w:tc>
          <w:tcPr>
            <w:tcW w:w="1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8-K</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0000FF"/>
                <w:w w:val="83"/>
              </w:rPr>
              <w:t>10.</w:t>
            </w:r>
            <w:r>
              <w:rPr>
                <w:rFonts w:ascii="Arial" w:cs="Arial" w:eastAsia="Arial" w:hAnsi="Arial"/>
                <w:sz w:val="16"/>
                <w:szCs w:val="16"/>
                <w:u w:val="single" w:color="auto"/>
                <w:color w:val="0000FF"/>
                <w:w w:val="83"/>
              </w:rPr>
              <w:t>1</w:t>
            </w:r>
          </w:p>
        </w:tc>
        <w:tc>
          <w:tcPr>
            <w:tcW w:w="3380" w:type="dxa"/>
            <w:vAlign w:val="bottom"/>
            <w:shd w:val="clear" w:color="auto" w:fill="CCEEFF"/>
          </w:tcPr>
          <w:p>
            <w:pPr>
              <w:ind w:left="980"/>
              <w:spacing w:after="0"/>
              <w:rPr>
                <w:sz w:val="20"/>
                <w:szCs w:val="20"/>
                <w:color w:val="auto"/>
              </w:rPr>
            </w:pPr>
            <w:r>
              <w:rPr>
                <w:rFonts w:ascii="Arial" w:cs="Arial" w:eastAsia="Arial" w:hAnsi="Arial"/>
                <w:sz w:val="16"/>
                <w:szCs w:val="16"/>
                <w:color w:val="auto"/>
              </w:rPr>
              <w:t>01/18/2022</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240" w:type="dxa"/>
            <w:vAlign w:val="bottom"/>
            <w:tcBorders>
              <w:top w:val="single" w:sz="8" w:color="0000FF"/>
            </w:tcBorders>
            <w:gridSpan w:val="17"/>
            <w:shd w:val="clear" w:color="auto" w:fill="CCEEFF"/>
          </w:tcPr>
          <w:p>
            <w:pPr>
              <w:spacing w:after="0" w:line="152" w:lineRule="exact"/>
              <w:rPr>
                <w:rFonts w:ascii="Arial" w:cs="Arial" w:eastAsia="Arial" w:hAnsi="Arial"/>
                <w:sz w:val="16"/>
                <w:szCs w:val="16"/>
                <w:color w:val="0000FF"/>
                <w:w w:val="92"/>
              </w:rPr>
            </w:pPr>
            <w:hyperlink r:id="rId226">
              <w:r>
                <w:rPr>
                  <w:rFonts w:ascii="Arial" w:cs="Arial" w:eastAsia="Arial" w:hAnsi="Arial"/>
                  <w:sz w:val="16"/>
                  <w:szCs w:val="16"/>
                  <w:color w:val="0000FF"/>
                  <w:w w:val="92"/>
                </w:rPr>
                <w:t>and among the Company and and the subscriber parties thereto.</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33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3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84"/>
              </w:rPr>
              <w:t>10.27</w:t>
            </w:r>
          </w:p>
        </w:tc>
        <w:tc>
          <w:tcPr>
            <w:tcW w:w="4640" w:type="dxa"/>
            <w:vAlign w:val="bottom"/>
            <w:gridSpan w:val="22"/>
            <w:shd w:val="clear" w:color="auto" w:fill="CCEEFF"/>
          </w:tcPr>
          <w:p>
            <w:pPr>
              <w:spacing w:after="0" w:line="172" w:lineRule="exact"/>
              <w:rPr>
                <w:rFonts w:ascii="Arial" w:cs="Arial" w:eastAsia="Arial" w:hAnsi="Arial"/>
                <w:sz w:val="16"/>
                <w:szCs w:val="16"/>
                <w:color w:val="0000FF"/>
                <w:w w:val="98"/>
              </w:rPr>
            </w:pPr>
            <w:hyperlink r:id="rId228">
              <w:r>
                <w:rPr>
                  <w:rFonts w:ascii="Arial" w:cs="Arial" w:eastAsia="Arial" w:hAnsi="Arial"/>
                  <w:sz w:val="16"/>
                  <w:szCs w:val="16"/>
                  <w:color w:val="0000FF"/>
                  <w:w w:val="98"/>
                </w:rPr>
                <w:t>Form of Shareholder Agreement, dated as of January 14, 2022, by</w:t>
              </w:r>
            </w:hyperlink>
          </w:p>
        </w:tc>
        <w:tc>
          <w:tcPr>
            <w:tcW w:w="1820" w:type="dxa"/>
            <w:vAlign w:val="bottom"/>
            <w:shd w:val="clear" w:color="auto" w:fill="CCEEFF"/>
          </w:tcPr>
          <w:p>
            <w:pPr>
              <w:ind w:left="360"/>
              <w:spacing w:after="0" w:line="172" w:lineRule="exact"/>
              <w:rPr>
                <w:sz w:val="20"/>
                <w:szCs w:val="20"/>
                <w:color w:val="auto"/>
              </w:rPr>
            </w:pPr>
            <w:r>
              <w:rPr>
                <w:rFonts w:ascii="Arial" w:cs="Arial" w:eastAsia="Arial" w:hAnsi="Arial"/>
                <w:sz w:val="16"/>
                <w:szCs w:val="16"/>
                <w:color w:val="auto"/>
              </w:rPr>
              <w:t>8-K</w:t>
            </w:r>
          </w:p>
        </w:tc>
        <w:tc>
          <w:tcPr>
            <w:tcW w:w="28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0000FF"/>
                <w:w w:val="83"/>
              </w:rPr>
              <w:t>10.</w:t>
            </w:r>
            <w:r>
              <w:rPr>
                <w:rFonts w:ascii="Arial" w:cs="Arial" w:eastAsia="Arial" w:hAnsi="Arial"/>
                <w:sz w:val="16"/>
                <w:szCs w:val="16"/>
                <w:u w:val="single" w:color="auto"/>
                <w:color w:val="0000FF"/>
                <w:w w:val="83"/>
              </w:rPr>
              <w:t>2</w:t>
            </w:r>
          </w:p>
        </w:tc>
        <w:tc>
          <w:tcPr>
            <w:tcW w:w="3380" w:type="dxa"/>
            <w:vAlign w:val="bottom"/>
            <w:shd w:val="clear" w:color="auto" w:fill="CCEEFF"/>
          </w:tcPr>
          <w:p>
            <w:pPr>
              <w:ind w:left="980"/>
              <w:spacing w:after="0" w:line="172" w:lineRule="exact"/>
              <w:rPr>
                <w:sz w:val="20"/>
                <w:szCs w:val="20"/>
                <w:color w:val="auto"/>
              </w:rPr>
            </w:pPr>
            <w:r>
              <w:rPr>
                <w:rFonts w:ascii="Arial" w:cs="Arial" w:eastAsia="Arial" w:hAnsi="Arial"/>
                <w:sz w:val="16"/>
                <w:szCs w:val="16"/>
                <w:color w:val="auto"/>
              </w:rPr>
              <w:t>01/18/2022</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4260" w:type="dxa"/>
            <w:vAlign w:val="bottom"/>
            <w:tcBorders>
              <w:top w:val="single" w:sz="8" w:color="0000FF"/>
            </w:tcBorders>
            <w:gridSpan w:val="18"/>
            <w:shd w:val="clear" w:color="auto" w:fill="CCEEFF"/>
          </w:tcPr>
          <w:p>
            <w:pPr>
              <w:spacing w:after="0" w:line="152" w:lineRule="exact"/>
              <w:rPr>
                <w:rFonts w:ascii="Arial" w:cs="Arial" w:eastAsia="Arial" w:hAnsi="Arial"/>
                <w:sz w:val="16"/>
                <w:szCs w:val="16"/>
                <w:color w:val="0000FF"/>
                <w:w w:val="95"/>
              </w:rPr>
            </w:pPr>
            <w:hyperlink r:id="rId228">
              <w:r>
                <w:rPr>
                  <w:rFonts w:ascii="Arial" w:cs="Arial" w:eastAsia="Arial" w:hAnsi="Arial"/>
                  <w:sz w:val="16"/>
                  <w:szCs w:val="16"/>
                  <w:color w:val="0000FF"/>
                  <w:w w:val="95"/>
                </w:rPr>
                <w:t>and among the.Company and the stockholder parties identified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3380" w:type="dxa"/>
            <w:vAlign w:val="bottom"/>
            <w:tcBorders>
              <w:top w:val="single" w:sz="8" w:color="CCEEFF"/>
            </w:tcBorders>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000" w:type="dxa"/>
            <w:vAlign w:val="bottom"/>
            <w:tcBorders>
              <w:top w:val="single" w:sz="8" w:color="0000FF"/>
            </w:tcBorders>
            <w:gridSpan w:val="10"/>
            <w:shd w:val="clear" w:color="auto" w:fill="CCEEFF"/>
          </w:tcPr>
          <w:p>
            <w:pPr>
              <w:spacing w:after="0" w:line="152" w:lineRule="exact"/>
              <w:rPr>
                <w:rFonts w:ascii="Arial" w:cs="Arial" w:eastAsia="Arial" w:hAnsi="Arial"/>
                <w:sz w:val="16"/>
                <w:szCs w:val="16"/>
                <w:color w:val="0000FF"/>
              </w:rPr>
            </w:pPr>
            <w:hyperlink r:id="rId228">
              <w:r>
                <w:rPr>
                  <w:rFonts w:ascii="Arial" w:cs="Arial" w:eastAsia="Arial" w:hAnsi="Arial"/>
                  <w:sz w:val="16"/>
                  <w:szCs w:val="16"/>
                  <w:color w:val="0000FF"/>
                </w:rPr>
                <w:t>therein.</w:t>
              </w:r>
            </w:hyperlink>
          </w:p>
        </w:tc>
        <w:tc>
          <w:tcPr>
            <w:tcW w:w="1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3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84"/>
              </w:rPr>
              <w:t>10.28</w:t>
            </w:r>
          </w:p>
        </w:tc>
        <w:tc>
          <w:tcPr>
            <w:tcW w:w="4640" w:type="dxa"/>
            <w:vAlign w:val="bottom"/>
            <w:gridSpan w:val="22"/>
            <w:shd w:val="clear" w:color="auto" w:fill="CCEEFF"/>
          </w:tcPr>
          <w:p>
            <w:pPr>
              <w:spacing w:after="0" w:line="172" w:lineRule="exact"/>
              <w:rPr>
                <w:rFonts w:ascii="Arial" w:cs="Arial" w:eastAsia="Arial" w:hAnsi="Arial"/>
                <w:sz w:val="16"/>
                <w:szCs w:val="16"/>
                <w:color w:val="0000FF"/>
                <w:w w:val="99"/>
              </w:rPr>
            </w:pPr>
            <w:hyperlink r:id="rId229">
              <w:r>
                <w:rPr>
                  <w:rFonts w:ascii="Arial" w:cs="Arial" w:eastAsia="Arial" w:hAnsi="Arial"/>
                  <w:sz w:val="16"/>
                  <w:szCs w:val="16"/>
                  <w:color w:val="0000FF"/>
                  <w:w w:val="99"/>
                </w:rPr>
                <w:t>Form of Support Agreement dated as of January 14, 2022 by and</w:t>
              </w:r>
            </w:hyperlink>
          </w:p>
        </w:tc>
        <w:tc>
          <w:tcPr>
            <w:tcW w:w="1820" w:type="dxa"/>
            <w:vAlign w:val="bottom"/>
            <w:shd w:val="clear" w:color="auto" w:fill="CCEEFF"/>
          </w:tcPr>
          <w:p>
            <w:pPr>
              <w:ind w:left="360"/>
              <w:spacing w:after="0" w:line="172" w:lineRule="exact"/>
              <w:rPr>
                <w:sz w:val="20"/>
                <w:szCs w:val="20"/>
                <w:color w:val="auto"/>
              </w:rPr>
            </w:pPr>
            <w:r>
              <w:rPr>
                <w:rFonts w:ascii="Arial" w:cs="Arial" w:eastAsia="Arial" w:hAnsi="Arial"/>
                <w:sz w:val="16"/>
                <w:szCs w:val="16"/>
                <w:color w:val="auto"/>
              </w:rPr>
              <w:t>8-K</w:t>
            </w:r>
          </w:p>
        </w:tc>
        <w:tc>
          <w:tcPr>
            <w:tcW w:w="28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0000FF"/>
                <w:w w:val="83"/>
              </w:rPr>
              <w:t>10.</w:t>
            </w:r>
            <w:r>
              <w:rPr>
                <w:rFonts w:ascii="Arial" w:cs="Arial" w:eastAsia="Arial" w:hAnsi="Arial"/>
                <w:sz w:val="16"/>
                <w:szCs w:val="16"/>
                <w:u w:val="single" w:color="auto"/>
                <w:color w:val="0000FF"/>
                <w:w w:val="83"/>
              </w:rPr>
              <w:t>3</w:t>
            </w:r>
          </w:p>
        </w:tc>
        <w:tc>
          <w:tcPr>
            <w:tcW w:w="3380" w:type="dxa"/>
            <w:vAlign w:val="bottom"/>
            <w:shd w:val="clear" w:color="auto" w:fill="CCEEFF"/>
          </w:tcPr>
          <w:p>
            <w:pPr>
              <w:ind w:left="980"/>
              <w:spacing w:after="0" w:line="172" w:lineRule="exact"/>
              <w:rPr>
                <w:sz w:val="20"/>
                <w:szCs w:val="20"/>
                <w:color w:val="auto"/>
              </w:rPr>
            </w:pPr>
            <w:r>
              <w:rPr>
                <w:rFonts w:ascii="Arial" w:cs="Arial" w:eastAsia="Arial" w:hAnsi="Arial"/>
                <w:sz w:val="16"/>
                <w:szCs w:val="16"/>
                <w:color w:val="auto"/>
              </w:rPr>
              <w:t>01/18/2022</w:t>
            </w:r>
          </w:p>
        </w:tc>
      </w:tr>
      <w:tr>
        <w:trPr>
          <w:trHeight w:val="190"/>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4140" w:type="dxa"/>
            <w:vAlign w:val="bottom"/>
            <w:tcBorders>
              <w:top w:val="single" w:sz="8" w:color="0000FF"/>
              <w:bottom w:val="single" w:sz="8" w:color="0000FF"/>
            </w:tcBorders>
            <w:gridSpan w:val="12"/>
            <w:shd w:val="clear" w:color="auto" w:fill="CCEEFF"/>
          </w:tcPr>
          <w:p>
            <w:pPr>
              <w:spacing w:after="0" w:line="152" w:lineRule="exact"/>
              <w:rPr>
                <w:rFonts w:ascii="Arial" w:cs="Arial" w:eastAsia="Arial" w:hAnsi="Arial"/>
                <w:sz w:val="16"/>
                <w:szCs w:val="16"/>
                <w:color w:val="0000FF"/>
                <w:w w:val="87"/>
              </w:rPr>
            </w:pPr>
            <w:hyperlink r:id="rId229">
              <w:r>
                <w:rPr>
                  <w:rFonts w:ascii="Arial" w:cs="Arial" w:eastAsia="Arial" w:hAnsi="Arial"/>
                  <w:sz w:val="16"/>
                  <w:szCs w:val="16"/>
                  <w:color w:val="0000FF"/>
                  <w:w w:val="87"/>
                </w:rPr>
                <w:t>among the Company and the stockholder parties identified therein.</w:t>
              </w:r>
            </w:hyperlink>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60" w:type="dxa"/>
            <w:vAlign w:val="bottom"/>
            <w:tcBorders>
              <w:top w:val="single" w:sz="8" w:color="CCEEFF"/>
              <w:bottom w:val="single" w:sz="8" w:color="0000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8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33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3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84"/>
              </w:rPr>
              <w:t>10.29</w:t>
            </w:r>
          </w:p>
        </w:tc>
        <w:tc>
          <w:tcPr>
            <w:tcW w:w="4640" w:type="dxa"/>
            <w:vAlign w:val="bottom"/>
            <w:gridSpan w:val="22"/>
            <w:shd w:val="clear" w:color="auto" w:fill="CCEEFF"/>
          </w:tcPr>
          <w:p>
            <w:pPr>
              <w:spacing w:after="0" w:line="172" w:lineRule="exact"/>
              <w:rPr>
                <w:rFonts w:ascii="Arial" w:cs="Arial" w:eastAsia="Arial" w:hAnsi="Arial"/>
                <w:sz w:val="16"/>
                <w:szCs w:val="16"/>
                <w:color w:val="0000FF"/>
                <w:w w:val="98"/>
              </w:rPr>
            </w:pPr>
            <w:hyperlink r:id="rId230">
              <w:r>
                <w:rPr>
                  <w:rFonts w:ascii="Arial" w:cs="Arial" w:eastAsia="Arial" w:hAnsi="Arial"/>
                  <w:sz w:val="16"/>
                  <w:szCs w:val="16"/>
                  <w:color w:val="0000FF"/>
                  <w:w w:val="98"/>
                </w:rPr>
                <w:t>Form of Lock-Up Agreement, by and among the Company and the</w:t>
              </w:r>
            </w:hyperlink>
          </w:p>
        </w:tc>
        <w:tc>
          <w:tcPr>
            <w:tcW w:w="1820" w:type="dxa"/>
            <w:vAlign w:val="bottom"/>
            <w:shd w:val="clear" w:color="auto" w:fill="CCEEFF"/>
          </w:tcPr>
          <w:p>
            <w:pPr>
              <w:ind w:left="360"/>
              <w:spacing w:after="0" w:line="172" w:lineRule="exact"/>
              <w:rPr>
                <w:sz w:val="20"/>
                <w:szCs w:val="20"/>
                <w:color w:val="auto"/>
              </w:rPr>
            </w:pPr>
            <w:r>
              <w:rPr>
                <w:rFonts w:ascii="Arial" w:cs="Arial" w:eastAsia="Arial" w:hAnsi="Arial"/>
                <w:sz w:val="16"/>
                <w:szCs w:val="16"/>
                <w:color w:val="auto"/>
              </w:rPr>
              <w:t>8-K</w:t>
            </w:r>
          </w:p>
        </w:tc>
        <w:tc>
          <w:tcPr>
            <w:tcW w:w="28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0000FF"/>
                <w:w w:val="83"/>
              </w:rPr>
              <w:t>10.</w:t>
            </w:r>
            <w:r>
              <w:rPr>
                <w:rFonts w:ascii="Arial" w:cs="Arial" w:eastAsia="Arial" w:hAnsi="Arial"/>
                <w:sz w:val="16"/>
                <w:szCs w:val="16"/>
                <w:u w:val="single" w:color="auto"/>
                <w:color w:val="0000FF"/>
                <w:w w:val="83"/>
              </w:rPr>
              <w:t>4</w:t>
            </w:r>
          </w:p>
        </w:tc>
        <w:tc>
          <w:tcPr>
            <w:tcW w:w="3380" w:type="dxa"/>
            <w:vAlign w:val="bottom"/>
            <w:shd w:val="clear" w:color="auto" w:fill="CCEEFF"/>
          </w:tcPr>
          <w:p>
            <w:pPr>
              <w:ind w:left="980"/>
              <w:spacing w:after="0" w:line="172" w:lineRule="exact"/>
              <w:rPr>
                <w:sz w:val="20"/>
                <w:szCs w:val="20"/>
                <w:color w:val="auto"/>
              </w:rPr>
            </w:pPr>
            <w:r>
              <w:rPr>
                <w:rFonts w:ascii="Arial" w:cs="Arial" w:eastAsia="Arial" w:hAnsi="Arial"/>
                <w:sz w:val="16"/>
                <w:szCs w:val="16"/>
                <w:color w:val="auto"/>
              </w:rPr>
              <w:t>01/18/2022</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300" w:type="dxa"/>
            <w:vAlign w:val="bottom"/>
            <w:tcBorders>
              <w:top w:val="single" w:sz="8" w:color="0000FF"/>
            </w:tcBorders>
            <w:gridSpan w:val="20"/>
            <w:shd w:val="clear" w:color="auto" w:fill="CCEEFF"/>
          </w:tcPr>
          <w:p>
            <w:pPr>
              <w:spacing w:after="0" w:line="152" w:lineRule="exact"/>
              <w:rPr>
                <w:rFonts w:ascii="Arial" w:cs="Arial" w:eastAsia="Arial" w:hAnsi="Arial"/>
                <w:sz w:val="16"/>
                <w:szCs w:val="16"/>
                <w:color w:val="0000FF"/>
              </w:rPr>
            </w:pPr>
            <w:hyperlink r:id="rId230">
              <w:r>
                <w:rPr>
                  <w:rFonts w:ascii="Arial" w:cs="Arial" w:eastAsia="Arial" w:hAnsi="Arial"/>
                  <w:sz w:val="16"/>
                  <w:szCs w:val="16"/>
                  <w:color w:val="0000FF"/>
                </w:rPr>
                <w:t>stockholder parties identified therein.</w:t>
              </w:r>
            </w:hyperlink>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33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3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84"/>
              </w:rPr>
              <w:t>10.30</w:t>
            </w:r>
          </w:p>
        </w:tc>
        <w:tc>
          <w:tcPr>
            <w:tcW w:w="4640" w:type="dxa"/>
            <w:vAlign w:val="bottom"/>
            <w:gridSpan w:val="22"/>
            <w:shd w:val="clear" w:color="auto" w:fill="CCEEFF"/>
          </w:tcPr>
          <w:p>
            <w:pPr>
              <w:spacing w:after="0" w:line="172" w:lineRule="exact"/>
              <w:rPr>
                <w:rFonts w:ascii="Arial" w:cs="Arial" w:eastAsia="Arial" w:hAnsi="Arial"/>
                <w:sz w:val="16"/>
                <w:szCs w:val="16"/>
                <w:color w:val="0000FF"/>
                <w:w w:val="99"/>
              </w:rPr>
            </w:pPr>
            <w:hyperlink r:id="rId231">
              <w:r>
                <w:rPr>
                  <w:rFonts w:ascii="Arial" w:cs="Arial" w:eastAsia="Arial" w:hAnsi="Arial"/>
                  <w:sz w:val="16"/>
                  <w:szCs w:val="16"/>
                  <w:color w:val="0000FF"/>
                  <w:w w:val="99"/>
                </w:rPr>
                <w:t>Separation Agreement with James Coffin dated as of January 25,</w:t>
              </w:r>
            </w:hyperlink>
          </w:p>
        </w:tc>
        <w:tc>
          <w:tcPr>
            <w:tcW w:w="1820" w:type="dxa"/>
            <w:vAlign w:val="bottom"/>
            <w:shd w:val="clear" w:color="auto" w:fill="CCEEFF"/>
          </w:tcPr>
          <w:p>
            <w:pPr>
              <w:ind w:left="360"/>
              <w:spacing w:after="0" w:line="172" w:lineRule="exact"/>
              <w:rPr>
                <w:sz w:val="20"/>
                <w:szCs w:val="20"/>
                <w:color w:val="auto"/>
              </w:rPr>
            </w:pPr>
            <w:r>
              <w:rPr>
                <w:rFonts w:ascii="Arial" w:cs="Arial" w:eastAsia="Arial" w:hAnsi="Arial"/>
                <w:sz w:val="16"/>
                <w:szCs w:val="16"/>
                <w:color w:val="auto"/>
              </w:rPr>
              <w:t>8-K</w:t>
            </w:r>
          </w:p>
        </w:tc>
        <w:tc>
          <w:tcPr>
            <w:tcW w:w="28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0000FF"/>
                <w:w w:val="83"/>
              </w:rPr>
              <w:t>10.</w:t>
            </w:r>
            <w:r>
              <w:rPr>
                <w:rFonts w:ascii="Arial" w:cs="Arial" w:eastAsia="Arial" w:hAnsi="Arial"/>
                <w:sz w:val="16"/>
                <w:szCs w:val="16"/>
                <w:u w:val="single" w:color="auto"/>
                <w:color w:val="0000FF"/>
                <w:w w:val="83"/>
              </w:rPr>
              <w:t>1</w:t>
            </w:r>
          </w:p>
        </w:tc>
        <w:tc>
          <w:tcPr>
            <w:tcW w:w="3380" w:type="dxa"/>
            <w:vAlign w:val="bottom"/>
            <w:shd w:val="clear" w:color="auto" w:fill="CCEEFF"/>
          </w:tcPr>
          <w:p>
            <w:pPr>
              <w:ind w:left="980"/>
              <w:spacing w:after="0" w:line="172" w:lineRule="exact"/>
              <w:rPr>
                <w:sz w:val="20"/>
                <w:szCs w:val="20"/>
                <w:color w:val="auto"/>
              </w:rPr>
            </w:pPr>
            <w:r>
              <w:rPr>
                <w:rFonts w:ascii="Arial" w:cs="Arial" w:eastAsia="Arial" w:hAnsi="Arial"/>
                <w:sz w:val="16"/>
                <w:szCs w:val="16"/>
                <w:color w:val="auto"/>
              </w:rPr>
              <w:t>01/31/2022</w:t>
            </w:r>
          </w:p>
        </w:tc>
      </w:tr>
      <w:tr>
        <w:trPr>
          <w:trHeight w:val="190"/>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0000FF"/>
            </w:tcBorders>
            <w:shd w:val="clear" w:color="auto" w:fill="CCEEFF"/>
          </w:tcPr>
          <w:p>
            <w:pPr>
              <w:spacing w:after="0" w:line="152" w:lineRule="exact"/>
              <w:rPr>
                <w:rFonts w:ascii="Arial" w:cs="Arial" w:eastAsia="Arial" w:hAnsi="Arial"/>
                <w:sz w:val="16"/>
                <w:szCs w:val="16"/>
                <w:color w:val="0000FF"/>
                <w:w w:val="84"/>
              </w:rPr>
            </w:pPr>
            <w:hyperlink r:id="rId231">
              <w:r>
                <w:rPr>
                  <w:rFonts w:ascii="Arial" w:cs="Arial" w:eastAsia="Arial" w:hAnsi="Arial"/>
                  <w:sz w:val="16"/>
                  <w:szCs w:val="16"/>
                  <w:color w:val="0000FF"/>
                  <w:w w:val="84"/>
                </w:rPr>
                <w:t>2022.</w:t>
              </w:r>
            </w:hyperlink>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760" w:type="dxa"/>
            <w:vAlign w:val="bottom"/>
            <w:tcBorders>
              <w:top w:val="single" w:sz="8" w:color="0000FF"/>
              <w:bottom w:val="single" w:sz="8" w:color="CCEEFF"/>
            </w:tcBorders>
            <w:shd w:val="clear" w:color="auto" w:fill="CCEEFF"/>
          </w:tcPr>
          <w:p>
            <w:pPr>
              <w:spacing w:after="0"/>
              <w:rPr>
                <w:sz w:val="16"/>
                <w:szCs w:val="16"/>
                <w:color w:val="auto"/>
              </w:rPr>
            </w:pPr>
          </w:p>
        </w:tc>
        <w:tc>
          <w:tcPr>
            <w:tcW w:w="64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380" w:type="dxa"/>
            <w:vAlign w:val="bottom"/>
            <w:tcBorders>
              <w:top w:val="single" w:sz="8" w:color="0000FF"/>
              <w:bottom w:val="single" w:sz="8" w:color="CCEEFF"/>
            </w:tcBorders>
            <w:shd w:val="clear" w:color="auto" w:fill="CCEEFF"/>
          </w:tcPr>
          <w:p>
            <w:pPr>
              <w:spacing w:after="0"/>
              <w:rPr>
                <w:sz w:val="16"/>
                <w:szCs w:val="16"/>
                <w:color w:val="auto"/>
              </w:rPr>
            </w:pPr>
          </w:p>
        </w:tc>
        <w:tc>
          <w:tcPr>
            <w:tcW w:w="340" w:type="dxa"/>
            <w:vAlign w:val="bottom"/>
            <w:tcBorders>
              <w:top w:val="single" w:sz="8" w:color="0000FF"/>
              <w:bottom w:val="single" w:sz="8" w:color="CCEEFF"/>
            </w:tcBorders>
            <w:shd w:val="clear" w:color="auto" w:fill="CCEEFF"/>
          </w:tcPr>
          <w:p>
            <w:pPr>
              <w:spacing w:after="0"/>
              <w:rPr>
                <w:sz w:val="16"/>
                <w:szCs w:val="16"/>
                <w:color w:val="auto"/>
              </w:rPr>
            </w:pPr>
          </w:p>
        </w:tc>
        <w:tc>
          <w:tcPr>
            <w:tcW w:w="104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8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33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3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84"/>
              </w:rPr>
              <w:t>10.31</w:t>
            </w:r>
          </w:p>
        </w:tc>
        <w:tc>
          <w:tcPr>
            <w:tcW w:w="4640" w:type="dxa"/>
            <w:vAlign w:val="bottom"/>
            <w:gridSpan w:val="22"/>
            <w:shd w:val="clear" w:color="auto" w:fill="CCEEFF"/>
          </w:tcPr>
          <w:p>
            <w:pPr>
              <w:spacing w:after="0" w:line="172" w:lineRule="exact"/>
              <w:rPr>
                <w:rFonts w:ascii="Arial" w:cs="Arial" w:eastAsia="Arial" w:hAnsi="Arial"/>
                <w:sz w:val="16"/>
                <w:szCs w:val="16"/>
                <w:color w:val="0000FF"/>
                <w:w w:val="98"/>
              </w:rPr>
            </w:pPr>
            <w:hyperlink w:anchor="page192">
              <w:r>
                <w:rPr>
                  <w:rFonts w:ascii="Arial" w:cs="Arial" w:eastAsia="Arial" w:hAnsi="Arial"/>
                  <w:sz w:val="16"/>
                  <w:szCs w:val="16"/>
                  <w:color w:val="0000FF"/>
                  <w:w w:val="98"/>
                </w:rPr>
                <w:t>Executive Chairman Agreement, dated as of January 17, 2022, by</w:t>
              </w:r>
            </w:hyperlink>
          </w:p>
        </w:tc>
        <w:tc>
          <w:tcPr>
            <w:tcW w:w="1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380" w:type="dxa"/>
            <w:vAlign w:val="bottom"/>
            <w:shd w:val="clear" w:color="auto" w:fill="CCEEFF"/>
          </w:tcPr>
          <w:p>
            <w:pPr>
              <w:ind w:left="2680"/>
              <w:spacing w:after="0" w:line="172" w:lineRule="exact"/>
              <w:rPr>
                <w:sz w:val="20"/>
                <w:szCs w:val="20"/>
                <w:color w:val="auto"/>
              </w:rPr>
            </w:pPr>
            <w:r>
              <w:rPr>
                <w:rFonts w:ascii="Arial" w:cs="Arial" w:eastAsia="Arial" w:hAnsi="Arial"/>
                <w:sz w:val="16"/>
                <w:szCs w:val="16"/>
                <w:color w:val="auto"/>
              </w:rPr>
              <w:t>X</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200" w:type="dxa"/>
            <w:vAlign w:val="bottom"/>
            <w:tcBorders>
              <w:top w:val="single" w:sz="8" w:color="0000FF"/>
            </w:tcBorders>
            <w:gridSpan w:val="15"/>
            <w:shd w:val="clear" w:color="auto" w:fill="CCEEFF"/>
          </w:tcPr>
          <w:p>
            <w:pPr>
              <w:spacing w:after="0" w:line="152" w:lineRule="exact"/>
              <w:rPr>
                <w:rFonts w:ascii="Arial" w:cs="Arial" w:eastAsia="Arial" w:hAnsi="Arial"/>
                <w:sz w:val="16"/>
                <w:szCs w:val="16"/>
                <w:color w:val="0000FF"/>
              </w:rPr>
            </w:pPr>
            <w:hyperlink w:anchor="page192">
              <w:r>
                <w:rPr>
                  <w:rFonts w:ascii="Arial" w:cs="Arial" w:eastAsia="Arial" w:hAnsi="Arial"/>
                  <w:sz w:val="16"/>
                  <w:szCs w:val="16"/>
                  <w:color w:val="0000FF"/>
                </w:rPr>
                <w:t>and between the Company and Jason Ryan</w:t>
              </w:r>
              <w:r>
                <w:rPr>
                  <w:rFonts w:ascii="Arial" w:cs="Arial" w:eastAsia="Arial" w:hAnsi="Arial"/>
                  <w:sz w:val="16"/>
                  <w:szCs w:val="16"/>
                  <w:color w:val="000000"/>
                </w:rPr>
                <w:t>.</w:t>
              </w:r>
            </w:hyperlink>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380" w:type="dxa"/>
            <w:vAlign w:val="bottom"/>
            <w:tcBorders>
              <w:top w:val="single" w:sz="8" w:color="CCEEFF"/>
            </w:tcBorders>
          </w:tcPr>
          <w:p>
            <w:pPr>
              <w:spacing w:after="0"/>
              <w:rPr>
                <w:sz w:val="4"/>
                <w:szCs w:val="4"/>
                <w:color w:val="auto"/>
              </w:rPr>
            </w:pPr>
          </w:p>
        </w:tc>
      </w:tr>
      <w:tr>
        <w:trPr>
          <w:trHeight w:val="205"/>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90"/>
              </w:rPr>
              <w:t>21.1*</w:t>
            </w:r>
          </w:p>
        </w:tc>
        <w:tc>
          <w:tcPr>
            <w:tcW w:w="4640" w:type="dxa"/>
            <w:vAlign w:val="bottom"/>
            <w:gridSpan w:val="22"/>
            <w:shd w:val="clear" w:color="auto" w:fill="CCEEFF"/>
          </w:tcPr>
          <w:p>
            <w:pPr>
              <w:spacing w:after="0" w:line="172" w:lineRule="exact"/>
              <w:rPr>
                <w:rFonts w:ascii="Arial" w:cs="Arial" w:eastAsia="Arial" w:hAnsi="Arial"/>
                <w:sz w:val="16"/>
                <w:szCs w:val="16"/>
                <w:color w:val="0000FF"/>
              </w:rPr>
            </w:pPr>
            <w:hyperlink w:anchor="page208">
              <w:r>
                <w:rPr>
                  <w:rFonts w:ascii="Arial" w:cs="Arial" w:eastAsia="Arial" w:hAnsi="Arial"/>
                  <w:sz w:val="16"/>
                  <w:szCs w:val="16"/>
                  <w:color w:val="0000FF"/>
                </w:rPr>
                <w:t>Subsidiaries of the Company.</w:t>
              </w:r>
            </w:hyperlink>
          </w:p>
        </w:tc>
        <w:tc>
          <w:tcPr>
            <w:tcW w:w="1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380" w:type="dxa"/>
            <w:vAlign w:val="bottom"/>
            <w:shd w:val="clear" w:color="auto" w:fill="CCEEFF"/>
          </w:tcPr>
          <w:p>
            <w:pPr>
              <w:ind w:left="2680"/>
              <w:spacing w:after="0" w:line="172" w:lineRule="exact"/>
              <w:rPr>
                <w:sz w:val="20"/>
                <w:szCs w:val="20"/>
                <w:color w:val="auto"/>
              </w:rPr>
            </w:pPr>
            <w:r>
              <w:rPr>
                <w:rFonts w:ascii="Arial" w:cs="Arial" w:eastAsia="Arial" w:hAnsi="Arial"/>
                <w:sz w:val="16"/>
                <w:szCs w:val="16"/>
                <w:color w:val="auto"/>
              </w:rPr>
              <w:t>X</w:t>
            </w: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3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83"/>
              </w:rPr>
              <w:t>23.1</w:t>
            </w:r>
          </w:p>
        </w:tc>
        <w:tc>
          <w:tcPr>
            <w:tcW w:w="4640" w:type="dxa"/>
            <w:vAlign w:val="bottom"/>
            <w:gridSpan w:val="22"/>
            <w:shd w:val="clear" w:color="auto" w:fill="CCEEFF"/>
          </w:tcPr>
          <w:p>
            <w:pPr>
              <w:spacing w:after="0" w:line="172" w:lineRule="exact"/>
              <w:rPr>
                <w:rFonts w:ascii="Arial" w:cs="Arial" w:eastAsia="Arial" w:hAnsi="Arial"/>
                <w:sz w:val="16"/>
                <w:szCs w:val="16"/>
                <w:color w:val="0000FF"/>
                <w:w w:val="97"/>
              </w:rPr>
            </w:pPr>
            <w:hyperlink w:anchor="page209">
              <w:r>
                <w:rPr>
                  <w:rFonts w:ascii="Arial" w:cs="Arial" w:eastAsia="Arial" w:hAnsi="Arial"/>
                  <w:sz w:val="16"/>
                  <w:szCs w:val="16"/>
                  <w:color w:val="0000FF"/>
                  <w:w w:val="97"/>
                </w:rPr>
                <w:t>Consent of Ernst &amp; Young LLP, independent registered accounting</w:t>
              </w:r>
            </w:hyperlink>
          </w:p>
        </w:tc>
        <w:tc>
          <w:tcPr>
            <w:tcW w:w="1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380" w:type="dxa"/>
            <w:vAlign w:val="bottom"/>
            <w:shd w:val="clear" w:color="auto" w:fill="CCEEFF"/>
          </w:tcPr>
          <w:p>
            <w:pPr>
              <w:ind w:left="2680"/>
              <w:spacing w:after="0" w:line="172" w:lineRule="exact"/>
              <w:rPr>
                <w:sz w:val="20"/>
                <w:szCs w:val="20"/>
                <w:color w:val="auto"/>
              </w:rPr>
            </w:pPr>
            <w:r>
              <w:rPr>
                <w:rFonts w:ascii="Arial" w:cs="Arial" w:eastAsia="Arial" w:hAnsi="Arial"/>
                <w:sz w:val="16"/>
                <w:szCs w:val="16"/>
                <w:color w:val="auto"/>
              </w:rPr>
              <w:t>X</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320" w:type="dxa"/>
            <w:vAlign w:val="bottom"/>
            <w:tcBorders>
              <w:top w:val="single" w:sz="8" w:color="0000FF"/>
            </w:tcBorders>
            <w:gridSpan w:val="21"/>
            <w:shd w:val="clear" w:color="auto" w:fill="CCEEFF"/>
          </w:tcPr>
          <w:p>
            <w:pPr>
              <w:spacing w:after="0" w:line="152" w:lineRule="exact"/>
              <w:rPr>
                <w:rFonts w:ascii="Arial" w:cs="Arial" w:eastAsia="Arial" w:hAnsi="Arial"/>
                <w:sz w:val="16"/>
                <w:szCs w:val="16"/>
                <w:color w:val="0000FF"/>
              </w:rPr>
            </w:pPr>
            <w:hyperlink w:anchor="page209">
              <w:r>
                <w:rPr>
                  <w:rFonts w:ascii="Arial" w:cs="Arial" w:eastAsia="Arial" w:hAnsi="Arial"/>
                  <w:sz w:val="16"/>
                  <w:szCs w:val="16"/>
                  <w:color w:val="0000FF"/>
                </w:rPr>
                <w:t>firm for Sema4 Holdings Corp.</w:t>
              </w:r>
            </w:hyperlink>
          </w:p>
        </w:tc>
        <w:tc>
          <w:tcPr>
            <w:tcW w:w="32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380" w:type="dxa"/>
            <w:vAlign w:val="bottom"/>
            <w:tcBorders>
              <w:top w:val="single" w:sz="8" w:color="CCEEFF"/>
            </w:tcBorders>
          </w:tcPr>
          <w:p>
            <w:pPr>
              <w:spacing w:after="0"/>
              <w:rPr>
                <w:sz w:val="4"/>
                <w:szCs w:val="4"/>
                <w:color w:val="auto"/>
              </w:rPr>
            </w:pPr>
          </w:p>
        </w:tc>
      </w:tr>
      <w:tr>
        <w:trPr>
          <w:trHeight w:val="176"/>
        </w:trPr>
        <w:tc>
          <w:tcPr>
            <w:tcW w:w="1120" w:type="dxa"/>
            <w:vAlign w:val="bottom"/>
            <w:shd w:val="clear" w:color="auto" w:fill="CCEEFF"/>
          </w:tcPr>
          <w:p>
            <w:pPr>
              <w:jc w:val="center"/>
              <w:ind w:right="101"/>
              <w:spacing w:after="0" w:line="176" w:lineRule="exact"/>
              <w:rPr>
                <w:sz w:val="20"/>
                <w:szCs w:val="20"/>
                <w:color w:val="auto"/>
              </w:rPr>
            </w:pPr>
            <w:r>
              <w:rPr>
                <w:rFonts w:ascii="Arial" w:cs="Arial" w:eastAsia="Arial" w:hAnsi="Arial"/>
                <w:sz w:val="16"/>
                <w:szCs w:val="16"/>
                <w:color w:val="auto"/>
                <w:w w:val="83"/>
              </w:rPr>
              <w:t>24.1</w:t>
            </w:r>
          </w:p>
        </w:tc>
        <w:tc>
          <w:tcPr>
            <w:tcW w:w="4640" w:type="dxa"/>
            <w:vAlign w:val="bottom"/>
            <w:gridSpan w:val="22"/>
            <w:shd w:val="clear" w:color="auto" w:fill="CCEEFF"/>
          </w:tcPr>
          <w:p>
            <w:pPr>
              <w:spacing w:after="0" w:line="176" w:lineRule="exact"/>
              <w:rPr>
                <w:sz w:val="20"/>
                <w:szCs w:val="20"/>
                <w:color w:val="auto"/>
              </w:rPr>
            </w:pPr>
            <w:r>
              <w:rPr>
                <w:rFonts w:ascii="Arial" w:cs="Arial" w:eastAsia="Arial" w:hAnsi="Arial"/>
                <w:sz w:val="16"/>
                <w:szCs w:val="16"/>
                <w:color w:val="auto"/>
              </w:rPr>
              <w:t>Power of Attorney (included on signature page to this Annual</w:t>
            </w:r>
          </w:p>
        </w:tc>
        <w:tc>
          <w:tcPr>
            <w:tcW w:w="1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380" w:type="dxa"/>
            <w:vAlign w:val="bottom"/>
            <w:shd w:val="clear" w:color="auto" w:fill="CCEEFF"/>
          </w:tcPr>
          <w:p>
            <w:pPr>
              <w:ind w:left="2680"/>
              <w:spacing w:after="0" w:line="176" w:lineRule="exact"/>
              <w:rPr>
                <w:sz w:val="20"/>
                <w:szCs w:val="20"/>
                <w:color w:val="auto"/>
              </w:rPr>
            </w:pPr>
            <w:r>
              <w:rPr>
                <w:rFonts w:ascii="Arial" w:cs="Arial" w:eastAsia="Arial" w:hAnsi="Arial"/>
                <w:sz w:val="16"/>
                <w:szCs w:val="16"/>
                <w:color w:val="auto"/>
              </w:rPr>
              <w:t>X</w:t>
            </w:r>
          </w:p>
        </w:tc>
      </w:tr>
      <w:tr>
        <w:trPr>
          <w:trHeight w:val="222"/>
        </w:trPr>
        <w:tc>
          <w:tcPr>
            <w:tcW w:w="1120" w:type="dxa"/>
            <w:vAlign w:val="bottom"/>
            <w:shd w:val="clear" w:color="auto" w:fill="CCEEFF"/>
          </w:tcPr>
          <w:p>
            <w:pPr>
              <w:spacing w:after="0"/>
              <w:rPr>
                <w:sz w:val="19"/>
                <w:szCs w:val="19"/>
                <w:color w:val="auto"/>
              </w:rPr>
            </w:pPr>
          </w:p>
        </w:tc>
        <w:tc>
          <w:tcPr>
            <w:tcW w:w="4640" w:type="dxa"/>
            <w:vAlign w:val="bottom"/>
            <w:gridSpan w:val="22"/>
            <w:shd w:val="clear" w:color="auto" w:fill="CCEEFF"/>
          </w:tcPr>
          <w:p>
            <w:pPr>
              <w:spacing w:after="0"/>
              <w:rPr>
                <w:sz w:val="20"/>
                <w:szCs w:val="20"/>
                <w:color w:val="auto"/>
              </w:rPr>
            </w:pPr>
            <w:r>
              <w:rPr>
                <w:rFonts w:ascii="Arial" w:cs="Arial" w:eastAsia="Arial" w:hAnsi="Arial"/>
                <w:sz w:val="16"/>
                <w:szCs w:val="16"/>
                <w:color w:val="auto"/>
              </w:rPr>
              <w:t>Report on Form 10-K).</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r>
      <w:tr>
        <w:trPr>
          <w:trHeight w:val="53"/>
        </w:trPr>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380" w:type="dxa"/>
            <w:vAlign w:val="bottom"/>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90"/>
              </w:rPr>
              <w:t>31.1*</w:t>
            </w:r>
          </w:p>
        </w:tc>
        <w:tc>
          <w:tcPr>
            <w:tcW w:w="4640" w:type="dxa"/>
            <w:vAlign w:val="bottom"/>
            <w:gridSpan w:val="22"/>
            <w:shd w:val="clear" w:color="auto" w:fill="CCEEFF"/>
          </w:tcPr>
          <w:p>
            <w:pPr>
              <w:spacing w:after="0" w:line="172" w:lineRule="exact"/>
              <w:rPr>
                <w:rFonts w:ascii="Arial" w:cs="Arial" w:eastAsia="Arial" w:hAnsi="Arial"/>
                <w:sz w:val="16"/>
                <w:szCs w:val="16"/>
                <w:color w:val="0000FF"/>
              </w:rPr>
            </w:pPr>
            <w:hyperlink w:anchor="page210">
              <w:r>
                <w:rPr>
                  <w:rFonts w:ascii="Arial" w:cs="Arial" w:eastAsia="Arial" w:hAnsi="Arial"/>
                  <w:sz w:val="16"/>
                  <w:szCs w:val="16"/>
                  <w:color w:val="0000FF"/>
                </w:rPr>
                <w:t>Certification of Principal Executive Officer Pursuant to Securities</w:t>
              </w:r>
            </w:hyperlink>
          </w:p>
        </w:tc>
        <w:tc>
          <w:tcPr>
            <w:tcW w:w="1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380" w:type="dxa"/>
            <w:vAlign w:val="bottom"/>
            <w:shd w:val="clear" w:color="auto" w:fill="CCEEFF"/>
          </w:tcPr>
          <w:p>
            <w:pPr>
              <w:ind w:left="2680"/>
              <w:spacing w:after="0" w:line="172" w:lineRule="exact"/>
              <w:rPr>
                <w:sz w:val="20"/>
                <w:szCs w:val="20"/>
                <w:color w:val="auto"/>
              </w:rPr>
            </w:pPr>
            <w:r>
              <w:rPr>
                <w:rFonts w:ascii="Arial" w:cs="Arial" w:eastAsia="Arial" w:hAnsi="Arial"/>
                <w:sz w:val="16"/>
                <w:szCs w:val="16"/>
                <w:color w:val="auto"/>
              </w:rPr>
              <w:t>X</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4220" w:type="dxa"/>
            <w:vAlign w:val="bottom"/>
            <w:tcBorders>
              <w:top w:val="single" w:sz="8" w:color="0000FF"/>
            </w:tcBorders>
            <w:gridSpan w:val="16"/>
            <w:shd w:val="clear" w:color="auto" w:fill="CCEEFF"/>
          </w:tcPr>
          <w:p>
            <w:pPr>
              <w:spacing w:after="0" w:line="152" w:lineRule="exact"/>
              <w:rPr>
                <w:rFonts w:ascii="Arial" w:cs="Arial" w:eastAsia="Arial" w:hAnsi="Arial"/>
                <w:sz w:val="16"/>
                <w:szCs w:val="16"/>
                <w:color w:val="0000FF"/>
                <w:w w:val="99"/>
              </w:rPr>
            </w:pPr>
            <w:hyperlink w:anchor="page210">
              <w:r>
                <w:rPr>
                  <w:rFonts w:ascii="Arial" w:cs="Arial" w:eastAsia="Arial" w:hAnsi="Arial"/>
                  <w:sz w:val="16"/>
                  <w:szCs w:val="16"/>
                  <w:color w:val="0000FF"/>
                  <w:w w:val="99"/>
                </w:rPr>
                <w:t>Exchange Act Rules 13a-14(a) and 15(d)-14(a), as adopted</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360" w:type="dxa"/>
            <w:vAlign w:val="bottom"/>
            <w:tcBorders>
              <w:top w:val="single" w:sz="8" w:color="CCEEFF"/>
            </w:tcBorders>
            <w:gridSpan w:val="3"/>
            <w:shd w:val="clear" w:color="auto" w:fill="CCEEFF"/>
          </w:tcPr>
          <w:p>
            <w:pPr>
              <w:spacing w:after="0"/>
              <w:rPr>
                <w:sz w:val="13"/>
                <w:szCs w:val="13"/>
                <w:color w:val="auto"/>
              </w:rPr>
            </w:pPr>
          </w:p>
        </w:tc>
        <w:tc>
          <w:tcPr>
            <w:tcW w:w="18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380" w:type="dxa"/>
            <w:vAlign w:val="bottom"/>
            <w:tcBorders>
              <w:top w:val="single" w:sz="8" w:color="CCEEFF"/>
            </w:tcBorders>
            <w:shd w:val="clear" w:color="auto" w:fill="CCEEFF"/>
          </w:tcPr>
          <w:p>
            <w:pPr>
              <w:spacing w:after="0"/>
              <w:rPr>
                <w:sz w:val="13"/>
                <w:szCs w:val="13"/>
                <w:color w:val="auto"/>
              </w:rPr>
            </w:pPr>
          </w:p>
        </w:tc>
      </w:tr>
      <w:tr>
        <w:trPr>
          <w:trHeight w:val="190"/>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3760" w:type="dxa"/>
            <w:vAlign w:val="bottom"/>
            <w:tcBorders>
              <w:top w:val="single" w:sz="8" w:color="0000FF"/>
              <w:bottom w:val="single" w:sz="8" w:color="0000FF"/>
            </w:tcBorders>
            <w:gridSpan w:val="8"/>
            <w:shd w:val="clear" w:color="auto" w:fill="CCEEFF"/>
          </w:tcPr>
          <w:p>
            <w:pPr>
              <w:spacing w:after="0" w:line="152" w:lineRule="exact"/>
              <w:rPr>
                <w:rFonts w:ascii="Arial" w:cs="Arial" w:eastAsia="Arial" w:hAnsi="Arial"/>
                <w:sz w:val="16"/>
                <w:szCs w:val="16"/>
                <w:color w:val="0000FF"/>
                <w:w w:val="88"/>
              </w:rPr>
            </w:pPr>
            <w:hyperlink w:anchor="page210">
              <w:r>
                <w:rPr>
                  <w:rFonts w:ascii="Arial" w:cs="Arial" w:eastAsia="Arial" w:hAnsi="Arial"/>
                  <w:sz w:val="16"/>
                  <w:szCs w:val="16"/>
                  <w:color w:val="0000FF"/>
                  <w:w w:val="88"/>
                </w:rPr>
                <w:t>Pursuant to Section 302 of the Sarbanes-Oxley Act of 2002.</w:t>
              </w:r>
            </w:hyperlink>
          </w:p>
        </w:tc>
        <w:tc>
          <w:tcPr>
            <w:tcW w:w="60" w:type="dxa"/>
            <w:vAlign w:val="bottom"/>
            <w:tcBorders>
              <w:top w:val="single" w:sz="8" w:color="CCEEFF"/>
              <w:bottom w:val="single" w:sz="8" w:color="0000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3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8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33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3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90"/>
              </w:rPr>
              <w:t>31.2*</w:t>
            </w:r>
          </w:p>
        </w:tc>
        <w:tc>
          <w:tcPr>
            <w:tcW w:w="4640" w:type="dxa"/>
            <w:vAlign w:val="bottom"/>
            <w:gridSpan w:val="22"/>
            <w:shd w:val="clear" w:color="auto" w:fill="CCEEFF"/>
          </w:tcPr>
          <w:p>
            <w:pPr>
              <w:spacing w:after="0" w:line="172" w:lineRule="exact"/>
              <w:rPr>
                <w:rFonts w:ascii="Arial" w:cs="Arial" w:eastAsia="Arial" w:hAnsi="Arial"/>
                <w:sz w:val="16"/>
                <w:szCs w:val="16"/>
                <w:color w:val="0000FF"/>
              </w:rPr>
            </w:pPr>
            <w:hyperlink w:anchor="page212">
              <w:r>
                <w:rPr>
                  <w:rFonts w:ascii="Arial" w:cs="Arial" w:eastAsia="Arial" w:hAnsi="Arial"/>
                  <w:sz w:val="16"/>
                  <w:szCs w:val="16"/>
                  <w:color w:val="0000FF"/>
                </w:rPr>
                <w:t>Certification of Principal Financial Officer Pursuant to Securities</w:t>
              </w:r>
            </w:hyperlink>
          </w:p>
        </w:tc>
        <w:tc>
          <w:tcPr>
            <w:tcW w:w="1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380" w:type="dxa"/>
            <w:vAlign w:val="bottom"/>
            <w:shd w:val="clear" w:color="auto" w:fill="CCEEFF"/>
          </w:tcPr>
          <w:p>
            <w:pPr>
              <w:ind w:left="2680"/>
              <w:spacing w:after="0" w:line="172" w:lineRule="exact"/>
              <w:rPr>
                <w:sz w:val="20"/>
                <w:szCs w:val="20"/>
                <w:color w:val="auto"/>
              </w:rPr>
            </w:pPr>
            <w:r>
              <w:rPr>
                <w:rFonts w:ascii="Arial" w:cs="Arial" w:eastAsia="Arial" w:hAnsi="Arial"/>
                <w:sz w:val="16"/>
                <w:szCs w:val="16"/>
                <w:color w:val="auto"/>
              </w:rPr>
              <w:t>X</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4160" w:type="dxa"/>
            <w:vAlign w:val="bottom"/>
            <w:tcBorders>
              <w:top w:val="single" w:sz="8" w:color="0000FF"/>
            </w:tcBorders>
            <w:gridSpan w:val="13"/>
            <w:shd w:val="clear" w:color="auto" w:fill="CCEEFF"/>
          </w:tcPr>
          <w:p>
            <w:pPr>
              <w:spacing w:after="0" w:line="152" w:lineRule="exact"/>
              <w:rPr>
                <w:rFonts w:ascii="Arial" w:cs="Arial" w:eastAsia="Arial" w:hAnsi="Arial"/>
                <w:sz w:val="16"/>
                <w:szCs w:val="16"/>
                <w:color w:val="0000FF"/>
                <w:w w:val="98"/>
              </w:rPr>
            </w:pPr>
            <w:hyperlink w:anchor="page212">
              <w:r>
                <w:rPr>
                  <w:rFonts w:ascii="Arial" w:cs="Arial" w:eastAsia="Arial" w:hAnsi="Arial"/>
                  <w:sz w:val="16"/>
                  <w:szCs w:val="16"/>
                  <w:color w:val="0000FF"/>
                  <w:w w:val="98"/>
                </w:rPr>
                <w:t>Exchange Act Rules 13a-14(a) and 15(d)-14(a), as adopted</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360" w:type="dxa"/>
            <w:vAlign w:val="bottom"/>
            <w:tcBorders>
              <w:top w:val="single" w:sz="8" w:color="CCEEFF"/>
            </w:tcBorders>
            <w:gridSpan w:val="3"/>
            <w:shd w:val="clear" w:color="auto" w:fill="CCEEFF"/>
          </w:tcPr>
          <w:p>
            <w:pPr>
              <w:spacing w:after="0"/>
              <w:rPr>
                <w:sz w:val="13"/>
                <w:szCs w:val="13"/>
                <w:color w:val="auto"/>
              </w:rPr>
            </w:pPr>
          </w:p>
        </w:tc>
        <w:tc>
          <w:tcPr>
            <w:tcW w:w="18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380" w:type="dxa"/>
            <w:vAlign w:val="bottom"/>
            <w:tcBorders>
              <w:top w:val="single" w:sz="8" w:color="CCEEFF"/>
            </w:tcBorders>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3760" w:type="dxa"/>
            <w:vAlign w:val="bottom"/>
            <w:tcBorders>
              <w:top w:val="single" w:sz="8" w:color="0000FF"/>
            </w:tcBorders>
            <w:gridSpan w:val="8"/>
            <w:shd w:val="clear" w:color="auto" w:fill="CCEEFF"/>
          </w:tcPr>
          <w:p>
            <w:pPr>
              <w:spacing w:after="0" w:line="152" w:lineRule="exact"/>
              <w:rPr>
                <w:rFonts w:ascii="Arial" w:cs="Arial" w:eastAsia="Arial" w:hAnsi="Arial"/>
                <w:sz w:val="16"/>
                <w:szCs w:val="16"/>
                <w:color w:val="0000FF"/>
                <w:w w:val="88"/>
              </w:rPr>
            </w:pPr>
            <w:hyperlink w:anchor="page212">
              <w:r>
                <w:rPr>
                  <w:rFonts w:ascii="Arial" w:cs="Arial" w:eastAsia="Arial" w:hAnsi="Arial"/>
                  <w:sz w:val="16"/>
                  <w:szCs w:val="16"/>
                  <w:color w:val="0000FF"/>
                  <w:w w:val="88"/>
                </w:rPr>
                <w:t>Pursuant to Section 302 of the Sarbanes-Oxley Act of 2002.</w:t>
              </w:r>
            </w:hyperlink>
          </w:p>
        </w:tc>
        <w:tc>
          <w:tcPr>
            <w:tcW w:w="420" w:type="dxa"/>
            <w:vAlign w:val="bottom"/>
            <w:tcBorders>
              <w:top w:val="single" w:sz="8" w:color="CCEEFF"/>
            </w:tcBorders>
            <w:gridSpan w:val="6"/>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360" w:type="dxa"/>
            <w:vAlign w:val="bottom"/>
            <w:tcBorders>
              <w:top w:val="single" w:sz="8" w:color="CCEEFF"/>
            </w:tcBorders>
            <w:gridSpan w:val="3"/>
            <w:shd w:val="clear" w:color="auto" w:fill="CCEEFF"/>
          </w:tcPr>
          <w:p>
            <w:pPr>
              <w:spacing w:after="0"/>
              <w:rPr>
                <w:sz w:val="16"/>
                <w:szCs w:val="16"/>
                <w:color w:val="auto"/>
              </w:rPr>
            </w:pPr>
          </w:p>
        </w:tc>
        <w:tc>
          <w:tcPr>
            <w:tcW w:w="18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380" w:type="dxa"/>
            <w:vAlign w:val="bottom"/>
            <w:tcBorders>
              <w:top w:val="single" w:sz="8" w:color="CCEEFF"/>
            </w:tcBorders>
          </w:tcPr>
          <w:p>
            <w:pPr>
              <w:spacing w:after="0"/>
              <w:rPr>
                <w:sz w:val="4"/>
                <w:szCs w:val="4"/>
                <w:color w:val="auto"/>
              </w:rPr>
            </w:pPr>
          </w:p>
        </w:tc>
      </w:tr>
      <w:tr>
        <w:trPr>
          <w:trHeight w:val="172"/>
        </w:trPr>
        <w:tc>
          <w:tcPr>
            <w:tcW w:w="1120" w:type="dxa"/>
            <w:vAlign w:val="bottom"/>
            <w:tcBorders>
              <w:bottom w:val="single" w:sz="8" w:color="CCEEFF"/>
            </w:tcBorders>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96"/>
              </w:rPr>
              <w:t>32.1**</w:t>
            </w:r>
          </w:p>
        </w:tc>
        <w:tc>
          <w:tcPr>
            <w:tcW w:w="4280" w:type="dxa"/>
            <w:vAlign w:val="bottom"/>
            <w:tcBorders>
              <w:bottom w:val="single" w:sz="8" w:color="0000FF"/>
            </w:tcBorders>
            <w:gridSpan w:val="19"/>
            <w:shd w:val="clear" w:color="auto" w:fill="CCEEFF"/>
          </w:tcPr>
          <w:p>
            <w:pPr>
              <w:spacing w:after="0" w:line="172" w:lineRule="exact"/>
              <w:rPr>
                <w:rFonts w:ascii="Arial" w:cs="Arial" w:eastAsia="Arial" w:hAnsi="Arial"/>
                <w:sz w:val="16"/>
                <w:szCs w:val="16"/>
                <w:color w:val="0000FF"/>
                <w:w w:val="93"/>
              </w:rPr>
            </w:pPr>
            <w:hyperlink w:anchor="page214">
              <w:r>
                <w:rPr>
                  <w:rFonts w:ascii="Arial" w:cs="Arial" w:eastAsia="Arial" w:hAnsi="Arial"/>
                  <w:sz w:val="16"/>
                  <w:szCs w:val="16"/>
                  <w:color w:val="0000FF"/>
                  <w:w w:val="93"/>
                </w:rPr>
                <w:t>Certification of Principal Executive Officer Pursuant to 18 U.S.C.</w:t>
              </w:r>
            </w:hyperlink>
          </w:p>
        </w:tc>
        <w:tc>
          <w:tcPr>
            <w:tcW w:w="360" w:type="dxa"/>
            <w:vAlign w:val="bottom"/>
            <w:tcBorders>
              <w:bottom w:val="single" w:sz="8" w:color="CCEEFF"/>
            </w:tcBorders>
            <w:gridSpan w:val="3"/>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380" w:type="dxa"/>
            <w:vAlign w:val="bottom"/>
            <w:tcBorders>
              <w:bottom w:val="single" w:sz="8" w:color="CCEEFF"/>
            </w:tcBorders>
            <w:shd w:val="clear" w:color="auto" w:fill="CCEEFF"/>
          </w:tcPr>
          <w:p>
            <w:pPr>
              <w:ind w:left="2680"/>
              <w:spacing w:after="0" w:line="172" w:lineRule="exact"/>
              <w:rPr>
                <w:sz w:val="20"/>
                <w:szCs w:val="20"/>
                <w:color w:val="auto"/>
              </w:rPr>
            </w:pPr>
            <w:r>
              <w:rPr>
                <w:rFonts w:ascii="Arial" w:cs="Arial" w:eastAsia="Arial" w:hAnsi="Arial"/>
                <w:sz w:val="16"/>
                <w:szCs w:val="16"/>
                <w:color w:val="auto"/>
              </w:rPr>
              <w:t>X</w:t>
            </w:r>
          </w:p>
        </w:tc>
      </w:tr>
      <w:tr>
        <w:trPr>
          <w:trHeight w:val="152"/>
        </w:trPr>
        <w:tc>
          <w:tcPr>
            <w:tcW w:w="1120" w:type="dxa"/>
            <w:vAlign w:val="bottom"/>
            <w:shd w:val="clear" w:color="auto" w:fill="CCEEFF"/>
          </w:tcPr>
          <w:p>
            <w:pPr>
              <w:spacing w:after="0"/>
              <w:rPr>
                <w:sz w:val="13"/>
                <w:szCs w:val="13"/>
                <w:color w:val="auto"/>
              </w:rPr>
            </w:pPr>
          </w:p>
        </w:tc>
        <w:tc>
          <w:tcPr>
            <w:tcW w:w="4640" w:type="dxa"/>
            <w:vAlign w:val="bottom"/>
            <w:gridSpan w:val="22"/>
            <w:shd w:val="clear" w:color="auto" w:fill="CCEEFF"/>
          </w:tcPr>
          <w:p>
            <w:pPr>
              <w:spacing w:after="0" w:line="152" w:lineRule="exact"/>
              <w:rPr>
                <w:rFonts w:ascii="Arial" w:cs="Arial" w:eastAsia="Arial" w:hAnsi="Arial"/>
                <w:sz w:val="16"/>
                <w:szCs w:val="16"/>
                <w:color w:val="0000FF"/>
                <w:w w:val="96"/>
              </w:rPr>
            </w:pPr>
            <w:hyperlink w:anchor="page214">
              <w:r>
                <w:rPr>
                  <w:rFonts w:ascii="Arial" w:cs="Arial" w:eastAsia="Arial" w:hAnsi="Arial"/>
                  <w:sz w:val="16"/>
                  <w:szCs w:val="16"/>
                  <w:color w:val="0000FF"/>
                  <w:w w:val="96"/>
                </w:rPr>
                <w:t>Section 1350, as adopted Pursuant to Section 906 of the Sarbanes-</w:t>
              </w:r>
            </w:hyperlink>
          </w:p>
        </w:tc>
        <w:tc>
          <w:tcPr>
            <w:tcW w:w="1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280" w:type="dxa"/>
            <w:vAlign w:val="bottom"/>
            <w:tcBorders>
              <w:top w:val="single" w:sz="8" w:color="0000FF"/>
            </w:tcBorders>
            <w:gridSpan w:val="19"/>
            <w:shd w:val="clear" w:color="auto" w:fill="CCEEFF"/>
          </w:tcPr>
          <w:p>
            <w:pPr>
              <w:spacing w:after="0" w:line="152" w:lineRule="exact"/>
              <w:rPr>
                <w:rFonts w:ascii="Arial" w:cs="Arial" w:eastAsia="Arial" w:hAnsi="Arial"/>
                <w:sz w:val="16"/>
                <w:szCs w:val="16"/>
                <w:color w:val="0000FF"/>
              </w:rPr>
            </w:pPr>
            <w:hyperlink w:anchor="page214">
              <w:r>
                <w:rPr>
                  <w:rFonts w:ascii="Arial" w:cs="Arial" w:eastAsia="Arial" w:hAnsi="Arial"/>
                  <w:sz w:val="16"/>
                  <w:szCs w:val="16"/>
                  <w:color w:val="0000FF"/>
                </w:rPr>
                <w:t>Oxley Act of 2002.</w:t>
              </w:r>
            </w:hyperlink>
          </w:p>
        </w:tc>
        <w:tc>
          <w:tcPr>
            <w:tcW w:w="360" w:type="dxa"/>
            <w:vAlign w:val="bottom"/>
            <w:tcBorders>
              <w:top w:val="single" w:sz="8" w:color="CCEEFF"/>
            </w:tcBorders>
            <w:gridSpan w:val="3"/>
            <w:shd w:val="clear" w:color="auto" w:fill="CCEEFF"/>
          </w:tcPr>
          <w:p>
            <w:pPr>
              <w:spacing w:after="0"/>
              <w:rPr>
                <w:sz w:val="16"/>
                <w:szCs w:val="16"/>
                <w:color w:val="auto"/>
              </w:rPr>
            </w:pPr>
          </w:p>
        </w:tc>
        <w:tc>
          <w:tcPr>
            <w:tcW w:w="18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3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96"/>
              </w:rPr>
              <w:t>32.2**</w:t>
            </w:r>
          </w:p>
        </w:tc>
        <w:tc>
          <w:tcPr>
            <w:tcW w:w="4640" w:type="dxa"/>
            <w:vAlign w:val="bottom"/>
            <w:gridSpan w:val="22"/>
            <w:shd w:val="clear" w:color="auto" w:fill="CCEEFF"/>
          </w:tcPr>
          <w:p>
            <w:pPr>
              <w:spacing w:after="0" w:line="172" w:lineRule="exact"/>
              <w:rPr>
                <w:rFonts w:ascii="Arial" w:cs="Arial" w:eastAsia="Arial" w:hAnsi="Arial"/>
                <w:sz w:val="16"/>
                <w:szCs w:val="16"/>
                <w:color w:val="0000FF"/>
              </w:rPr>
            </w:pPr>
            <w:hyperlink w:anchor="page215">
              <w:r>
                <w:rPr>
                  <w:rFonts w:ascii="Arial" w:cs="Arial" w:eastAsia="Arial" w:hAnsi="Arial"/>
                  <w:sz w:val="16"/>
                  <w:szCs w:val="16"/>
                  <w:color w:val="0000FF"/>
                </w:rPr>
                <w:t>Certification of Principal Financial Officer Pursuant to 18 U.S.C.</w:t>
              </w:r>
            </w:hyperlink>
          </w:p>
        </w:tc>
        <w:tc>
          <w:tcPr>
            <w:tcW w:w="1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380" w:type="dxa"/>
            <w:vAlign w:val="bottom"/>
            <w:shd w:val="clear" w:color="auto" w:fill="CCEEFF"/>
          </w:tcPr>
          <w:p>
            <w:pPr>
              <w:ind w:left="2680"/>
              <w:spacing w:after="0" w:line="172" w:lineRule="exact"/>
              <w:rPr>
                <w:sz w:val="20"/>
                <w:szCs w:val="20"/>
                <w:color w:val="auto"/>
              </w:rPr>
            </w:pPr>
            <w:r>
              <w:rPr>
                <w:rFonts w:ascii="Arial" w:cs="Arial" w:eastAsia="Arial" w:hAnsi="Arial"/>
                <w:sz w:val="16"/>
                <w:szCs w:val="16"/>
                <w:color w:val="auto"/>
              </w:rPr>
              <w:t>X</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4180" w:type="dxa"/>
            <w:vAlign w:val="bottom"/>
            <w:tcBorders>
              <w:top w:val="single" w:sz="8" w:color="0000FF"/>
            </w:tcBorders>
            <w:gridSpan w:val="14"/>
            <w:shd w:val="clear" w:color="auto" w:fill="CCEEFF"/>
          </w:tcPr>
          <w:p>
            <w:pPr>
              <w:spacing w:after="0" w:line="152" w:lineRule="exact"/>
              <w:rPr>
                <w:rFonts w:ascii="Arial" w:cs="Arial" w:eastAsia="Arial" w:hAnsi="Arial"/>
                <w:sz w:val="16"/>
                <w:szCs w:val="16"/>
                <w:color w:val="0000FF"/>
                <w:w w:val="87"/>
              </w:rPr>
            </w:pPr>
            <w:hyperlink w:anchor="page215">
              <w:r>
                <w:rPr>
                  <w:rFonts w:ascii="Arial" w:cs="Arial" w:eastAsia="Arial" w:hAnsi="Arial"/>
                  <w:sz w:val="16"/>
                  <w:szCs w:val="16"/>
                  <w:color w:val="0000FF"/>
                  <w:w w:val="87"/>
                </w:rPr>
                <w:t>Section 1350, as adopted Pursuant to Section 906 of the Sarbanes</w:t>
              </w:r>
            </w:hyperlink>
          </w:p>
        </w:tc>
        <w:tc>
          <w:tcPr>
            <w:tcW w:w="460" w:type="dxa"/>
            <w:vAlign w:val="bottom"/>
            <w:tcBorders>
              <w:top w:val="single" w:sz="8" w:color="CCEEFF"/>
            </w:tcBorders>
            <w:gridSpan w:val="8"/>
            <w:shd w:val="clear" w:color="auto" w:fill="CCEEFF"/>
          </w:tcPr>
          <w:p>
            <w:pPr>
              <w:jc w:val="right"/>
              <w:ind w:right="420"/>
              <w:spacing w:after="0"/>
              <w:rPr>
                <w:rFonts w:ascii="Arial" w:cs="Arial" w:eastAsia="Arial" w:hAnsi="Arial"/>
                <w:sz w:val="8"/>
                <w:szCs w:val="8"/>
                <w:color w:val="0000FF"/>
                <w:w w:val="73"/>
              </w:rPr>
            </w:pPr>
            <w:hyperlink w:anchor="page215">
              <w:r>
                <w:rPr>
                  <w:rFonts w:ascii="Arial" w:cs="Arial" w:eastAsia="Arial" w:hAnsi="Arial"/>
                  <w:sz w:val="8"/>
                  <w:szCs w:val="8"/>
                  <w:color w:val="0000FF"/>
                  <w:w w:val="73"/>
                </w:rPr>
                <w:t>-</w:t>
              </w:r>
            </w:hyperlink>
          </w:p>
        </w:tc>
        <w:tc>
          <w:tcPr>
            <w:tcW w:w="18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380" w:type="dxa"/>
            <w:vAlign w:val="bottom"/>
            <w:tcBorders>
              <w:top w:val="single" w:sz="8" w:color="CCEEFF"/>
            </w:tcBorders>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280" w:type="dxa"/>
            <w:vAlign w:val="bottom"/>
            <w:tcBorders>
              <w:top w:val="single" w:sz="8" w:color="0000FF"/>
            </w:tcBorders>
            <w:gridSpan w:val="19"/>
            <w:shd w:val="clear" w:color="auto" w:fill="CCEEFF"/>
          </w:tcPr>
          <w:p>
            <w:pPr>
              <w:spacing w:after="0" w:line="152" w:lineRule="exact"/>
              <w:rPr>
                <w:rFonts w:ascii="Arial" w:cs="Arial" w:eastAsia="Arial" w:hAnsi="Arial"/>
                <w:sz w:val="16"/>
                <w:szCs w:val="16"/>
                <w:color w:val="0000FF"/>
              </w:rPr>
            </w:pPr>
            <w:hyperlink w:anchor="page215">
              <w:r>
                <w:rPr>
                  <w:rFonts w:ascii="Arial" w:cs="Arial" w:eastAsia="Arial" w:hAnsi="Arial"/>
                  <w:sz w:val="16"/>
                  <w:szCs w:val="16"/>
                  <w:color w:val="0000FF"/>
                </w:rPr>
                <w:t>Oxley Act of 2002.</w:t>
              </w:r>
            </w:hyperlink>
          </w:p>
        </w:tc>
        <w:tc>
          <w:tcPr>
            <w:tcW w:w="360" w:type="dxa"/>
            <w:vAlign w:val="bottom"/>
            <w:tcBorders>
              <w:top w:val="single" w:sz="8" w:color="CCEEFF"/>
            </w:tcBorders>
            <w:gridSpan w:val="3"/>
            <w:shd w:val="clear" w:color="auto" w:fill="CCEEFF"/>
          </w:tcPr>
          <w:p>
            <w:pPr>
              <w:spacing w:after="0"/>
              <w:rPr>
                <w:sz w:val="16"/>
                <w:szCs w:val="16"/>
                <w:color w:val="auto"/>
              </w:rPr>
            </w:pPr>
          </w:p>
        </w:tc>
        <w:tc>
          <w:tcPr>
            <w:tcW w:w="18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380" w:type="dxa"/>
            <w:vAlign w:val="bottom"/>
            <w:tcBorders>
              <w:top w:val="single" w:sz="8" w:color="CCEEFF"/>
            </w:tcBorders>
          </w:tcPr>
          <w:p>
            <w:pPr>
              <w:spacing w:after="0"/>
              <w:rPr>
                <w:sz w:val="4"/>
                <w:szCs w:val="4"/>
                <w:color w:val="auto"/>
              </w:rPr>
            </w:pPr>
          </w:p>
        </w:tc>
      </w:tr>
      <w:tr>
        <w:trPr>
          <w:trHeight w:val="225"/>
        </w:trPr>
        <w:tc>
          <w:tcPr>
            <w:tcW w:w="112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3"/>
              </w:rPr>
              <w:t>101.INS</w:t>
            </w:r>
          </w:p>
        </w:tc>
        <w:tc>
          <w:tcPr>
            <w:tcW w:w="4640" w:type="dxa"/>
            <w:vAlign w:val="bottom"/>
            <w:gridSpan w:val="22"/>
            <w:shd w:val="clear" w:color="auto" w:fill="CCEEFF"/>
          </w:tcPr>
          <w:p>
            <w:pPr>
              <w:spacing w:after="0"/>
              <w:rPr>
                <w:sz w:val="20"/>
                <w:szCs w:val="20"/>
                <w:color w:val="auto"/>
              </w:rPr>
            </w:pPr>
            <w:r>
              <w:rPr>
                <w:rFonts w:ascii="Arial" w:cs="Arial" w:eastAsia="Arial" w:hAnsi="Arial"/>
                <w:sz w:val="16"/>
                <w:szCs w:val="16"/>
                <w:color w:val="auto"/>
              </w:rPr>
              <w:t>XBRL Instance Document</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380" w:type="dxa"/>
            <w:vAlign w:val="bottom"/>
            <w:shd w:val="clear" w:color="auto" w:fill="CCEEFF"/>
          </w:tcPr>
          <w:p>
            <w:pPr>
              <w:ind w:left="2680"/>
              <w:spacing w:after="0"/>
              <w:rPr>
                <w:sz w:val="20"/>
                <w:szCs w:val="20"/>
                <w:color w:val="auto"/>
              </w:rPr>
            </w:pPr>
            <w:r>
              <w:rPr>
                <w:rFonts w:ascii="Arial" w:cs="Arial" w:eastAsia="Arial" w:hAnsi="Arial"/>
                <w:sz w:val="16"/>
                <w:szCs w:val="16"/>
                <w:color w:val="auto"/>
              </w:rPr>
              <w:t>X</w:t>
            </w:r>
          </w:p>
        </w:tc>
      </w:tr>
      <w:tr>
        <w:trPr>
          <w:trHeight w:val="53"/>
        </w:trPr>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380" w:type="dxa"/>
            <w:vAlign w:val="bottom"/>
          </w:tcPr>
          <w:p>
            <w:pPr>
              <w:spacing w:after="0"/>
              <w:rPr>
                <w:sz w:val="4"/>
                <w:szCs w:val="4"/>
                <w:color w:val="auto"/>
              </w:rPr>
            </w:pPr>
          </w:p>
        </w:tc>
      </w:tr>
      <w:tr>
        <w:trPr>
          <w:trHeight w:val="225"/>
        </w:trPr>
        <w:tc>
          <w:tcPr>
            <w:tcW w:w="112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3"/>
              </w:rPr>
              <w:t>101.CAL</w:t>
            </w:r>
          </w:p>
        </w:tc>
        <w:tc>
          <w:tcPr>
            <w:tcW w:w="4640" w:type="dxa"/>
            <w:vAlign w:val="bottom"/>
            <w:gridSpan w:val="22"/>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380" w:type="dxa"/>
            <w:vAlign w:val="bottom"/>
            <w:shd w:val="clear" w:color="auto" w:fill="CCEEFF"/>
          </w:tcPr>
          <w:p>
            <w:pPr>
              <w:ind w:left="2680"/>
              <w:spacing w:after="0"/>
              <w:rPr>
                <w:sz w:val="20"/>
                <w:szCs w:val="20"/>
                <w:color w:val="auto"/>
              </w:rPr>
            </w:pPr>
            <w:r>
              <w:rPr>
                <w:rFonts w:ascii="Arial" w:cs="Arial" w:eastAsia="Arial" w:hAnsi="Arial"/>
                <w:sz w:val="16"/>
                <w:szCs w:val="16"/>
                <w:color w:val="auto"/>
              </w:rPr>
              <w:t>X</w:t>
            </w:r>
          </w:p>
        </w:tc>
      </w:tr>
      <w:tr>
        <w:trPr>
          <w:trHeight w:val="53"/>
        </w:trPr>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380" w:type="dxa"/>
            <w:vAlign w:val="bottom"/>
          </w:tcPr>
          <w:p>
            <w:pPr>
              <w:spacing w:after="0"/>
              <w:rPr>
                <w:sz w:val="4"/>
                <w:szCs w:val="4"/>
                <w:color w:val="auto"/>
              </w:rPr>
            </w:pPr>
          </w:p>
        </w:tc>
      </w:tr>
      <w:tr>
        <w:trPr>
          <w:trHeight w:val="225"/>
        </w:trPr>
        <w:tc>
          <w:tcPr>
            <w:tcW w:w="112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89"/>
              </w:rPr>
              <w:t>101.SCH</w:t>
            </w:r>
          </w:p>
        </w:tc>
        <w:tc>
          <w:tcPr>
            <w:tcW w:w="4640" w:type="dxa"/>
            <w:vAlign w:val="bottom"/>
            <w:gridSpan w:val="22"/>
            <w:shd w:val="clear" w:color="auto" w:fill="CCEEFF"/>
          </w:tcPr>
          <w:p>
            <w:pPr>
              <w:spacing w:after="0"/>
              <w:rPr>
                <w:sz w:val="20"/>
                <w:szCs w:val="20"/>
                <w:color w:val="auto"/>
              </w:rPr>
            </w:pPr>
            <w:r>
              <w:rPr>
                <w:rFonts w:ascii="Arial" w:cs="Arial" w:eastAsia="Arial" w:hAnsi="Arial"/>
                <w:sz w:val="16"/>
                <w:szCs w:val="16"/>
                <w:color w:val="auto"/>
              </w:rPr>
              <w:t>XBRL Taxonomy Extension Schema Document</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380" w:type="dxa"/>
            <w:vAlign w:val="bottom"/>
            <w:shd w:val="clear" w:color="auto" w:fill="CCEEFF"/>
          </w:tcPr>
          <w:p>
            <w:pPr>
              <w:ind w:left="2680"/>
              <w:spacing w:after="0"/>
              <w:rPr>
                <w:sz w:val="20"/>
                <w:szCs w:val="20"/>
                <w:color w:val="auto"/>
              </w:rPr>
            </w:pPr>
            <w:r>
              <w:rPr>
                <w:rFonts w:ascii="Arial" w:cs="Arial" w:eastAsia="Arial" w:hAnsi="Arial"/>
                <w:sz w:val="16"/>
                <w:szCs w:val="16"/>
                <w:color w:val="auto"/>
              </w:rPr>
              <w:t>X</w:t>
            </w:r>
          </w:p>
        </w:tc>
      </w:tr>
      <w:tr>
        <w:trPr>
          <w:trHeight w:val="53"/>
        </w:trPr>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380" w:type="dxa"/>
            <w:vAlign w:val="bottom"/>
          </w:tcPr>
          <w:p>
            <w:pPr>
              <w:spacing w:after="0"/>
              <w:rPr>
                <w:sz w:val="4"/>
                <w:szCs w:val="4"/>
                <w:color w:val="auto"/>
              </w:rPr>
            </w:pPr>
          </w:p>
        </w:tc>
      </w:tr>
      <w:tr>
        <w:trPr>
          <w:trHeight w:val="225"/>
        </w:trPr>
        <w:tc>
          <w:tcPr>
            <w:tcW w:w="112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1"/>
              </w:rPr>
              <w:t>101.DEF</w:t>
            </w:r>
          </w:p>
        </w:tc>
        <w:tc>
          <w:tcPr>
            <w:tcW w:w="4640" w:type="dxa"/>
            <w:vAlign w:val="bottom"/>
            <w:gridSpan w:val="22"/>
            <w:shd w:val="clear" w:color="auto" w:fill="CCEEFF"/>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380" w:type="dxa"/>
            <w:vAlign w:val="bottom"/>
            <w:shd w:val="clear" w:color="auto" w:fill="CCEEFF"/>
          </w:tcPr>
          <w:p>
            <w:pPr>
              <w:ind w:left="2680"/>
              <w:spacing w:after="0"/>
              <w:rPr>
                <w:sz w:val="20"/>
                <w:szCs w:val="20"/>
                <w:color w:val="auto"/>
              </w:rPr>
            </w:pPr>
            <w:r>
              <w:rPr>
                <w:rFonts w:ascii="Arial" w:cs="Arial" w:eastAsia="Arial" w:hAnsi="Arial"/>
                <w:sz w:val="16"/>
                <w:szCs w:val="16"/>
                <w:color w:val="auto"/>
              </w:rPr>
              <w:t>X</w:t>
            </w:r>
          </w:p>
        </w:tc>
      </w:tr>
      <w:tr>
        <w:trPr>
          <w:trHeight w:val="53"/>
        </w:trPr>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380" w:type="dxa"/>
            <w:vAlign w:val="bottom"/>
          </w:tcPr>
          <w:p>
            <w:pPr>
              <w:spacing w:after="0"/>
              <w:rPr>
                <w:sz w:val="4"/>
                <w:szCs w:val="4"/>
                <w:color w:val="auto"/>
              </w:rPr>
            </w:pPr>
          </w:p>
        </w:tc>
      </w:tr>
      <w:tr>
        <w:trPr>
          <w:trHeight w:val="225"/>
        </w:trPr>
        <w:tc>
          <w:tcPr>
            <w:tcW w:w="112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4"/>
              </w:rPr>
              <w:t>101.LAB</w:t>
            </w:r>
          </w:p>
        </w:tc>
        <w:tc>
          <w:tcPr>
            <w:tcW w:w="4640" w:type="dxa"/>
            <w:vAlign w:val="bottom"/>
            <w:gridSpan w:val="22"/>
            <w:shd w:val="clear" w:color="auto" w:fill="CCEEFF"/>
          </w:tcPr>
          <w:p>
            <w:pPr>
              <w:spacing w:after="0"/>
              <w:rPr>
                <w:sz w:val="20"/>
                <w:szCs w:val="20"/>
                <w:color w:val="auto"/>
              </w:rPr>
            </w:pPr>
            <w:r>
              <w:rPr>
                <w:rFonts w:ascii="Arial" w:cs="Arial" w:eastAsia="Arial" w:hAnsi="Arial"/>
                <w:sz w:val="16"/>
                <w:szCs w:val="16"/>
                <w:color w:val="auto"/>
              </w:rPr>
              <w:t>XBRL Taxonomy Extension Labels Linkbase Document</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380" w:type="dxa"/>
            <w:vAlign w:val="bottom"/>
            <w:shd w:val="clear" w:color="auto" w:fill="CCEEFF"/>
          </w:tcPr>
          <w:p>
            <w:pPr>
              <w:ind w:left="2680"/>
              <w:spacing w:after="0"/>
              <w:rPr>
                <w:sz w:val="20"/>
                <w:szCs w:val="20"/>
                <w:color w:val="auto"/>
              </w:rPr>
            </w:pPr>
            <w:r>
              <w:rPr>
                <w:rFonts w:ascii="Arial" w:cs="Arial" w:eastAsia="Arial" w:hAnsi="Arial"/>
                <w:sz w:val="16"/>
                <w:szCs w:val="16"/>
                <w:color w:val="auto"/>
              </w:rPr>
              <w:t>X</w:t>
            </w:r>
          </w:p>
        </w:tc>
      </w:tr>
      <w:tr>
        <w:trPr>
          <w:trHeight w:val="53"/>
        </w:trPr>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380" w:type="dxa"/>
            <w:vAlign w:val="bottom"/>
          </w:tcPr>
          <w:p>
            <w:pPr>
              <w:spacing w:after="0"/>
              <w:rPr>
                <w:sz w:val="4"/>
                <w:szCs w:val="4"/>
                <w:color w:val="auto"/>
              </w:rPr>
            </w:pPr>
          </w:p>
        </w:tc>
      </w:tr>
      <w:tr>
        <w:trPr>
          <w:trHeight w:val="225"/>
        </w:trPr>
        <w:tc>
          <w:tcPr>
            <w:tcW w:w="112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0"/>
              </w:rPr>
              <w:t>101.PRE</w:t>
            </w:r>
          </w:p>
        </w:tc>
        <w:tc>
          <w:tcPr>
            <w:tcW w:w="4640" w:type="dxa"/>
            <w:vAlign w:val="bottom"/>
            <w:gridSpan w:val="22"/>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380" w:type="dxa"/>
            <w:vAlign w:val="bottom"/>
            <w:shd w:val="clear" w:color="auto" w:fill="CCEEFF"/>
          </w:tcPr>
          <w:p>
            <w:pPr>
              <w:ind w:left="2680"/>
              <w:spacing w:after="0"/>
              <w:rPr>
                <w:sz w:val="20"/>
                <w:szCs w:val="20"/>
                <w:color w:val="auto"/>
              </w:rPr>
            </w:pPr>
            <w:r>
              <w:rPr>
                <w:rFonts w:ascii="Arial" w:cs="Arial" w:eastAsia="Arial" w:hAnsi="Arial"/>
                <w:sz w:val="16"/>
                <w:szCs w:val="16"/>
                <w:color w:val="auto"/>
              </w:rPr>
              <w:t>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82" w:name="page183"/>
    <w:bookmarkEnd w:id="182"/>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913765</wp:posOffset>
            </wp:positionV>
            <wp:extent cx="7134860" cy="3619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7134860" cy="361950"/>
                    </a:xfrm>
                    <a:prstGeom prst="rect">
                      <a:avLst/>
                    </a:prstGeom>
                    <a:noFill/>
                  </pic:spPr>
                </pic:pic>
              </a:graphicData>
            </a:graphic>
          </wp:anchor>
        </w:drawing>
      </w:r>
    </w:p>
    <w:p>
      <w:pPr>
        <w:ind w:left="1120" w:hanging="779"/>
        <w:spacing w:after="0"/>
        <w:tabs>
          <w:tab w:leader="none" w:pos="110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 with X applicable taxonomy extension information contained in Exhibits</w:t>
      </w:r>
    </w:p>
    <w:p>
      <w:pPr>
        <w:spacing w:after="0" w:line="17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101.)</w:t>
      </w:r>
    </w:p>
    <w:p>
      <w:pPr>
        <w:spacing w:after="0" w:line="197" w:lineRule="exact"/>
        <w:rPr>
          <w:sz w:val="20"/>
          <w:szCs w:val="20"/>
          <w:color w:val="auto"/>
        </w:rPr>
      </w:pPr>
    </w:p>
    <w:p>
      <w:pPr>
        <w:ind w:left="440" w:hanging="416"/>
        <w:spacing w:after="0"/>
        <w:tabs>
          <w:tab w:leader="none" w:pos="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1"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Furnished.</w:t>
      </w:r>
    </w:p>
    <w:p>
      <w:pPr>
        <w:spacing w:after="0" w:line="32" w:lineRule="exact"/>
        <w:rPr>
          <w:sz w:val="20"/>
          <w:szCs w:val="20"/>
          <w:color w:val="auto"/>
        </w:rPr>
      </w:pPr>
    </w:p>
    <w:p>
      <w:pPr>
        <w:ind w:left="440" w:right="3620" w:hanging="416"/>
        <w:spacing w:after="0" w:line="229" w:lineRule="auto"/>
        <w:tabs>
          <w:tab w:leader="none" w:pos="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17" w:lineRule="exact"/>
        <w:rPr>
          <w:sz w:val="20"/>
          <w:szCs w:val="20"/>
          <w:color w:val="auto"/>
        </w:rPr>
      </w:pPr>
    </w:p>
    <w:p>
      <w:pPr>
        <w:ind w:left="440" w:hanging="416"/>
        <w:spacing w:after="0"/>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has omitted portions of the exhibit as permitted under Regulation S-K Item 601(b)(10).</w:t>
      </w:r>
    </w:p>
    <w:p>
      <w:pPr>
        <w:spacing w:after="0" w:line="9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Item 16. Form 10-K Summary</w:t>
      </w:r>
    </w:p>
    <w:p>
      <w:pPr>
        <w:spacing w:after="0" w:line="157" w:lineRule="exact"/>
        <w:rPr>
          <w:sz w:val="20"/>
          <w:szCs w:val="20"/>
          <w:color w:val="auto"/>
        </w:rPr>
      </w:pPr>
    </w:p>
    <w:p>
      <w:pPr>
        <w:ind w:right="140" w:firstLine="318"/>
        <w:spacing w:after="0" w:line="237" w:lineRule="auto"/>
        <w:rPr>
          <w:sz w:val="20"/>
          <w:szCs w:val="20"/>
          <w:color w:val="auto"/>
        </w:rPr>
      </w:pPr>
      <w:r>
        <w:rPr>
          <w:rFonts w:ascii="Arial" w:cs="Arial" w:eastAsia="Arial" w:hAnsi="Arial"/>
          <w:sz w:val="18"/>
          <w:szCs w:val="18"/>
          <w:color w:val="auto"/>
        </w:rPr>
        <w:t>We may voluntarily include a summary of information required by Form 10-K under this Item 16. We have elected not to include such summary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60"/>
          </w:cols>
          <w:pgMar w:left="320" w:top="1440" w:right="91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40" w:type="dxa"/>
            <w:vAlign w:val="bottom"/>
          </w:tcPr>
          <w:p>
            <w:pPr>
              <w:spacing w:after="0"/>
              <w:rPr>
                <w:sz w:val="19"/>
                <w:szCs w:val="19"/>
                <w:color w:val="auto"/>
              </w:rPr>
            </w:pPr>
          </w:p>
        </w:tc>
        <w:tc>
          <w:tcPr>
            <w:tcW w:w="7780" w:type="dxa"/>
            <w:vAlign w:val="bottom"/>
            <w:gridSpan w:val="2"/>
          </w:tcPr>
          <w:p>
            <w:pPr>
              <w:ind w:left="1880"/>
              <w:spacing w:after="0"/>
              <w:rPr>
                <w:sz w:val="20"/>
                <w:szCs w:val="20"/>
                <w:color w:val="auto"/>
              </w:rPr>
            </w:pPr>
            <w:r>
              <w:rPr>
                <w:rFonts w:ascii="Arial" w:cs="Arial" w:eastAsia="Arial" w:hAnsi="Arial"/>
                <w:sz w:val="18"/>
                <w:szCs w:val="18"/>
                <w:color w:val="auto"/>
              </w:rPr>
              <w:t>SEMA4 HOLDINGS CORP.</w:t>
            </w:r>
          </w:p>
        </w:tc>
      </w:tr>
      <w:tr>
        <w:trPr>
          <w:trHeight w:val="503"/>
        </w:trPr>
        <w:tc>
          <w:tcPr>
            <w:tcW w:w="3440" w:type="dxa"/>
            <w:vAlign w:val="bottom"/>
          </w:tcPr>
          <w:p>
            <w:pPr>
              <w:spacing w:after="0"/>
              <w:rPr>
                <w:sz w:val="20"/>
                <w:szCs w:val="20"/>
                <w:color w:val="auto"/>
              </w:rPr>
            </w:pPr>
            <w:r>
              <w:rPr>
                <w:rFonts w:ascii="Arial" w:cs="Arial" w:eastAsia="Arial" w:hAnsi="Arial"/>
                <w:sz w:val="18"/>
                <w:szCs w:val="18"/>
                <w:color w:val="auto"/>
              </w:rPr>
              <w:t>Date: March 14, 2022</w:t>
            </w:r>
          </w:p>
        </w:tc>
        <w:tc>
          <w:tcPr>
            <w:tcW w:w="7780" w:type="dxa"/>
            <w:vAlign w:val="bottom"/>
            <w:gridSpan w:val="2"/>
          </w:tcPr>
          <w:p>
            <w:pPr>
              <w:ind w:left="1880"/>
              <w:spacing w:after="0"/>
              <w:rPr>
                <w:sz w:val="20"/>
                <w:szCs w:val="20"/>
                <w:color w:val="auto"/>
              </w:rPr>
            </w:pPr>
            <w:r>
              <w:rPr>
                <w:rFonts w:ascii="Arial" w:cs="Arial" w:eastAsia="Arial" w:hAnsi="Arial"/>
                <w:sz w:val="18"/>
                <w:szCs w:val="18"/>
                <w:color w:val="auto"/>
              </w:rPr>
              <w:t>By: /s/ Eric Schadt</w:t>
            </w:r>
          </w:p>
        </w:tc>
      </w:tr>
      <w:tr>
        <w:trPr>
          <w:trHeight w:val="218"/>
        </w:trPr>
        <w:tc>
          <w:tcPr>
            <w:tcW w:w="3440" w:type="dxa"/>
            <w:vAlign w:val="bottom"/>
          </w:tcPr>
          <w:p>
            <w:pPr>
              <w:spacing w:after="0"/>
              <w:rPr>
                <w:sz w:val="19"/>
                <w:szCs w:val="19"/>
                <w:color w:val="auto"/>
              </w:rPr>
            </w:pPr>
          </w:p>
        </w:tc>
        <w:tc>
          <w:tcPr>
            <w:tcW w:w="2700" w:type="dxa"/>
            <w:vAlign w:val="bottom"/>
          </w:tcPr>
          <w:p>
            <w:pPr>
              <w:ind w:left="1880"/>
              <w:spacing w:after="0"/>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Eric Schadt</w:t>
            </w:r>
          </w:p>
        </w:tc>
      </w:tr>
      <w:tr>
        <w:trPr>
          <w:trHeight w:val="174"/>
        </w:trPr>
        <w:tc>
          <w:tcPr>
            <w:tcW w:w="3440" w:type="dxa"/>
            <w:vAlign w:val="bottom"/>
          </w:tcPr>
          <w:p>
            <w:pPr>
              <w:spacing w:after="0"/>
              <w:rPr>
                <w:sz w:val="15"/>
                <w:szCs w:val="15"/>
                <w:color w:val="auto"/>
              </w:rPr>
            </w:pPr>
          </w:p>
        </w:tc>
        <w:tc>
          <w:tcPr>
            <w:tcW w:w="2700" w:type="dxa"/>
            <w:vAlign w:val="bottom"/>
          </w:tcPr>
          <w:p>
            <w:pPr>
              <w:ind w:left="1880"/>
              <w:spacing w:after="0" w:line="174" w:lineRule="exact"/>
              <w:rPr>
                <w:sz w:val="20"/>
                <w:szCs w:val="20"/>
                <w:color w:val="auto"/>
              </w:rPr>
            </w:pPr>
            <w:r>
              <w:rPr>
                <w:rFonts w:ascii="Arial" w:cs="Arial" w:eastAsia="Arial" w:hAnsi="Arial"/>
                <w:sz w:val="18"/>
                <w:szCs w:val="18"/>
                <w:color w:val="auto"/>
              </w:rPr>
              <w:t>Title:</w:t>
            </w:r>
          </w:p>
        </w:tc>
        <w:tc>
          <w:tcPr>
            <w:tcW w:w="5080" w:type="dxa"/>
            <w:vAlign w:val="bottom"/>
          </w:tcPr>
          <w:p>
            <w:pPr>
              <w:ind w:left="20"/>
              <w:spacing w:after="0" w:line="174" w:lineRule="exact"/>
              <w:rPr>
                <w:sz w:val="20"/>
                <w:szCs w:val="20"/>
                <w:color w:val="auto"/>
              </w:rPr>
            </w:pPr>
            <w:r>
              <w:rPr>
                <w:rFonts w:ascii="Arial" w:cs="Arial" w:eastAsia="Arial" w:hAnsi="Arial"/>
                <w:sz w:val="18"/>
                <w:szCs w:val="18"/>
                <w:color w:val="auto"/>
              </w:rPr>
              <w:t>Chief Executive Officer and Director</w:t>
            </w:r>
          </w:p>
        </w:tc>
      </w:tr>
      <w:tr>
        <w:trPr>
          <w:trHeight w:val="223"/>
        </w:trPr>
        <w:tc>
          <w:tcPr>
            <w:tcW w:w="34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4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Eric Schadt, Jason Ryan and Dan Clark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80" w:type="dxa"/>
            <w:vAlign w:val="bottom"/>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0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Eric Schadt</w:t>
            </w:r>
          </w:p>
        </w:tc>
        <w:tc>
          <w:tcPr>
            <w:tcW w:w="100" w:type="dxa"/>
            <w:vAlign w:val="bottom"/>
          </w:tcPr>
          <w:p>
            <w:pPr>
              <w:spacing w:after="0"/>
              <w:rPr>
                <w:sz w:val="24"/>
                <w:szCs w:val="24"/>
                <w:color w:val="auto"/>
              </w:rPr>
            </w:pPr>
          </w:p>
        </w:tc>
        <w:tc>
          <w:tcPr>
            <w:tcW w:w="40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Chief Executive Officer and 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9"/>
              </w:rPr>
              <w:t>Eric Schadt</w:t>
            </w:r>
          </w:p>
        </w:tc>
        <w:tc>
          <w:tcPr>
            <w:tcW w:w="100" w:type="dxa"/>
            <w:vAlign w:val="bottom"/>
          </w:tcPr>
          <w:p>
            <w:pPr>
              <w:spacing w:after="0"/>
              <w:rPr>
                <w:sz w:val="7"/>
                <w:szCs w:val="7"/>
                <w:color w:val="auto"/>
              </w:rPr>
            </w:pPr>
          </w:p>
        </w:tc>
        <w:tc>
          <w:tcPr>
            <w:tcW w:w="4020" w:type="dxa"/>
            <w:vAlign w:val="bottom"/>
            <w:gridSpan w:val="2"/>
            <w:vMerge w:val="restart"/>
          </w:tcPr>
          <w:p>
            <w:pPr>
              <w:jc w:val="center"/>
              <w:ind w:right="120"/>
              <w:spacing w:after="0" w:line="205" w:lineRule="exact"/>
              <w:rPr>
                <w:sz w:val="20"/>
                <w:szCs w:val="20"/>
                <w:color w:val="auto"/>
              </w:rPr>
            </w:pPr>
            <w:r>
              <w:rPr>
                <w:rFonts w:ascii="Arial" w:cs="Arial" w:eastAsia="Arial" w:hAnsi="Arial"/>
                <w:sz w:val="18"/>
                <w:szCs w:val="18"/>
                <w:color w:val="auto"/>
                <w:w w:val="92"/>
              </w:rPr>
              <w:t>(Principal Executive Officer)</w:t>
            </w: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20" w:type="dxa"/>
            <w:vAlign w:val="bottom"/>
            <w:gridSpan w:val="2"/>
            <w:vMerge w:val="continue"/>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Isaac Ro</w:t>
            </w:r>
          </w:p>
        </w:tc>
        <w:tc>
          <w:tcPr>
            <w:tcW w:w="100" w:type="dxa"/>
            <w:vAlign w:val="bottom"/>
          </w:tcPr>
          <w:p>
            <w:pPr>
              <w:spacing w:after="0"/>
              <w:rPr>
                <w:sz w:val="24"/>
                <w:szCs w:val="24"/>
                <w:color w:val="auto"/>
              </w:rPr>
            </w:pPr>
          </w:p>
        </w:tc>
        <w:tc>
          <w:tcPr>
            <w:tcW w:w="4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Financial Officer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7"/>
              </w:rPr>
              <w:t>Isaac Ro</w:t>
            </w:r>
          </w:p>
        </w:tc>
        <w:tc>
          <w:tcPr>
            <w:tcW w:w="100" w:type="dxa"/>
            <w:vAlign w:val="bottom"/>
          </w:tcPr>
          <w:p>
            <w:pPr>
              <w:spacing w:after="0"/>
              <w:rPr>
                <w:sz w:val="7"/>
                <w:szCs w:val="7"/>
                <w:color w:val="auto"/>
              </w:rPr>
            </w:pPr>
          </w:p>
        </w:tc>
        <w:tc>
          <w:tcPr>
            <w:tcW w:w="4020" w:type="dxa"/>
            <w:vAlign w:val="bottom"/>
            <w:gridSpan w:val="2"/>
            <w:vMerge w:val="restart"/>
          </w:tcPr>
          <w:p>
            <w:pPr>
              <w:jc w:val="center"/>
              <w:ind w:right="100"/>
              <w:spacing w:after="0" w:line="205" w:lineRule="exact"/>
              <w:rPr>
                <w:sz w:val="20"/>
                <w:szCs w:val="20"/>
                <w:color w:val="auto"/>
              </w:rPr>
            </w:pPr>
            <w:r>
              <w:rPr>
                <w:rFonts w:ascii="Arial" w:cs="Arial" w:eastAsia="Arial" w:hAnsi="Arial"/>
                <w:sz w:val="18"/>
                <w:szCs w:val="18"/>
                <w:color w:val="auto"/>
                <w:w w:val="92"/>
              </w:rPr>
              <w:t>(Principal Financial Officer)</w:t>
            </w: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20" w:type="dxa"/>
            <w:vAlign w:val="bottom"/>
            <w:gridSpan w:val="2"/>
            <w:vMerge w:val="continue"/>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Shawn Assad</w:t>
            </w:r>
          </w:p>
        </w:tc>
        <w:tc>
          <w:tcPr>
            <w:tcW w:w="100" w:type="dxa"/>
            <w:vAlign w:val="bottom"/>
          </w:tcPr>
          <w:p>
            <w:pPr>
              <w:spacing w:after="0"/>
              <w:rPr>
                <w:sz w:val="24"/>
                <w:szCs w:val="24"/>
                <w:color w:val="auto"/>
              </w:rPr>
            </w:pPr>
          </w:p>
        </w:tc>
        <w:tc>
          <w:tcPr>
            <w:tcW w:w="40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Chief Accounting Officer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7"/>
              </w:rPr>
              <w:t>Shawn Assad</w:t>
            </w:r>
          </w:p>
        </w:tc>
        <w:tc>
          <w:tcPr>
            <w:tcW w:w="100" w:type="dxa"/>
            <w:vAlign w:val="bottom"/>
          </w:tcPr>
          <w:p>
            <w:pPr>
              <w:spacing w:after="0"/>
              <w:rPr>
                <w:sz w:val="7"/>
                <w:szCs w:val="7"/>
                <w:color w:val="auto"/>
              </w:rPr>
            </w:pPr>
          </w:p>
        </w:tc>
        <w:tc>
          <w:tcPr>
            <w:tcW w:w="4020" w:type="dxa"/>
            <w:vAlign w:val="bottom"/>
            <w:gridSpan w:val="2"/>
            <w:vMerge w:val="restart"/>
          </w:tcPr>
          <w:p>
            <w:pPr>
              <w:jc w:val="center"/>
              <w:ind w:right="80"/>
              <w:spacing w:after="0" w:line="205" w:lineRule="exact"/>
              <w:rPr>
                <w:sz w:val="20"/>
                <w:szCs w:val="20"/>
                <w:color w:val="auto"/>
              </w:rPr>
            </w:pPr>
            <w:r>
              <w:rPr>
                <w:rFonts w:ascii="Arial" w:cs="Arial" w:eastAsia="Arial" w:hAnsi="Arial"/>
                <w:sz w:val="18"/>
                <w:szCs w:val="18"/>
                <w:color w:val="auto"/>
                <w:w w:val="93"/>
              </w:rPr>
              <w:t>(Principal Accounting Officer)</w:t>
            </w: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20" w:type="dxa"/>
            <w:vAlign w:val="bottom"/>
            <w:gridSpan w:val="2"/>
            <w:vMerge w:val="continue"/>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Jason Ryan</w:t>
            </w:r>
          </w:p>
        </w:tc>
        <w:tc>
          <w:tcPr>
            <w:tcW w:w="10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0"/>
              </w:rPr>
              <w:t>Executive Chairman and 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4"/>
              </w:rPr>
              <w:t>Jason Ryan</w:t>
            </w:r>
          </w:p>
        </w:tc>
        <w:tc>
          <w:tcPr>
            <w:tcW w:w="10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Eli D. Casdin</w:t>
            </w:r>
          </w:p>
        </w:tc>
        <w:tc>
          <w:tcPr>
            <w:tcW w:w="10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1"/>
              </w:rPr>
              <w:t>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92"/>
              </w:rPr>
              <w:t>Eli D. Casdin</w:t>
            </w:r>
          </w:p>
        </w:tc>
        <w:tc>
          <w:tcPr>
            <w:tcW w:w="10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Dennis Charney</w:t>
            </w:r>
          </w:p>
        </w:tc>
        <w:tc>
          <w:tcPr>
            <w:tcW w:w="10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1"/>
              </w:rPr>
              <w:t>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8"/>
              </w:rPr>
              <w:t>Dennis Charney</w:t>
            </w:r>
          </w:p>
        </w:tc>
        <w:tc>
          <w:tcPr>
            <w:tcW w:w="10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Emily Leproust</w:t>
            </w:r>
          </w:p>
        </w:tc>
        <w:tc>
          <w:tcPr>
            <w:tcW w:w="10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1"/>
              </w:rPr>
              <w:t>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92"/>
              </w:rPr>
              <w:t>Emily Leproust</w:t>
            </w:r>
          </w:p>
        </w:tc>
        <w:tc>
          <w:tcPr>
            <w:tcW w:w="10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Keith Meister</w:t>
            </w:r>
          </w:p>
        </w:tc>
        <w:tc>
          <w:tcPr>
            <w:tcW w:w="10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1"/>
              </w:rPr>
              <w:t>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93"/>
              </w:rPr>
              <w:t>Keith Meister</w:t>
            </w:r>
          </w:p>
        </w:tc>
        <w:tc>
          <w:tcPr>
            <w:tcW w:w="10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Pellini</w:t>
            </w:r>
          </w:p>
        </w:tc>
        <w:tc>
          <w:tcPr>
            <w:tcW w:w="10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1"/>
              </w:rPr>
              <w:t>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99"/>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93"/>
              </w:rPr>
              <w:t>Michael Pellini</w:t>
            </w:r>
          </w:p>
        </w:tc>
        <w:tc>
          <w:tcPr>
            <w:tcW w:w="100" w:type="dxa"/>
            <w:vAlign w:val="bottom"/>
          </w:tcPr>
          <w:p>
            <w:pPr>
              <w:spacing w:after="0"/>
              <w:rPr>
                <w:sz w:val="8"/>
                <w:szCs w:val="8"/>
                <w:color w:val="auto"/>
              </w:rPr>
            </w:pPr>
          </w:p>
        </w:tc>
        <w:tc>
          <w:tcPr>
            <w:tcW w:w="4020" w:type="dxa"/>
            <w:vAlign w:val="bottom"/>
            <w:gridSpan w:val="2"/>
            <w:vMerge w:val="continue"/>
          </w:tcPr>
          <w:p>
            <w:pPr>
              <w:spacing w:after="0"/>
              <w:rPr>
                <w:sz w:val="8"/>
                <w:szCs w:val="8"/>
                <w:color w:val="auto"/>
              </w:rPr>
            </w:pPr>
          </w:p>
        </w:tc>
        <w:tc>
          <w:tcPr>
            <w:tcW w:w="2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84" w:name="page185"/>
    <w:bookmarkEnd w:id="184"/>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Joshua Ruch</w:t>
            </w:r>
          </w:p>
        </w:tc>
        <w:tc>
          <w:tcPr>
            <w:tcW w:w="3660" w:type="dxa"/>
            <w:vAlign w:val="bottom"/>
            <w:vMerge w:val="restart"/>
          </w:tcPr>
          <w:p>
            <w:pPr>
              <w:ind w:left="1780"/>
              <w:spacing w:after="0"/>
              <w:rPr>
                <w:sz w:val="20"/>
                <w:szCs w:val="20"/>
                <w:color w:val="auto"/>
              </w:rPr>
            </w:pPr>
            <w:r>
              <w:rPr>
                <w:rFonts w:ascii="Arial" w:cs="Arial" w:eastAsia="Arial" w:hAnsi="Arial"/>
                <w:sz w:val="18"/>
                <w:szCs w:val="18"/>
                <w:color w:val="auto"/>
              </w:rPr>
              <w:t>Director</w:t>
            </w:r>
          </w:p>
        </w:tc>
        <w:tc>
          <w:tcPr>
            <w:tcW w:w="2420" w:type="dxa"/>
            <w:vAlign w:val="bottom"/>
            <w:vMerge w:val="restart"/>
          </w:tcPr>
          <w:p>
            <w:pPr>
              <w:ind w:left="1300"/>
              <w:spacing w:after="0"/>
              <w:rPr>
                <w:sz w:val="20"/>
                <w:szCs w:val="20"/>
                <w:color w:val="auto"/>
              </w:rPr>
            </w:pPr>
            <w:r>
              <w:rPr>
                <w:rFonts w:ascii="Arial" w:cs="Arial" w:eastAsia="Arial" w:hAnsi="Arial"/>
                <w:sz w:val="18"/>
                <w:szCs w:val="18"/>
                <w:color w:val="auto"/>
                <w:w w:val="87"/>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5"/>
              </w:rPr>
              <w:t>Joshua Ruch</w:t>
            </w:r>
          </w:p>
        </w:tc>
        <w:tc>
          <w:tcPr>
            <w:tcW w:w="3660" w:type="dxa"/>
            <w:vAlign w:val="bottom"/>
            <w:vMerge w:val="continue"/>
          </w:tcPr>
          <w:p>
            <w:pPr>
              <w:spacing w:after="0"/>
              <w:rPr>
                <w:sz w:val="7"/>
                <w:szCs w:val="7"/>
                <w:color w:val="auto"/>
              </w:rPr>
            </w:pP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36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Rachel Sherman</w:t>
            </w:r>
          </w:p>
        </w:tc>
        <w:tc>
          <w:tcPr>
            <w:tcW w:w="3660" w:type="dxa"/>
            <w:vAlign w:val="bottom"/>
            <w:vMerge w:val="restart"/>
          </w:tcPr>
          <w:p>
            <w:pPr>
              <w:ind w:left="1780"/>
              <w:spacing w:after="0"/>
              <w:rPr>
                <w:sz w:val="20"/>
                <w:szCs w:val="20"/>
                <w:color w:val="auto"/>
              </w:rPr>
            </w:pPr>
            <w:r>
              <w:rPr>
                <w:rFonts w:ascii="Arial" w:cs="Arial" w:eastAsia="Arial" w:hAnsi="Arial"/>
                <w:sz w:val="18"/>
                <w:szCs w:val="18"/>
                <w:color w:val="auto"/>
              </w:rPr>
              <w:t>Director</w:t>
            </w:r>
          </w:p>
        </w:tc>
        <w:tc>
          <w:tcPr>
            <w:tcW w:w="2420" w:type="dxa"/>
            <w:vAlign w:val="bottom"/>
            <w:vMerge w:val="restart"/>
          </w:tcPr>
          <w:p>
            <w:pPr>
              <w:ind w:left="1300"/>
              <w:spacing w:after="0"/>
              <w:rPr>
                <w:sz w:val="20"/>
                <w:szCs w:val="20"/>
                <w:color w:val="auto"/>
              </w:rPr>
            </w:pPr>
            <w:r>
              <w:rPr>
                <w:rFonts w:ascii="Arial" w:cs="Arial" w:eastAsia="Arial" w:hAnsi="Arial"/>
                <w:sz w:val="18"/>
                <w:szCs w:val="18"/>
                <w:color w:val="auto"/>
                <w:w w:val="87"/>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6"/>
              </w:rPr>
              <w:t>Rachel Sherman</w:t>
            </w:r>
          </w:p>
        </w:tc>
        <w:tc>
          <w:tcPr>
            <w:tcW w:w="3660" w:type="dxa"/>
            <w:vAlign w:val="bottom"/>
            <w:vMerge w:val="continue"/>
          </w:tcPr>
          <w:p>
            <w:pPr>
              <w:spacing w:after="0"/>
              <w:rPr>
                <w:sz w:val="7"/>
                <w:szCs w:val="7"/>
                <w:color w:val="auto"/>
              </w:rPr>
            </w:pP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36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Nat Turner</w:t>
            </w:r>
          </w:p>
        </w:tc>
        <w:tc>
          <w:tcPr>
            <w:tcW w:w="3660" w:type="dxa"/>
            <w:vAlign w:val="bottom"/>
            <w:vMerge w:val="restart"/>
          </w:tcPr>
          <w:p>
            <w:pPr>
              <w:ind w:left="1780"/>
              <w:spacing w:after="0"/>
              <w:rPr>
                <w:sz w:val="20"/>
                <w:szCs w:val="20"/>
                <w:color w:val="auto"/>
              </w:rPr>
            </w:pPr>
            <w:r>
              <w:rPr>
                <w:rFonts w:ascii="Arial" w:cs="Arial" w:eastAsia="Arial" w:hAnsi="Arial"/>
                <w:sz w:val="18"/>
                <w:szCs w:val="18"/>
                <w:color w:val="auto"/>
              </w:rPr>
              <w:t>Director</w:t>
            </w:r>
          </w:p>
        </w:tc>
        <w:tc>
          <w:tcPr>
            <w:tcW w:w="2420" w:type="dxa"/>
            <w:vAlign w:val="bottom"/>
            <w:vMerge w:val="restart"/>
          </w:tcPr>
          <w:p>
            <w:pPr>
              <w:ind w:left="1300"/>
              <w:spacing w:after="0"/>
              <w:rPr>
                <w:sz w:val="20"/>
                <w:szCs w:val="20"/>
                <w:color w:val="auto"/>
              </w:rPr>
            </w:pPr>
            <w:r>
              <w:rPr>
                <w:rFonts w:ascii="Arial" w:cs="Arial" w:eastAsia="Arial" w:hAnsi="Arial"/>
                <w:sz w:val="18"/>
                <w:szCs w:val="18"/>
                <w:color w:val="auto"/>
                <w:w w:val="87"/>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90"/>
              </w:rPr>
              <w:t>Nat Turner</w:t>
            </w:r>
          </w:p>
        </w:tc>
        <w:tc>
          <w:tcPr>
            <w:tcW w:w="3660" w:type="dxa"/>
            <w:vAlign w:val="bottom"/>
            <w:vMerge w:val="continue"/>
          </w:tcPr>
          <w:p>
            <w:pPr>
              <w:spacing w:after="0"/>
              <w:rPr>
                <w:sz w:val="7"/>
                <w:szCs w:val="7"/>
                <w:color w:val="auto"/>
              </w:rPr>
            </w:pP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36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0400"/>
          </w:cols>
          <w:pgMar w:left="320" w:top="1440" w:right="117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jc w:val="center"/>
        <w:spacing w:after="0" w:line="199" w:lineRule="auto"/>
        <w:rPr>
          <w:sz w:val="20"/>
          <w:szCs w:val="20"/>
          <w:color w:val="auto"/>
        </w:rPr>
      </w:pPr>
      <w:r>
        <w:rPr>
          <w:rFonts w:ascii="Arial" w:cs="Arial" w:eastAsia="Arial" w:hAnsi="Arial"/>
          <w:sz w:val="18"/>
          <w:szCs w:val="18"/>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90" w:lineRule="exact"/>
        <w:rPr>
          <w:sz w:val="20"/>
          <w:szCs w:val="20"/>
          <w:color w:val="auto"/>
        </w:rPr>
      </w:pPr>
    </w:p>
    <w:p>
      <w:pPr>
        <w:ind w:right="140" w:firstLine="318"/>
        <w:spacing w:after="0" w:line="220" w:lineRule="auto"/>
        <w:rPr>
          <w:sz w:val="20"/>
          <w:szCs w:val="20"/>
          <w:color w:val="auto"/>
        </w:rPr>
      </w:pPr>
      <w:r>
        <w:rPr>
          <w:rFonts w:ascii="Arial" w:cs="Arial" w:eastAsia="Arial" w:hAnsi="Arial"/>
          <w:sz w:val="17"/>
          <w:szCs w:val="17"/>
          <w:color w:val="auto"/>
        </w:rPr>
        <w:t>The following summary sets forth certain material terms and provisions of our securities that are registered under Section 12 of the Securities Exchange Act of 1934, as amended (the “Exchange Act”). This description also summarizes relevant provisions of the General Corporation Law of Delaware (the “DGCL”). The following description is a summary and does not purport to be a complete description of the rights and preferences of our securities. It is subject to, and qualified in its entirety by reference to, the applicable provisions of the DGCL and our third amended and restated certificate of incorporation (our “Amended and Restated Certificate of Incorporation”), and our restated bylaws (our “Bylaws”), each of which is incorporated by reference as an exhibit to the Annual Report on Form 10-K of which this Exhibit 4.3 is a part. We encourage you to read our Amended and Certificate of Incorporation, our Bylaws, and the applicable provisions of the DGCL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30"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5"/>
          <w:szCs w:val="15"/>
          <w:color w:val="auto"/>
        </w:rPr>
        <w:t>Our Amended and Restated Certificate of Incorporation authorizes the issuance of 400,000,000 shares of Class A common stock, $0.0001 par value per share. The outstanding shares of our common stock are duly authorized, validly issued, fully paid and non-assessable. As of December 31, 2021, there were 242,647,604 shares of our Class A common stock outstanding, no shares of preferred stock outstanding and 21,994,972 warrants outstanding.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24"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7"/>
          <w:szCs w:val="17"/>
          <w:color w:val="auto"/>
        </w:rPr>
        <w:t>Our Amended and Restated Certificate of Incorporation provides that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12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5"/>
          <w:szCs w:val="15"/>
          <w:color w:val="auto"/>
        </w:rPr>
        <w:t>Except as otherwise required by law or as otherwise provided in any certificate of designation for any series of preferred stock, or under our Amended and Restated Certificate of Incorporation, the holders of common stock possess all voting power for the election of our directors and all other matters requiring stockholder action and are entitled to one vote per share on matters to be voted on by stockholders. The holders of common stock shall at all times vote together as one class on all matters submitted to a vote of the holders of common stock under our Amended and Restated Certificate of Incorporation.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5"/>
          <w:szCs w:val="15"/>
          <w:color w:val="auto"/>
        </w:rPr>
        <w:t>Subject to the rights, if any of the holders of any outstanding shares of preferred stock, under our Amended and Restated Certificate of Incorporation, holders of common stock are entitled to receive such dividends and other distributions, if any, as may be declared from time to time by our board of directors (the “Board”) in its discretion out of funds legally available therefor and shall share equally on a per share basis in such dividends and distributions.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24"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5"/>
          <w:szCs w:val="15"/>
          <w:color w:val="auto"/>
        </w:rPr>
        <w:t>In the event of the voluntary or involuntary liquidation, dissolution or winding-up of the Company our Amended and Restated Certificate of Incorporation, the holders of common stock will be entitled to receive all the remaining assets of the Company available for distribution to stockholders, ratably in proportion to the number of shares of common stock held by them, after the rights of the holders of the preferred stock have been satisfied.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24"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Under our Amended and Restated Certificate of Incorporation, our stockholders have no preemptive or other subscription rights and there are no sinking fund or redemption provisions applicable to our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24" w:lineRule="exact"/>
        <w:rPr>
          <w:sz w:val="20"/>
          <w:szCs w:val="20"/>
          <w:color w:val="auto"/>
        </w:rPr>
      </w:pPr>
    </w:p>
    <w:p>
      <w:pPr>
        <w:jc w:val="both"/>
        <w:ind w:firstLine="318"/>
        <w:spacing w:after="0" w:line="211" w:lineRule="auto"/>
        <w:rPr>
          <w:sz w:val="20"/>
          <w:szCs w:val="20"/>
          <w:color w:val="auto"/>
        </w:rPr>
      </w:pPr>
      <w:r>
        <w:rPr>
          <w:rFonts w:ascii="Arial" w:cs="Arial" w:eastAsia="Arial" w:hAnsi="Arial"/>
          <w:sz w:val="18"/>
          <w:szCs w:val="18"/>
          <w:color w:val="auto"/>
        </w:rPr>
        <w:t>Under the terms of our Amended and Restated Certificate of Incorporation, the term of the Class I Directors in place at such time will expire at our first annual meeting of the stockholders of the following the effectiveness of our Amended and Restated Certificate of Incorporation; the term of the Class II Directors in place at such time will expire at our second annual meeting of the stockholders following the effectiveness of our Amended and Restated Certificate of Incorporation; and the term of the Class III Directors in place at such time will expire at our third annual meeting of the stockholders following the effectiveness of our Amended and Restated Certificate of Incorporation.</w:t>
      </w:r>
    </w:p>
    <w:p>
      <w:pPr>
        <w:sectPr>
          <w:pgSz w:w="11900" w:h="16838" w:orient="portrait"/>
          <w:cols w:equalWidth="0" w:num="1">
            <w:col w:w="11240"/>
          </w:cols>
          <w:pgMar w:left="320" w:top="108"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2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5"/>
          <w:szCs w:val="15"/>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24"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5"/>
          <w:szCs w:val="15"/>
          <w:color w:val="auto"/>
        </w:rPr>
        <w:t>Each whole public warrant entitles the registered holder to purchase one share of our Class A common stock at a price of $11.50 per whole share, subject to adjustment as discussed below, at any time commencing on the later of 12 months from the closing of CMLS’s initial public offering (“IPO”) or 30 days after the completion of the Business Combination. Pursuant to the warrant agreement, a warrant holder may exercise its public warrants only for a whole number of shares of common stock. This means that only a whole public warrant may be exercised at any given time by a warrant holder. No fractional public warrants will be issued upon separation of the units and only whole public warrants will trade. The public warrants will expire five years after the completion of CMLS’ initial business combination, at 5:00 p.m., New York City time, or earlier upon redemption or liquidation.</w:t>
      </w:r>
    </w:p>
    <w:p>
      <w:pPr>
        <w:spacing w:after="0" w:line="10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5"/>
          <w:szCs w:val="15"/>
          <w:color w:val="auto"/>
        </w:rPr>
        <w:t>We are not obligated to deliver any shares of common stock pursuant to the exercise of a public warrant and will have no obligation to settle such public warrant exercise unless a registration statement under the Securities Act of 1933, as amended (the “Securities Act”) with respect to the shares of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 of common stock underlying such unit.</w:t>
      </w:r>
    </w:p>
    <w:p>
      <w:pPr>
        <w:spacing w:after="0" w:line="105"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$18.00 - </w:t>
      </w:r>
      <w:r>
        <w:rPr>
          <w:rFonts w:ascii="Arial" w:cs="Arial" w:eastAsia="Arial" w:hAnsi="Arial"/>
          <w:sz w:val="18"/>
          <w:szCs w:val="18"/>
          <w:color w:val="auto"/>
        </w:rPr>
        <w:t>Once the warrants become exercisable, we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public warrants:</w:t>
      </w:r>
    </w:p>
    <w:p>
      <w:pPr>
        <w:spacing w:after="0" w:line="109" w:lineRule="exact"/>
        <w:rPr>
          <w:sz w:val="20"/>
          <w:szCs w:val="20"/>
          <w:color w:val="auto"/>
        </w:rPr>
      </w:pPr>
    </w:p>
    <w:p>
      <w:pPr>
        <w:ind w:left="600" w:hanging="276"/>
        <w:spacing w:after="0"/>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24" w:lineRule="exact"/>
        <w:rPr>
          <w:rFonts w:ascii="Arial" w:cs="Arial" w:eastAsia="Arial" w:hAnsi="Arial"/>
          <w:sz w:val="18"/>
          <w:szCs w:val="18"/>
          <w:color w:val="auto"/>
        </w:rPr>
      </w:pPr>
    </w:p>
    <w:p>
      <w:pPr>
        <w:ind w:left="600" w:hanging="276"/>
        <w:spacing w:after="0"/>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24" w:lineRule="exact"/>
        <w:rPr>
          <w:rFonts w:ascii="Arial" w:cs="Arial" w:eastAsia="Arial" w:hAnsi="Arial"/>
          <w:sz w:val="18"/>
          <w:szCs w:val="18"/>
          <w:color w:val="auto"/>
        </w:rPr>
      </w:pPr>
    </w:p>
    <w:p>
      <w:pPr>
        <w:ind w:left="600" w:hanging="276"/>
        <w:spacing w:after="0"/>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24" w:lineRule="exact"/>
        <w:rPr>
          <w:rFonts w:ascii="Arial" w:cs="Arial" w:eastAsia="Arial" w:hAnsi="Arial"/>
          <w:sz w:val="18"/>
          <w:szCs w:val="18"/>
          <w:color w:val="auto"/>
        </w:rPr>
      </w:pPr>
    </w:p>
    <w:p>
      <w:pPr>
        <w:ind w:left="640" w:hanging="316"/>
        <w:spacing w:after="0" w:line="245" w:lineRule="auto"/>
        <w:tabs>
          <w:tab w:leader="none" w:pos="643"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104" w:lineRule="exact"/>
        <w:rPr>
          <w:sz w:val="20"/>
          <w:szCs w:val="20"/>
          <w:color w:val="auto"/>
        </w:rPr>
      </w:pPr>
    </w:p>
    <w:p>
      <w:pPr>
        <w:ind w:firstLine="318"/>
        <w:spacing w:after="0" w:line="229" w:lineRule="auto"/>
        <w:rPr>
          <w:sz w:val="20"/>
          <w:szCs w:val="20"/>
          <w:color w:val="auto"/>
        </w:rPr>
      </w:pPr>
      <w:r>
        <w:rPr>
          <w:rFonts w:ascii="Arial" w:cs="Arial" w:eastAsia="Arial" w:hAnsi="Arial"/>
          <w:sz w:val="18"/>
          <w:szCs w:val="18"/>
          <w:color w:val="auto"/>
        </w:rPr>
        <w:t>If and when the warrants become redeemable by us, we may exercise its redemption right even if it is unable to register or qualify the underlying securities for sale under all applicable state securities laws.</w:t>
      </w:r>
    </w:p>
    <w:p>
      <w:pPr>
        <w:spacing w:after="0" w:line="109" w:lineRule="exact"/>
        <w:rPr>
          <w:sz w:val="20"/>
          <w:szCs w:val="20"/>
          <w:color w:val="auto"/>
        </w:rPr>
      </w:pPr>
    </w:p>
    <w:p>
      <w:pPr>
        <w:ind w:firstLine="318"/>
        <w:spacing w:after="0" w:line="229"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$10.00 </w:t>
      </w:r>
      <w:r>
        <w:rPr>
          <w:rFonts w:ascii="Arial" w:cs="Arial" w:eastAsia="Arial" w:hAnsi="Arial"/>
          <w:sz w:val="18"/>
          <w:szCs w:val="18"/>
          <w:color w:val="auto"/>
        </w:rPr>
        <w:t>- Once the warrants become exercisable, we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w:t>
      </w:r>
    </w:p>
    <w:p>
      <w:pPr>
        <w:spacing w:after="0" w:line="109" w:lineRule="exact"/>
        <w:rPr>
          <w:sz w:val="20"/>
          <w:szCs w:val="20"/>
          <w:color w:val="auto"/>
        </w:rPr>
      </w:pPr>
    </w:p>
    <w:p>
      <w:pPr>
        <w:ind w:left="600" w:hanging="276"/>
        <w:spacing w:after="0"/>
        <w:tabs>
          <w:tab w:leader="none" w:pos="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24" w:lineRule="exact"/>
        <w:rPr>
          <w:rFonts w:ascii="Arial" w:cs="Arial" w:eastAsia="Arial" w:hAnsi="Arial"/>
          <w:sz w:val="18"/>
          <w:szCs w:val="18"/>
          <w:color w:val="auto"/>
        </w:rPr>
      </w:pPr>
    </w:p>
    <w:p>
      <w:pPr>
        <w:jc w:val="both"/>
        <w:ind w:left="640" w:hanging="316"/>
        <w:spacing w:after="0" w:line="219" w:lineRule="auto"/>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ectPr>
          <w:pgSz w:w="11900" w:h="16838" w:orient="portrait"/>
          <w:cols w:equalWidth="0" w:num="1">
            <w:col w:w="11240"/>
          </w:cols>
          <w:pgMar w:left="320" w:top="1386" w:right="339" w:bottom="1440" w:gutter="0" w:footer="0" w:header="0"/>
        </w:sectPr>
      </w:pPr>
    </w:p>
    <w:bookmarkStart w:id="187" w:name="page188"/>
    <w:bookmarkEnd w:id="187"/>
    <w:p>
      <w:pPr>
        <w:ind w:left="640" w:hanging="316"/>
        <w:spacing w:after="0" w:line="229" w:lineRule="auto"/>
        <w:tabs>
          <w:tab w:leader="none" w:pos="6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$10.00 per share (as adjusted) for any 20 trading days within the 30-trading day period ending three trading days before we send the notice of redemption to the warrant holders; and</w:t>
      </w:r>
    </w:p>
    <w:p>
      <w:pPr>
        <w:spacing w:after="0" w:line="108" w:lineRule="exact"/>
        <w:rPr>
          <w:rFonts w:ascii="Arial" w:cs="Arial" w:eastAsia="Arial" w:hAnsi="Arial"/>
          <w:sz w:val="18"/>
          <w:szCs w:val="18"/>
          <w:color w:val="auto"/>
        </w:rPr>
      </w:pPr>
    </w:p>
    <w:p>
      <w:pPr>
        <w:jc w:val="both"/>
        <w:ind w:left="640" w:hanging="316"/>
        <w:spacing w:after="0" w:line="232" w:lineRule="auto"/>
        <w:tabs>
          <w:tab w:leader="none" w:pos="652"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the closing price of the Class A common stock for any 20 trading days within a 30-trading day period ending three trading days before we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09" w:lineRule="exact"/>
        <w:rPr>
          <w:sz w:val="20"/>
          <w:szCs w:val="20"/>
          <w:color w:val="auto"/>
        </w:rPr>
      </w:pPr>
    </w:p>
    <w:p>
      <w:pPr>
        <w:jc w:val="both"/>
        <w:ind w:firstLine="318"/>
        <w:spacing w:after="0" w:line="227"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common stock may fall below the $18.00 redemption trigger price as well as the $11.50 warrant exercise price after the redemption notice is issued.</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124" w:lineRule="exact"/>
        <w:rPr>
          <w:sz w:val="20"/>
          <w:szCs w:val="20"/>
          <w:color w:val="auto"/>
        </w:rPr>
      </w:pPr>
    </w:p>
    <w:p>
      <w:pPr>
        <w:jc w:val="both"/>
        <w:ind w:firstLine="318"/>
        <w:spacing w:after="0" w:line="215" w:lineRule="auto"/>
        <w:rPr>
          <w:sz w:val="20"/>
          <w:szCs w:val="20"/>
          <w:color w:val="auto"/>
        </w:rPr>
      </w:pPr>
      <w:r>
        <w:rPr>
          <w:rFonts w:ascii="Arial" w:cs="Arial" w:eastAsia="Arial" w:hAnsi="Arial"/>
          <w:sz w:val="17"/>
          <w:szCs w:val="17"/>
          <w:color w:val="auto"/>
        </w:rPr>
        <w:t>If we call the public warrants for redemption as described above, our management will have the option to require any holder that wishes to exercise 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common stock issuable upon the exercise of our public warrants. If our management takes advantage of this option, all holders of public warrants would pay the exercise price by surrendering their public warrants for that number of shares of common stock equal to the quotient obtained by dividing (i) the product of the number of shares of common stock underlying the public warrants, multiplied by the difference between the exercise price of the public warrants and the “fair market value” (defined below) by (ii) the fair market value. The “fair market value” shall mean the average reported last sale price of the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after our initial business combination. If we call our public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13" w:lineRule="exact"/>
        <w:rPr>
          <w:sz w:val="20"/>
          <w:szCs w:val="20"/>
          <w:color w:val="auto"/>
        </w:rPr>
      </w:pPr>
    </w:p>
    <w:p>
      <w:pPr>
        <w:jc w:val="both"/>
        <w:ind w:firstLine="318"/>
        <w:spacing w:after="0" w:line="214" w:lineRule="auto"/>
        <w:rPr>
          <w:sz w:val="20"/>
          <w:szCs w:val="20"/>
          <w:color w:val="auto"/>
        </w:rPr>
      </w:pPr>
      <w:r>
        <w:rPr>
          <w:rFonts w:ascii="Arial" w:cs="Arial" w:eastAsia="Arial" w:hAnsi="Arial"/>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common stock outstanding immediately after giving effect to such exercise.</w:t>
      </w:r>
    </w:p>
    <w:p>
      <w:pPr>
        <w:spacing w:after="0" w:line="11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5"/>
          <w:szCs w:val="15"/>
          <w:i w:val="1"/>
          <w:iCs w:val="1"/>
          <w:color w:val="auto"/>
        </w:rPr>
        <w:t xml:space="preserve">Anti-dilution Adjustments. </w:t>
      </w:r>
      <w:r>
        <w:rPr>
          <w:rFonts w:ascii="Arial" w:cs="Arial" w:eastAsia="Arial" w:hAnsi="Arial"/>
          <w:sz w:val="15"/>
          <w:szCs w:val="15"/>
          <w:color w:val="auto"/>
        </w:rPr>
        <w:t>If the number of outstanding shares of common stock is increased by a stock dividend payable in shares of common stock, or</w:t>
      </w:r>
      <w:r>
        <w:rPr>
          <w:rFonts w:ascii="Arial" w:cs="Arial" w:eastAsia="Arial" w:hAnsi="Arial"/>
          <w:sz w:val="15"/>
          <w:szCs w:val="15"/>
          <w:i w:val="1"/>
          <w:iCs w:val="1"/>
          <w:color w:val="auto"/>
        </w:rPr>
        <w:t xml:space="preserve"> </w:t>
      </w:r>
      <w:r>
        <w:rPr>
          <w:rFonts w:ascii="Arial" w:cs="Arial" w:eastAsia="Arial" w:hAnsi="Arial"/>
          <w:sz w:val="15"/>
          <w:szCs w:val="15"/>
          <w:color w:val="auto"/>
        </w:rPr>
        <w:t>by 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multiplied by (ii) one minus the quotient of (a) the price per share of common stock paid in such rights offering divided by (b) the fair market value. For these purposes (1)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(2) 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109" w:lineRule="exact"/>
        <w:rPr>
          <w:sz w:val="20"/>
          <w:szCs w:val="20"/>
          <w:color w:val="auto"/>
        </w:rPr>
      </w:pPr>
    </w:p>
    <w:p>
      <w:pPr>
        <w:jc w:val="both"/>
        <w:ind w:right="20" w:firstLine="318"/>
        <w:spacing w:after="0" w:line="229" w:lineRule="auto"/>
        <w:rPr>
          <w:sz w:val="20"/>
          <w:szCs w:val="20"/>
          <w:color w:val="auto"/>
        </w:rPr>
      </w:pPr>
      <w:r>
        <w:rPr>
          <w:rFonts w:ascii="Arial" w:cs="Arial" w:eastAsia="Arial" w:hAnsi="Arial"/>
          <w:sz w:val="18"/>
          <w:szCs w:val="18"/>
          <w:color w:val="auto"/>
        </w:rPr>
        <w:t>In addition, if we, at any time while the public warrants are outstanding and unexpired, pay a dividend or make a distribution in cash, securities or other assets to the holders of common stock on account of such shares of</w:t>
      </w:r>
    </w:p>
    <w:p>
      <w:pPr>
        <w:sectPr>
          <w:pgSz w:w="11900" w:h="16838" w:orient="portrait"/>
          <w:cols w:equalWidth="0" w:num="1">
            <w:col w:w="11240"/>
          </w:cols>
          <w:pgMar w:left="320" w:top="1386" w:right="339" w:bottom="1440" w:gutter="0" w:footer="0" w:header="0"/>
        </w:sectPr>
      </w:pPr>
    </w:p>
    <w:bookmarkStart w:id="188" w:name="page189"/>
    <w:bookmarkEnd w:id="188"/>
    <w:p>
      <w:pPr>
        <w:jc w:val="both"/>
        <w:spacing w:after="0" w:line="251" w:lineRule="auto"/>
        <w:rPr>
          <w:sz w:val="20"/>
          <w:szCs w:val="20"/>
          <w:color w:val="auto"/>
        </w:rPr>
      </w:pPr>
      <w:r>
        <w:rPr>
          <w:rFonts w:ascii="Arial" w:cs="Arial" w:eastAsia="Arial" w:hAnsi="Arial"/>
          <w:sz w:val="15"/>
          <w:szCs w:val="15"/>
          <w:color w:val="auto"/>
        </w:rPr>
        <w:t>common stock (or other shares of our capital stock into which the public warrants are convertible), other than (i) as described above; (ii) certain ordinary cash dividends; (iii) to satisfy the redemption rights of the holders of common stock in connection with a proposed initial business combination; (iv) to satisfy the redemption rights of the holders of common stock in connection with a stockholder vote to amend our current certificate of incorporation to modify the substance or timing of our obligation to redeem 100% of our public shares if we do not complete a business combination within 24 months from the closing of CMLS’s IPO, or (v)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02" w:lineRule="exact"/>
        <w:rPr>
          <w:sz w:val="20"/>
          <w:szCs w:val="20"/>
          <w:color w:val="auto"/>
        </w:rPr>
      </w:pPr>
    </w:p>
    <w:p>
      <w:pPr>
        <w:jc w:val="both"/>
        <w:ind w:firstLine="318"/>
        <w:spacing w:after="0" w:line="214"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10" w:lineRule="exact"/>
        <w:rPr>
          <w:sz w:val="20"/>
          <w:szCs w:val="20"/>
          <w:color w:val="auto"/>
        </w:rPr>
      </w:pPr>
    </w:p>
    <w:p>
      <w:pPr>
        <w:jc w:val="both"/>
        <w:ind w:firstLine="318"/>
        <w:spacing w:after="0" w:line="214" w:lineRule="auto"/>
        <w:rPr>
          <w:sz w:val="20"/>
          <w:szCs w:val="20"/>
          <w:color w:val="auto"/>
        </w:rPr>
      </w:pPr>
      <w:r>
        <w:rPr>
          <w:rFonts w:ascii="Arial" w:cs="Arial" w:eastAsia="Arial" w:hAnsi="Arial"/>
          <w:sz w:val="18"/>
          <w:szCs w:val="18"/>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10"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5"/>
          <w:szCs w:val="15"/>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282"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5"/>
          <w:szCs w:val="15"/>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pertaining to CMLS’s IPO,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97" w:lineRule="exact"/>
        <w:rPr>
          <w:sz w:val="20"/>
          <w:szCs w:val="20"/>
          <w:color w:val="auto"/>
        </w:rPr>
      </w:pPr>
    </w:p>
    <w:p>
      <w:pPr>
        <w:jc w:val="both"/>
        <w:ind w:firstLine="318"/>
        <w:spacing w:after="0" w:line="209"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11" w:lineRule="exact"/>
        <w:rPr>
          <w:sz w:val="20"/>
          <w:szCs w:val="20"/>
          <w:color w:val="auto"/>
        </w:rPr>
      </w:pPr>
    </w:p>
    <w:p>
      <w:pPr>
        <w:jc w:val="both"/>
        <w:ind w:firstLine="318"/>
        <w:spacing w:after="0" w:line="227" w:lineRule="auto"/>
        <w:rPr>
          <w:sz w:val="20"/>
          <w:szCs w:val="20"/>
          <w:color w:val="auto"/>
        </w:rPr>
      </w:pPr>
      <w:r>
        <w:rPr>
          <w:rFonts w:ascii="Arial" w:cs="Arial" w:eastAsia="Arial" w:hAnsi="Arial"/>
          <w:sz w:val="17"/>
          <w:szCs w:val="17"/>
          <w:color w:val="auto"/>
        </w:rPr>
        <w:t>Warrants may be exercised only for a whole number of shares of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common stock to be issued to the warrant holder. As a result, warrant holders not purchasing public warrants in multiples of three warrants will not obtain value from the fractional interest that will not be issued.</w:t>
      </w:r>
    </w:p>
    <w:p>
      <w:pPr>
        <w:sectPr>
          <w:pgSz w:w="11900" w:h="16838" w:orient="portrait"/>
          <w:cols w:equalWidth="0" w:num="1">
            <w:col w:w="11240"/>
          </w:cols>
          <w:pgMar w:left="320" w:top="1386" w:right="3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2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5"/>
          <w:szCs w:val="15"/>
          <w:color w:val="auto"/>
        </w:rPr>
        <w:t>The private placement warrants are identical to the public warrants underlying the units sold in CMLS’s IPO, except that (1) the private placement warrants and the Class A common stock issuable upon the exercise of the private placement warrants will not be transferable, assignable or saleable until 30 days after the completion of the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us and exercisable by such holders on the same basis as the public warrants.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30" w:lineRule="exact"/>
        <w:rPr>
          <w:sz w:val="20"/>
          <w:szCs w:val="20"/>
          <w:color w:val="auto"/>
        </w:rPr>
      </w:pPr>
    </w:p>
    <w:p>
      <w:pPr>
        <w:jc w:val="both"/>
        <w:ind w:firstLine="318"/>
        <w:spacing w:after="0" w:line="211"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The payment of cash dividends in the future will be dependent upon our revenues and earnings, if any, capital requirements and general financial condition. The payment of any cash dividends will be within the discretion of our Board at such time. In addition,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3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5"/>
          <w:szCs w:val="15"/>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3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5"/>
          <w:szCs w:val="15"/>
          <w:color w:val="auto"/>
        </w:rPr>
        <w:t>Provisions of the DGCL and our Amended and Restated Certificate of Incorporation could make it more difficult to acquire us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common stock.</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our Amended and Restated Certificate of Incorporation provide for certain other provisions that may have an anti-takeover effect:</w:t>
      </w:r>
    </w:p>
    <w:p>
      <w:pPr>
        <w:spacing w:after="0" w:line="136" w:lineRule="exact"/>
        <w:rPr>
          <w:sz w:val="20"/>
          <w:szCs w:val="20"/>
          <w:color w:val="auto"/>
        </w:rPr>
      </w:pPr>
    </w:p>
    <w:p>
      <w:pPr>
        <w:ind w:left="600" w:hanging="276"/>
        <w:spacing w:after="0"/>
        <w:tabs>
          <w:tab w:leader="none" w:pos="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There is no cumulative voting with respect to the election of directors.</w:t>
      </w:r>
    </w:p>
    <w:p>
      <w:pPr>
        <w:spacing w:after="0" w:line="124" w:lineRule="exact"/>
        <w:rPr>
          <w:rFonts w:ascii="Arial" w:cs="Arial" w:eastAsia="Arial" w:hAnsi="Arial"/>
          <w:sz w:val="18"/>
          <w:szCs w:val="18"/>
          <w:color w:val="auto"/>
        </w:rPr>
      </w:pPr>
    </w:p>
    <w:p>
      <w:pPr>
        <w:ind w:left="640" w:hanging="316"/>
        <w:spacing w:after="0" w:line="229" w:lineRule="auto"/>
        <w:tabs>
          <w:tab w:leader="none" w:pos="629"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Board is empowered to elect a director to fill a vacancy created by the expansion of the Board or the resignation, death, or removal of a director in certain circumstances.</w:t>
      </w:r>
    </w:p>
    <w:p>
      <w:pPr>
        <w:spacing w:after="0" w:line="108" w:lineRule="exact"/>
        <w:rPr>
          <w:rFonts w:ascii="Arial" w:cs="Arial" w:eastAsia="Arial" w:hAnsi="Arial"/>
          <w:sz w:val="18"/>
          <w:szCs w:val="18"/>
          <w:color w:val="auto"/>
        </w:rPr>
      </w:pPr>
    </w:p>
    <w:p>
      <w:pPr>
        <w:ind w:left="600" w:hanging="276"/>
        <w:spacing w:after="0"/>
        <w:tabs>
          <w:tab w:leader="none" w:pos="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Directors may only be removed from the Board for cause.</w:t>
      </w:r>
    </w:p>
    <w:p>
      <w:pPr>
        <w:spacing w:after="0" w:line="124" w:lineRule="exact"/>
        <w:rPr>
          <w:rFonts w:ascii="Arial" w:cs="Arial" w:eastAsia="Arial" w:hAnsi="Arial"/>
          <w:sz w:val="18"/>
          <w:szCs w:val="18"/>
          <w:color w:val="auto"/>
        </w:rPr>
      </w:pPr>
    </w:p>
    <w:p>
      <w:pPr>
        <w:ind w:left="640" w:hanging="316"/>
        <w:spacing w:after="0" w:line="229" w:lineRule="auto"/>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Board will be classified into three classes of directors. As a result, in most circumstances, a person can gain control of our Board by successfully engaging in a proxy contest at two or more annual meetings.</w:t>
      </w:r>
    </w:p>
    <w:p>
      <w:pPr>
        <w:spacing w:after="0" w:line="108" w:lineRule="exact"/>
        <w:rPr>
          <w:rFonts w:ascii="Arial" w:cs="Arial" w:eastAsia="Arial" w:hAnsi="Arial"/>
          <w:sz w:val="18"/>
          <w:szCs w:val="18"/>
          <w:color w:val="auto"/>
        </w:rPr>
      </w:pPr>
    </w:p>
    <w:p>
      <w:pPr>
        <w:ind w:left="640" w:hanging="316"/>
        <w:spacing w:after="0" w:line="229" w:lineRule="auto"/>
        <w:tabs>
          <w:tab w:leader="none" w:pos="762"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08" w:lineRule="exact"/>
        <w:rPr>
          <w:rFonts w:ascii="Arial" w:cs="Arial" w:eastAsia="Arial" w:hAnsi="Arial"/>
          <w:sz w:val="18"/>
          <w:szCs w:val="18"/>
          <w:color w:val="auto"/>
        </w:rPr>
      </w:pPr>
    </w:p>
    <w:p>
      <w:pPr>
        <w:ind w:left="640" w:hanging="316"/>
        <w:spacing w:after="0" w:line="310" w:lineRule="auto"/>
        <w:tabs>
          <w:tab w:leader="none" w:pos="654" w:val="left"/>
        </w:tabs>
        <w:numPr>
          <w:ilvl w:val="0"/>
          <w:numId w:val="93"/>
        </w:numPr>
        <w:rPr>
          <w:rFonts w:ascii="Arial" w:cs="Arial" w:eastAsia="Arial" w:hAnsi="Arial"/>
          <w:sz w:val="15"/>
          <w:szCs w:val="15"/>
          <w:color w:val="auto"/>
        </w:rPr>
      </w:pPr>
      <w:r>
        <w:rPr>
          <w:rFonts w:ascii="Arial" w:cs="Arial" w:eastAsia="Arial" w:hAnsi="Arial"/>
          <w:sz w:val="15"/>
          <w:szCs w:val="15"/>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ectPr>
          <w:pgSz w:w="11900" w:h="16838" w:orient="portrait"/>
          <w:cols w:equalWidth="0" w:num="1">
            <w:col w:w="11240"/>
          </w:cols>
          <w:pgMar w:left="320" w:top="1386" w:right="339" w:bottom="1440" w:gutter="0" w:footer="0" w:header="0"/>
        </w:sectPr>
      </w:pPr>
    </w:p>
    <w:bookmarkStart w:id="190" w:name="page191"/>
    <w:bookmarkEnd w:id="190"/>
    <w:p>
      <w:pPr>
        <w:jc w:val="both"/>
        <w:ind w:left="640" w:hanging="316"/>
        <w:spacing w:after="0" w:line="257" w:lineRule="auto"/>
        <w:tabs>
          <w:tab w:leader="none" w:pos="591" w:val="left"/>
        </w:tabs>
        <w:numPr>
          <w:ilvl w:val="0"/>
          <w:numId w:val="94"/>
        </w:numPr>
        <w:rPr>
          <w:rFonts w:ascii="Arial" w:cs="Arial" w:eastAsia="Arial" w:hAnsi="Arial"/>
          <w:sz w:val="15"/>
          <w:szCs w:val="15"/>
          <w:color w:val="auto"/>
        </w:rPr>
      </w:pPr>
      <w:r>
        <w:rPr>
          <w:rFonts w:ascii="Arial" w:cs="Arial" w:eastAsia="Arial" w:hAnsi="Arial"/>
          <w:sz w:val="15"/>
          <w:szCs w:val="15"/>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common stock and preferred stock could render more difficult or discourage an attempt to obtain control of us by means of a proxy contest, tender offer, merger or otherwise.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130" w:lineRule="exact"/>
        <w:rPr>
          <w:sz w:val="20"/>
          <w:szCs w:val="20"/>
          <w:color w:val="auto"/>
        </w:rPr>
      </w:pPr>
    </w:p>
    <w:p>
      <w:pPr>
        <w:jc w:val="both"/>
        <w:ind w:firstLine="318"/>
        <w:spacing w:after="0" w:line="219" w:lineRule="auto"/>
        <w:rPr>
          <w:sz w:val="20"/>
          <w:szCs w:val="20"/>
          <w:color w:val="auto"/>
        </w:rPr>
      </w:pPr>
      <w:r>
        <w:rPr>
          <w:rFonts w:ascii="Arial" w:cs="Arial" w:eastAsia="Arial" w:hAnsi="Arial"/>
          <w:sz w:val="18"/>
          <w:szCs w:val="18"/>
          <w:color w:val="auto"/>
        </w:rPr>
        <w:t>Our Amended and Restated Certificate of Incorporation includes a forum selection clause. Our Amended and Restated Certificate of Incorporation provides that, subject to limited exceptions, the Court of Chancery of the State of Delaware and federal court within the State of Delaware will be exclusive forums for any</w:t>
      </w:r>
    </w:p>
    <w:p>
      <w:pPr>
        <w:spacing w:after="0" w:line="109" w:lineRule="exact"/>
        <w:rPr>
          <w:sz w:val="20"/>
          <w:szCs w:val="20"/>
          <w:color w:val="auto"/>
        </w:rPr>
      </w:pPr>
    </w:p>
    <w:p>
      <w:pPr>
        <w:ind w:left="560" w:hanging="236"/>
        <w:spacing w:after="0"/>
        <w:tabs>
          <w:tab w:leader="none" w:pos="5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24" w:lineRule="exact"/>
        <w:rPr>
          <w:rFonts w:ascii="Arial" w:cs="Arial" w:eastAsia="Arial" w:hAnsi="Arial"/>
          <w:sz w:val="18"/>
          <w:szCs w:val="18"/>
          <w:color w:val="auto"/>
        </w:rPr>
      </w:pPr>
    </w:p>
    <w:p>
      <w:pPr>
        <w:ind w:left="640" w:hanging="316"/>
        <w:spacing w:after="0" w:line="229" w:lineRule="auto"/>
        <w:tabs>
          <w:tab w:leader="none" w:pos="62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08" w:lineRule="exact"/>
        <w:rPr>
          <w:rFonts w:ascii="Arial" w:cs="Arial" w:eastAsia="Arial" w:hAnsi="Arial"/>
          <w:sz w:val="18"/>
          <w:szCs w:val="18"/>
          <w:color w:val="auto"/>
        </w:rPr>
      </w:pPr>
    </w:p>
    <w:p>
      <w:pPr>
        <w:ind w:left="640" w:hanging="316"/>
        <w:spacing w:after="0" w:line="219" w:lineRule="auto"/>
        <w:tabs>
          <w:tab w:leader="none" w:pos="578" w:val="left"/>
        </w:tabs>
        <w:numPr>
          <w:ilvl w:val="0"/>
          <w:numId w:val="95"/>
        </w:numPr>
        <w:rPr>
          <w:rFonts w:ascii="Arial" w:cs="Arial" w:eastAsia="Arial" w:hAnsi="Arial"/>
          <w:sz w:val="18"/>
          <w:szCs w:val="18"/>
          <w:color w:val="auto"/>
        </w:rPr>
      </w:pPr>
      <w:r>
        <w:rPr>
          <w:rFonts w:ascii="Arial" w:cs="Arial" w:eastAsia="Arial" w:hAnsi="Arial"/>
          <w:sz w:val="18"/>
          <w:szCs w:val="18"/>
          <w:color w:val="auto"/>
        </w:rPr>
        <w:t>action asserting a claim against us or any of our directors, officers, stockholders, employees or agents arising pursuant to any provision of the DGCL, our Amended and Restated Certificate of Incorporation or Bylaws or as to which the DGCL confers jurisdiction on the Court of Chancery of the State of Delaware;</w:t>
      </w:r>
    </w:p>
    <w:p>
      <w:pPr>
        <w:spacing w:after="0" w:line="109" w:lineRule="exact"/>
        <w:rPr>
          <w:rFonts w:ascii="Arial" w:cs="Arial" w:eastAsia="Arial" w:hAnsi="Arial"/>
          <w:sz w:val="18"/>
          <w:szCs w:val="18"/>
          <w:color w:val="auto"/>
        </w:rPr>
      </w:pPr>
    </w:p>
    <w:p>
      <w:pPr>
        <w:ind w:left="560" w:hanging="236"/>
        <w:spacing w:after="0"/>
        <w:tabs>
          <w:tab w:leader="none" w:pos="5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our Amended and Restated Certificate of Incorporation or the Bylaws; or</w:t>
      </w:r>
    </w:p>
    <w:p>
      <w:pPr>
        <w:spacing w:after="0" w:line="124" w:lineRule="exact"/>
        <w:rPr>
          <w:rFonts w:ascii="Arial" w:cs="Arial" w:eastAsia="Arial" w:hAnsi="Arial"/>
          <w:sz w:val="18"/>
          <w:szCs w:val="18"/>
          <w:color w:val="auto"/>
        </w:rPr>
      </w:pPr>
    </w:p>
    <w:p>
      <w:pPr>
        <w:ind w:left="640" w:hanging="316"/>
        <w:spacing w:after="0" w:line="229" w:lineRule="auto"/>
        <w:tabs>
          <w:tab w:leader="none" w:pos="6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0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5"/>
          <w:szCs w:val="15"/>
          <w:color w:val="auto"/>
        </w:rPr>
        <w:t>This choice of forum provision does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 Please see “</w:t>
      </w:r>
      <w:r>
        <w:rPr>
          <w:rFonts w:ascii="Arial" w:cs="Arial" w:eastAsia="Arial" w:hAnsi="Arial"/>
          <w:sz w:val="15"/>
          <w:szCs w:val="15"/>
          <w:i w:val="1"/>
          <w:iCs w:val="1"/>
          <w:u w:val="single" w:color="auto"/>
          <w:color w:val="0000FF"/>
        </w:rPr>
        <w:t>Risk Factors</w:t>
      </w:r>
      <w:r>
        <w:rPr>
          <w:rFonts w:ascii="Arial" w:cs="Arial" w:eastAsia="Arial" w:hAnsi="Arial"/>
          <w:sz w:val="15"/>
          <w:szCs w:val="15"/>
          <w:color w:val="auto"/>
        </w:rPr>
        <w:t xml:space="preserve"> </w:t>
      </w:r>
      <w:r>
        <w:rPr>
          <w:rFonts w:ascii="Arial" w:cs="Arial" w:eastAsia="Arial" w:hAnsi="Arial"/>
          <w:sz w:val="15"/>
          <w:szCs w:val="15"/>
          <w:i w:val="1"/>
          <w:iCs w:val="1"/>
          <w:color w:val="auto"/>
        </w:rPr>
        <w:t>- The Amended and Restated Certificate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of Incorporation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 </w:t>
      </w:r>
      <w:r>
        <w:rPr>
          <w:rFonts w:ascii="Arial" w:cs="Arial" w:eastAsia="Arial" w:hAnsi="Arial"/>
          <w:sz w:val="15"/>
          <w:szCs w:val="15"/>
          <w:color w:val="auto"/>
        </w:rPr>
        <w:t>in the Annual Report on Form 10-K of which this Exhibit 4.3 is a part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and warrants are listed on Nasdaq under the symbols “SMFR” and “SMFRW,” respectively.</w:t>
      </w:r>
    </w:p>
    <w:p>
      <w:pPr>
        <w:sectPr>
          <w:pgSz w:w="11900" w:h="16838" w:orient="portrait"/>
          <w:cols w:equalWidth="0" w:num="1">
            <w:col w:w="11240"/>
          </w:cols>
          <w:pgMar w:left="320" w:top="1386" w:right="339" w:bottom="1440" w:gutter="0" w:footer="0" w:header="0"/>
        </w:sectPr>
      </w:pPr>
    </w:p>
    <w:bookmarkStart w:id="191" w:name="page192"/>
    <w:bookmarkEnd w:id="191"/>
    <w:p>
      <w:pPr>
        <w:ind w:left="10080"/>
        <w:spacing w:after="0"/>
        <w:rPr>
          <w:sz w:val="20"/>
          <w:szCs w:val="20"/>
          <w:color w:val="auto"/>
        </w:rPr>
      </w:pPr>
      <w:r>
        <w:rPr>
          <w:rFonts w:ascii="Arial" w:cs="Arial" w:eastAsia="Arial" w:hAnsi="Arial"/>
          <w:sz w:val="20"/>
          <w:szCs w:val="20"/>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EXECUTIVE CHAIRMAN AGREEMENT</w:t>
      </w:r>
    </w:p>
    <w:p>
      <w:pPr>
        <w:spacing w:after="0" w:line="189" w:lineRule="exact"/>
        <w:rPr>
          <w:sz w:val="20"/>
          <w:szCs w:val="20"/>
          <w:color w:val="auto"/>
        </w:rPr>
      </w:pPr>
    </w:p>
    <w:p>
      <w:pPr>
        <w:ind w:firstLine="636"/>
        <w:spacing w:after="0" w:line="239" w:lineRule="auto"/>
        <w:rPr>
          <w:sz w:val="20"/>
          <w:szCs w:val="20"/>
          <w:color w:val="auto"/>
        </w:rPr>
      </w:pPr>
      <w:r>
        <w:rPr>
          <w:rFonts w:ascii="Arial" w:cs="Arial" w:eastAsia="Arial" w:hAnsi="Arial"/>
          <w:sz w:val="21"/>
          <w:szCs w:val="21"/>
          <w:color w:val="auto"/>
        </w:rPr>
        <w:t>THIS EXECUTIVE CHAIRMAN AGREEMENT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dated as of the January 17, 2022, is by and between Sema4 Holdings Corp. (the “</w:t>
      </w:r>
      <w:r>
        <w:rPr>
          <w:rFonts w:ascii="Arial" w:cs="Arial" w:eastAsia="Arial" w:hAnsi="Arial"/>
          <w:sz w:val="21"/>
          <w:szCs w:val="21"/>
          <w:b w:val="1"/>
          <w:bCs w:val="1"/>
          <w:i w:val="1"/>
          <w:iCs w:val="1"/>
          <w:color w:val="auto"/>
        </w:rPr>
        <w:t>Corporation</w:t>
      </w:r>
      <w:r>
        <w:rPr>
          <w:rFonts w:ascii="Arial" w:cs="Arial" w:eastAsia="Arial" w:hAnsi="Arial"/>
          <w:sz w:val="21"/>
          <w:szCs w:val="21"/>
          <w:color w:val="auto"/>
        </w:rPr>
        <w:t>”) and Jason Ryan (the “</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 I T N E S S E T H :</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WHEREAS, the Executive is a member of the board of directors of the Corporation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w:t>
      </w:r>
    </w:p>
    <w:p>
      <w:pPr>
        <w:spacing w:after="0" w:line="183" w:lineRule="exact"/>
        <w:rPr>
          <w:sz w:val="20"/>
          <w:szCs w:val="20"/>
          <w:color w:val="auto"/>
        </w:rPr>
      </w:pPr>
    </w:p>
    <w:p>
      <w:pPr>
        <w:ind w:firstLine="636"/>
        <w:spacing w:after="0" w:line="263" w:lineRule="auto"/>
        <w:rPr>
          <w:sz w:val="20"/>
          <w:szCs w:val="20"/>
          <w:color w:val="auto"/>
        </w:rPr>
      </w:pPr>
      <w:r>
        <w:rPr>
          <w:rFonts w:ascii="Arial" w:cs="Arial" w:eastAsia="Arial" w:hAnsi="Arial"/>
          <w:sz w:val="20"/>
          <w:szCs w:val="20"/>
          <w:color w:val="auto"/>
        </w:rPr>
        <w:t>WHEREAS, the Corporation wishes to set forth the terms and conditions of the Executive’s employment as Executive Chairman of the Board, on terms and conditions mutually agreeable and beneficial to the Corporation and the Executive; and</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WHEREAS, the Executive is willing to render services to the Corporation pursuant to the terms and conditions hereof;</w:t>
      </w:r>
    </w:p>
    <w:p>
      <w:pPr>
        <w:spacing w:after="0" w:line="194" w:lineRule="exact"/>
        <w:rPr>
          <w:sz w:val="20"/>
          <w:szCs w:val="20"/>
          <w:color w:val="auto"/>
        </w:rPr>
      </w:pPr>
    </w:p>
    <w:p>
      <w:pPr>
        <w:ind w:firstLine="636"/>
        <w:spacing w:after="0" w:line="239" w:lineRule="auto"/>
        <w:rPr>
          <w:sz w:val="20"/>
          <w:szCs w:val="20"/>
          <w:color w:val="auto"/>
        </w:rPr>
      </w:pPr>
      <w:r>
        <w:rPr>
          <w:rFonts w:ascii="Arial" w:cs="Arial" w:eastAsia="Arial" w:hAnsi="Arial"/>
          <w:sz w:val="21"/>
          <w:szCs w:val="21"/>
          <w:color w:val="auto"/>
        </w:rPr>
        <w:t>NOW, THEREFORE, in consideration of the premises and the mutual covenants and agreements of the parties herein contained, the parties, intending to be legally bound, hereby agree as follows:</w:t>
      </w:r>
    </w:p>
    <w:p>
      <w:pPr>
        <w:spacing w:after="0" w:line="149" w:lineRule="exact"/>
        <w:rPr>
          <w:sz w:val="20"/>
          <w:szCs w:val="20"/>
          <w:color w:val="auto"/>
        </w:rPr>
      </w:pPr>
    </w:p>
    <w:p>
      <w:pPr>
        <w:ind w:left="640" w:hanging="634"/>
        <w:spacing w:after="0"/>
        <w:tabs>
          <w:tab w:leader="none" w:pos="640"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color w:val="auto"/>
        </w:rPr>
        <w:t>POSITION AND DUTIES.</w:t>
      </w:r>
    </w:p>
    <w:p>
      <w:pPr>
        <w:spacing w:after="0" w:line="188" w:lineRule="exact"/>
        <w:rPr>
          <w:rFonts w:ascii="Arial" w:cs="Arial" w:eastAsia="Arial" w:hAnsi="Arial"/>
          <w:sz w:val="21"/>
          <w:szCs w:val="21"/>
          <w:b w:val="1"/>
          <w:bCs w:val="1"/>
          <w:color w:val="auto"/>
        </w:rPr>
      </w:pPr>
    </w:p>
    <w:p>
      <w:pPr>
        <w:jc w:val="both"/>
        <w:ind w:firstLine="642"/>
        <w:spacing w:after="0" w:line="218" w:lineRule="auto"/>
        <w:tabs>
          <w:tab w:leader="none" w:pos="1266" w:val="left"/>
        </w:tabs>
        <w:numPr>
          <w:ilvl w:val="1"/>
          <w:numId w:val="96"/>
        </w:numPr>
        <w:rPr>
          <w:rFonts w:ascii="Arial" w:cs="Arial" w:eastAsia="Arial" w:hAnsi="Arial"/>
          <w:sz w:val="21"/>
          <w:szCs w:val="21"/>
          <w:color w:val="auto"/>
        </w:rPr>
      </w:pPr>
      <w:r>
        <w:rPr>
          <w:rFonts w:ascii="Arial" w:cs="Arial" w:eastAsia="Arial" w:hAnsi="Arial"/>
          <w:sz w:val="21"/>
          <w:szCs w:val="21"/>
          <w:color w:val="auto"/>
        </w:rPr>
        <w:t>The Corporation shall employ the Executive in the position of Executive Chairman of the Board, and the Executive hereby accepts such employment, with such appointment to take effect as of January 18, 2022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The Executive shall report directly to the board of directors of the Corporation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The Executive shall perform the duties assigned to him by the Board with fidelity and to the best of his ability, including (and without limiting the Executive’s duties as a member of the Board), planning and facilitating the operations, deliberations, and meetings of the Board and advancing the Corporation’s strategic priorities regarding the closing and integration of the proposed acquisition of GeneDx, Inc., the Corporation’s leadership transition to a Co-CEO structure, and operational efficiencies and planning. The Executive shall deal at all times in good faith with the Corporation.</w:t>
      </w:r>
    </w:p>
    <w:p>
      <w:pPr>
        <w:spacing w:after="0" w:line="153" w:lineRule="exact"/>
        <w:rPr>
          <w:rFonts w:ascii="Arial" w:cs="Arial" w:eastAsia="Arial" w:hAnsi="Arial"/>
          <w:sz w:val="21"/>
          <w:szCs w:val="21"/>
          <w:color w:val="auto"/>
        </w:rPr>
      </w:pPr>
    </w:p>
    <w:p>
      <w:pPr>
        <w:ind w:firstLine="642"/>
        <w:spacing w:after="0" w:line="239" w:lineRule="auto"/>
        <w:tabs>
          <w:tab w:leader="none" w:pos="1268" w:val="left"/>
        </w:tabs>
        <w:numPr>
          <w:ilvl w:val="1"/>
          <w:numId w:val="96"/>
        </w:numPr>
        <w:rPr>
          <w:rFonts w:ascii="Arial" w:cs="Arial" w:eastAsia="Arial" w:hAnsi="Arial"/>
          <w:sz w:val="21"/>
          <w:szCs w:val="21"/>
          <w:color w:val="auto"/>
        </w:rPr>
      </w:pPr>
      <w:r>
        <w:rPr>
          <w:rFonts w:ascii="Arial" w:cs="Arial" w:eastAsia="Arial" w:hAnsi="Arial"/>
          <w:sz w:val="21"/>
          <w:szCs w:val="21"/>
          <w:color w:val="auto"/>
        </w:rPr>
        <w:t>The Executive’s services shall be performed remotely, subject to travel from time to time as reasonably required in connection with the Executive's duties.</w:t>
      </w:r>
    </w:p>
    <w:p>
      <w:pPr>
        <w:spacing w:after="0" w:line="149" w:lineRule="exact"/>
        <w:rPr>
          <w:rFonts w:ascii="Arial" w:cs="Arial" w:eastAsia="Arial" w:hAnsi="Arial"/>
          <w:sz w:val="21"/>
          <w:szCs w:val="21"/>
          <w:color w:val="auto"/>
        </w:rPr>
      </w:pPr>
    </w:p>
    <w:p>
      <w:pPr>
        <w:ind w:left="640" w:hanging="634"/>
        <w:spacing w:after="0"/>
        <w:tabs>
          <w:tab w:leader="none" w:pos="640"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color w:val="auto"/>
        </w:rPr>
        <w:t>TERM.</w:t>
      </w:r>
    </w:p>
    <w:p>
      <w:pPr>
        <w:spacing w:after="0" w:line="189"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1"/>
          <w:szCs w:val="21"/>
          <w:color w:val="auto"/>
        </w:rPr>
        <w:t>This Agreement shall commence on the Effective Date, shall continue thereafter until December 31, 2022 (the “</w:t>
      </w:r>
      <w:r>
        <w:rPr>
          <w:rFonts w:ascii="Arial" w:cs="Arial" w:eastAsia="Arial" w:hAnsi="Arial"/>
          <w:sz w:val="21"/>
          <w:szCs w:val="21"/>
          <w:b w:val="1"/>
          <w:bCs w:val="1"/>
          <w:i w:val="1"/>
          <w:iCs w:val="1"/>
          <w:color w:val="auto"/>
        </w:rPr>
        <w:t>End Date</w:t>
      </w:r>
      <w:r>
        <w:rPr>
          <w:rFonts w:ascii="Arial" w:cs="Arial" w:eastAsia="Arial" w:hAnsi="Arial"/>
          <w:sz w:val="21"/>
          <w:szCs w:val="21"/>
          <w:color w:val="auto"/>
        </w:rPr>
        <w:t>”) unless otherwise mutually agreed by the Board and the Executive or earlier terminated in accordance with the terms hereof (such period from the date hereof until the termination date hereof, the “</w:t>
      </w:r>
      <w:r>
        <w:rPr>
          <w:rFonts w:ascii="Arial" w:cs="Arial" w:eastAsia="Arial" w:hAnsi="Arial"/>
          <w:sz w:val="21"/>
          <w:szCs w:val="21"/>
          <w:b w:val="1"/>
          <w:bCs w:val="1"/>
          <w:i w:val="1"/>
          <w:iCs w:val="1"/>
          <w:color w:val="auto"/>
        </w:rPr>
        <w:t>Term</w:t>
      </w:r>
      <w:r>
        <w:rPr>
          <w:rFonts w:ascii="Arial" w:cs="Arial" w:eastAsia="Arial" w:hAnsi="Arial"/>
          <w:sz w:val="21"/>
          <w:szCs w:val="21"/>
          <w:color w:val="auto"/>
        </w:rPr>
        <w:t>”). It is anticipated that the Executive will be employed 80% of his business time by the Corporation during the Term.</w:t>
      </w:r>
    </w:p>
    <w:p>
      <w:pPr>
        <w:spacing w:after="0" w:line="148" w:lineRule="exact"/>
        <w:rPr>
          <w:sz w:val="20"/>
          <w:szCs w:val="20"/>
          <w:color w:val="auto"/>
        </w:rPr>
      </w:pPr>
    </w:p>
    <w:p>
      <w:pPr>
        <w:ind w:left="640" w:hanging="634"/>
        <w:spacing w:after="0"/>
        <w:tabs>
          <w:tab w:leader="none" w:pos="640" w:val="left"/>
        </w:tabs>
        <w:numPr>
          <w:ilvl w:val="0"/>
          <w:numId w:val="97"/>
        </w:numPr>
        <w:rPr>
          <w:rFonts w:ascii="Arial" w:cs="Arial" w:eastAsia="Arial" w:hAnsi="Arial"/>
          <w:sz w:val="21"/>
          <w:szCs w:val="21"/>
          <w:b w:val="1"/>
          <w:bCs w:val="1"/>
          <w:color w:val="auto"/>
        </w:rPr>
      </w:pPr>
      <w:r>
        <w:rPr>
          <w:rFonts w:ascii="Arial" w:cs="Arial" w:eastAsia="Arial" w:hAnsi="Arial"/>
          <w:sz w:val="21"/>
          <w:szCs w:val="21"/>
          <w:b w:val="1"/>
          <w:bCs w:val="1"/>
          <w:color w:val="auto"/>
        </w:rPr>
        <w:t>COMPENSATION.</w:t>
      </w:r>
    </w:p>
    <w:p>
      <w:pPr>
        <w:spacing w:after="0" w:line="188" w:lineRule="exact"/>
        <w:rPr>
          <w:rFonts w:ascii="Arial" w:cs="Arial" w:eastAsia="Arial" w:hAnsi="Arial"/>
          <w:sz w:val="21"/>
          <w:szCs w:val="21"/>
          <w:b w:val="1"/>
          <w:bCs w:val="1"/>
          <w:color w:val="auto"/>
        </w:rPr>
      </w:pPr>
    </w:p>
    <w:p>
      <w:pPr>
        <w:ind w:left="640"/>
        <w:spacing w:after="0"/>
        <w:rPr>
          <w:rFonts w:ascii="Arial" w:cs="Arial" w:eastAsia="Arial" w:hAnsi="Arial"/>
          <w:sz w:val="21"/>
          <w:szCs w:val="21"/>
          <w:b w:val="1"/>
          <w:bCs w:val="1"/>
          <w:color w:val="auto"/>
        </w:rPr>
      </w:pPr>
      <w:r>
        <w:rPr>
          <w:rFonts w:ascii="Arial" w:cs="Arial" w:eastAsia="Arial" w:hAnsi="Arial"/>
          <w:sz w:val="21"/>
          <w:szCs w:val="21"/>
          <w:color w:val="auto"/>
        </w:rPr>
        <w:t>In consideration for the Executive’s services hereunder, the Executive shall receive the following compensation:</w:t>
      </w:r>
    </w:p>
    <w:p>
      <w:pPr>
        <w:spacing w:after="0" w:line="182" w:lineRule="exact"/>
        <w:rPr>
          <w:rFonts w:ascii="Arial" w:cs="Arial" w:eastAsia="Arial" w:hAnsi="Arial"/>
          <w:sz w:val="21"/>
          <w:szCs w:val="21"/>
          <w:b w:val="1"/>
          <w:bCs w:val="1"/>
          <w:color w:val="auto"/>
        </w:rPr>
      </w:pPr>
    </w:p>
    <w:p>
      <w:pPr>
        <w:ind w:firstLine="636"/>
        <w:spacing w:after="0" w:line="239" w:lineRule="auto"/>
        <w:rPr>
          <w:rFonts w:ascii="Arial" w:cs="Arial" w:eastAsia="Arial" w:hAnsi="Arial"/>
          <w:sz w:val="21"/>
          <w:szCs w:val="21"/>
          <w:b w:val="1"/>
          <w:bCs w:val="1"/>
          <w:color w:val="auto"/>
        </w:rPr>
      </w:pPr>
      <w:r>
        <w:rPr>
          <w:rFonts w:ascii="Arial" w:cs="Arial" w:eastAsia="Arial" w:hAnsi="Arial"/>
          <w:sz w:val="21"/>
          <w:szCs w:val="21"/>
          <w:color w:val="auto"/>
        </w:rPr>
        <w:t xml:space="preserve">A. </w:t>
      </w:r>
      <w:r>
        <w:rPr>
          <w:rFonts w:ascii="Arial" w:cs="Arial" w:eastAsia="Arial" w:hAnsi="Arial"/>
          <w:sz w:val="21"/>
          <w:szCs w:val="21"/>
          <w:i w:val="1"/>
          <w:iCs w:val="1"/>
          <w:color w:val="auto"/>
        </w:rPr>
        <w:t>Base Salary</w:t>
      </w:r>
      <w:r>
        <w:rPr>
          <w:rFonts w:ascii="Arial" w:cs="Arial" w:eastAsia="Arial" w:hAnsi="Arial"/>
          <w:sz w:val="21"/>
          <w:szCs w:val="21"/>
          <w:color w:val="auto"/>
        </w:rPr>
        <w:t>. Beginning on the Effective Date and for the balance of the Term, the Corporation shall pay the Executive a base salary at a rate equal to $540,000 per annum (the</w:t>
      </w:r>
    </w:p>
    <w:p>
      <w:pPr>
        <w:sectPr>
          <w:pgSz w:w="11900" w:h="16838" w:orient="portrait"/>
          <w:cols w:equalWidth="0" w:num="1">
            <w:col w:w="11240"/>
          </w:cols>
          <w:pgMar w:left="320" w:top="106" w:right="339" w:bottom="1440" w:gutter="0" w:footer="0" w:header="0"/>
        </w:sectPr>
      </w:pPr>
    </w:p>
    <w:bookmarkStart w:id="192" w:name="page193"/>
    <w:bookmarkEnd w:id="192"/>
    <w:p>
      <w:pPr>
        <w:jc w:val="both"/>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Base Salary</w:t>
      </w:r>
      <w:r>
        <w:rPr>
          <w:rFonts w:ascii="Arial" w:cs="Arial" w:eastAsia="Arial" w:hAnsi="Arial"/>
          <w:sz w:val="21"/>
          <w:szCs w:val="21"/>
          <w:color w:val="auto"/>
        </w:rPr>
        <w:t>”). The Executive’s Base Salary shall be subject to customary federal, state and local withholdings for income taxes, F.I.C.A. and similar charges. Throughout the Term, the Base Salary shall be payable in bi-weekly installments in arrears or in such other manner as the Corporation adopts as its payroll process for Corporation employees generally. The Executive shall not participate in the Company’s annual cash bonus plan during the Term.</w:t>
      </w:r>
    </w:p>
    <w:p>
      <w:pPr>
        <w:spacing w:after="0" w:line="154" w:lineRule="exact"/>
        <w:rPr>
          <w:sz w:val="20"/>
          <w:szCs w:val="20"/>
          <w:color w:val="auto"/>
        </w:rPr>
      </w:pPr>
    </w:p>
    <w:p>
      <w:pPr>
        <w:jc w:val="both"/>
        <w:ind w:firstLine="642"/>
        <w:spacing w:after="0" w:line="261" w:lineRule="auto"/>
        <w:tabs>
          <w:tab w:leader="none" w:pos="1268" w:val="left"/>
        </w:tabs>
        <w:numPr>
          <w:ilvl w:val="1"/>
          <w:numId w:val="98"/>
        </w:numPr>
        <w:rPr>
          <w:rFonts w:ascii="Arial" w:cs="Arial" w:eastAsia="Arial" w:hAnsi="Arial"/>
          <w:sz w:val="19"/>
          <w:szCs w:val="19"/>
          <w:color w:val="auto"/>
        </w:rPr>
      </w:pPr>
      <w:r>
        <w:rPr>
          <w:rFonts w:ascii="Arial" w:cs="Arial" w:eastAsia="Arial" w:hAnsi="Arial"/>
          <w:sz w:val="19"/>
          <w:szCs w:val="19"/>
          <w:i w:val="1"/>
          <w:iCs w:val="1"/>
          <w:color w:val="auto"/>
        </w:rPr>
        <w:t>Benefits</w:t>
      </w:r>
      <w:r>
        <w:rPr>
          <w:rFonts w:ascii="Arial" w:cs="Arial" w:eastAsia="Arial" w:hAnsi="Arial"/>
          <w:sz w:val="19"/>
          <w:szCs w:val="19"/>
          <w:color w:val="auto"/>
        </w:rPr>
        <w:t>. During the Term, the Executive shall receive the package of employee benefits that the Corporation elects</w:t>
      </w:r>
      <w:r>
        <w:rPr>
          <w:rFonts w:ascii="Arial" w:cs="Arial" w:eastAsia="Arial" w:hAnsi="Arial"/>
          <w:sz w:val="19"/>
          <w:szCs w:val="19"/>
          <w:i w:val="1"/>
          <w:iCs w:val="1"/>
          <w:color w:val="auto"/>
        </w:rPr>
        <w:t xml:space="preserve"> </w:t>
      </w:r>
      <w:r>
        <w:rPr>
          <w:rFonts w:ascii="Arial" w:cs="Arial" w:eastAsia="Arial" w:hAnsi="Arial"/>
          <w:sz w:val="19"/>
          <w:szCs w:val="19"/>
          <w:color w:val="auto"/>
        </w:rPr>
        <w:t>to make available to its most senior executive officers. In addition, the Executive shall receive four (4) weeks of vacation time per annum. The benefit package and the Executive’s use of his vacation time shall be subject to the Corporation’s policies.</w:t>
      </w:r>
    </w:p>
    <w:p>
      <w:pPr>
        <w:spacing w:after="0" w:line="135" w:lineRule="exact"/>
        <w:rPr>
          <w:rFonts w:ascii="Arial" w:cs="Arial" w:eastAsia="Arial" w:hAnsi="Arial"/>
          <w:sz w:val="19"/>
          <w:szCs w:val="19"/>
          <w:color w:val="auto"/>
        </w:rPr>
      </w:pPr>
    </w:p>
    <w:p>
      <w:pPr>
        <w:ind w:firstLine="642"/>
        <w:spacing w:after="0" w:line="239" w:lineRule="auto"/>
        <w:tabs>
          <w:tab w:leader="none" w:pos="1268" w:val="left"/>
        </w:tabs>
        <w:numPr>
          <w:ilvl w:val="1"/>
          <w:numId w:val="98"/>
        </w:numPr>
        <w:rPr>
          <w:rFonts w:ascii="Arial" w:cs="Arial" w:eastAsia="Arial" w:hAnsi="Arial"/>
          <w:sz w:val="21"/>
          <w:szCs w:val="21"/>
          <w:color w:val="auto"/>
        </w:rPr>
      </w:pPr>
      <w:r>
        <w:rPr>
          <w:rFonts w:ascii="Arial" w:cs="Arial" w:eastAsia="Arial" w:hAnsi="Arial"/>
          <w:sz w:val="21"/>
          <w:szCs w:val="21"/>
          <w:i w:val="1"/>
          <w:iCs w:val="1"/>
          <w:color w:val="auto"/>
        </w:rPr>
        <w:t>Business Expenses</w:t>
      </w:r>
      <w:r>
        <w:rPr>
          <w:rFonts w:ascii="Arial" w:cs="Arial" w:eastAsia="Arial" w:hAnsi="Arial"/>
          <w:sz w:val="21"/>
          <w:szCs w:val="21"/>
          <w:color w:val="auto"/>
        </w:rPr>
        <w:t>. Subject to Section 3.D, the Executive shall be reimbursed for all reasonable and necessary</w:t>
      </w:r>
      <w:r>
        <w:rPr>
          <w:rFonts w:ascii="Arial" w:cs="Arial" w:eastAsia="Arial" w:hAnsi="Arial"/>
          <w:sz w:val="21"/>
          <w:szCs w:val="21"/>
          <w:i w:val="1"/>
          <w:iCs w:val="1"/>
          <w:color w:val="auto"/>
        </w:rPr>
        <w:t xml:space="preserve"> </w:t>
      </w:r>
      <w:r>
        <w:rPr>
          <w:rFonts w:ascii="Arial" w:cs="Arial" w:eastAsia="Arial" w:hAnsi="Arial"/>
          <w:sz w:val="21"/>
          <w:szCs w:val="21"/>
          <w:color w:val="auto"/>
        </w:rPr>
        <w:t>business expenses incurred by him during the Term in connection with his employment.</w:t>
      </w:r>
    </w:p>
    <w:p>
      <w:pPr>
        <w:spacing w:after="0" w:line="155" w:lineRule="exact"/>
        <w:rPr>
          <w:rFonts w:ascii="Arial" w:cs="Arial" w:eastAsia="Arial" w:hAnsi="Arial"/>
          <w:sz w:val="21"/>
          <w:szCs w:val="21"/>
          <w:color w:val="auto"/>
        </w:rPr>
      </w:pPr>
    </w:p>
    <w:p>
      <w:pPr>
        <w:jc w:val="both"/>
        <w:ind w:firstLine="642"/>
        <w:spacing w:after="0" w:line="230" w:lineRule="auto"/>
        <w:tabs>
          <w:tab w:leader="none" w:pos="1266" w:val="left"/>
        </w:tabs>
        <w:numPr>
          <w:ilvl w:val="1"/>
          <w:numId w:val="98"/>
        </w:numPr>
        <w:rPr>
          <w:rFonts w:ascii="Arial" w:cs="Arial" w:eastAsia="Arial" w:hAnsi="Arial"/>
          <w:sz w:val="21"/>
          <w:szCs w:val="21"/>
          <w:color w:val="auto"/>
        </w:rPr>
      </w:pPr>
      <w:r>
        <w:rPr>
          <w:rFonts w:ascii="Arial" w:cs="Arial" w:eastAsia="Arial" w:hAnsi="Arial"/>
          <w:sz w:val="21"/>
          <w:szCs w:val="21"/>
          <w:i w:val="1"/>
          <w:iCs w:val="1"/>
          <w:color w:val="auto"/>
        </w:rPr>
        <w:t>Conditions to Reimbursement of Expenses</w:t>
      </w:r>
      <w:r>
        <w:rPr>
          <w:rFonts w:ascii="Arial" w:cs="Arial" w:eastAsia="Arial" w:hAnsi="Arial"/>
          <w:sz w:val="21"/>
          <w:szCs w:val="21"/>
          <w:color w:val="auto"/>
        </w:rPr>
        <w:t>. Reimbursement shall be based upon adherence to and submission by the</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 of expense statements and other documentation thereof required in accordance with the Corporation’s expense reimbursement policies.</w:t>
      </w:r>
    </w:p>
    <w:p>
      <w:pPr>
        <w:spacing w:after="0" w:line="153" w:lineRule="exact"/>
        <w:rPr>
          <w:rFonts w:ascii="Arial" w:cs="Arial" w:eastAsia="Arial" w:hAnsi="Arial"/>
          <w:sz w:val="21"/>
          <w:szCs w:val="21"/>
          <w:color w:val="auto"/>
        </w:rPr>
      </w:pPr>
    </w:p>
    <w:p>
      <w:pPr>
        <w:ind w:firstLine="642"/>
        <w:spacing w:after="0" w:line="239" w:lineRule="auto"/>
        <w:tabs>
          <w:tab w:leader="none" w:pos="1269" w:val="left"/>
        </w:tabs>
        <w:numPr>
          <w:ilvl w:val="1"/>
          <w:numId w:val="98"/>
        </w:numPr>
        <w:rPr>
          <w:rFonts w:ascii="Arial" w:cs="Arial" w:eastAsia="Arial" w:hAnsi="Arial"/>
          <w:sz w:val="21"/>
          <w:szCs w:val="21"/>
          <w:color w:val="auto"/>
        </w:rPr>
      </w:pPr>
      <w:r>
        <w:rPr>
          <w:rFonts w:ascii="Arial" w:cs="Arial" w:eastAsia="Arial" w:hAnsi="Arial"/>
          <w:sz w:val="21"/>
          <w:szCs w:val="21"/>
          <w:i w:val="1"/>
          <w:iCs w:val="1"/>
          <w:color w:val="auto"/>
        </w:rPr>
        <w:t>Life Insurance</w:t>
      </w:r>
      <w:r>
        <w:rPr>
          <w:rFonts w:ascii="Arial" w:cs="Arial" w:eastAsia="Arial" w:hAnsi="Arial"/>
          <w:sz w:val="21"/>
          <w:szCs w:val="21"/>
          <w:color w:val="auto"/>
        </w:rPr>
        <w:t>. Executive consents to and agrees to cooperate with the Corporation’s obtaining of insurance on the</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Executive’s life under a policy or policies owned by and for the benefit of the Corporation.</w:t>
      </w:r>
    </w:p>
    <w:p>
      <w:pPr>
        <w:spacing w:after="0" w:line="149" w:lineRule="exact"/>
        <w:rPr>
          <w:rFonts w:ascii="Arial" w:cs="Arial" w:eastAsia="Arial" w:hAnsi="Arial"/>
          <w:sz w:val="21"/>
          <w:szCs w:val="21"/>
          <w:color w:val="auto"/>
        </w:rPr>
      </w:pPr>
    </w:p>
    <w:p>
      <w:pPr>
        <w:ind w:left="640" w:hanging="634"/>
        <w:spacing w:after="0"/>
        <w:tabs>
          <w:tab w:leader="none" w:pos="640" w:val="left"/>
        </w:tabs>
        <w:numPr>
          <w:ilvl w:val="0"/>
          <w:numId w:val="99"/>
        </w:numPr>
        <w:rPr>
          <w:rFonts w:ascii="Arial" w:cs="Arial" w:eastAsia="Arial" w:hAnsi="Arial"/>
          <w:sz w:val="21"/>
          <w:szCs w:val="21"/>
          <w:b w:val="1"/>
          <w:bCs w:val="1"/>
          <w:color w:val="auto"/>
        </w:rPr>
      </w:pPr>
      <w:r>
        <w:rPr>
          <w:rFonts w:ascii="Arial" w:cs="Arial" w:eastAsia="Arial" w:hAnsi="Arial"/>
          <w:sz w:val="21"/>
          <w:szCs w:val="21"/>
          <w:b w:val="1"/>
          <w:bCs w:val="1"/>
          <w:color w:val="auto"/>
        </w:rPr>
        <w:t>EQUITY-BASED COMPENSATION AWARD; LOCK-UP PERIOD.</w:t>
      </w:r>
    </w:p>
    <w:p>
      <w:pPr>
        <w:spacing w:after="0" w:line="188" w:lineRule="exact"/>
        <w:rPr>
          <w:rFonts w:ascii="Arial" w:cs="Arial" w:eastAsia="Arial" w:hAnsi="Arial"/>
          <w:sz w:val="21"/>
          <w:szCs w:val="21"/>
          <w:b w:val="1"/>
          <w:bCs w:val="1"/>
          <w:color w:val="auto"/>
        </w:rPr>
      </w:pPr>
    </w:p>
    <w:p>
      <w:pPr>
        <w:jc w:val="both"/>
        <w:ind w:firstLine="642"/>
        <w:spacing w:after="0" w:line="230" w:lineRule="auto"/>
        <w:tabs>
          <w:tab w:leader="none" w:pos="1266" w:val="left"/>
        </w:tabs>
        <w:numPr>
          <w:ilvl w:val="1"/>
          <w:numId w:val="99"/>
        </w:numPr>
        <w:rPr>
          <w:rFonts w:ascii="Arial" w:cs="Arial" w:eastAsia="Arial" w:hAnsi="Arial"/>
          <w:sz w:val="20"/>
          <w:szCs w:val="20"/>
          <w:color w:val="auto"/>
        </w:rPr>
      </w:pPr>
      <w:r>
        <w:rPr>
          <w:rFonts w:ascii="Arial" w:cs="Arial" w:eastAsia="Arial" w:hAnsi="Arial"/>
          <w:sz w:val="20"/>
          <w:szCs w:val="20"/>
          <w:color w:val="auto"/>
        </w:rPr>
        <w:t>On the Effective Date and subject to the approval of the Board, the Corporation shall grant the Executive under the Sema4 Holdings Corp. 2021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 option (the “</w:t>
      </w:r>
      <w:r>
        <w:rPr>
          <w:rFonts w:ascii="Arial" w:cs="Arial" w:eastAsia="Arial" w:hAnsi="Arial"/>
          <w:sz w:val="20"/>
          <w:szCs w:val="20"/>
          <w:b w:val="1"/>
          <w:bCs w:val="1"/>
          <w:i w:val="1"/>
          <w:iCs w:val="1"/>
          <w:color w:val="auto"/>
        </w:rPr>
        <w:t>Stock Option</w:t>
      </w:r>
      <w:r>
        <w:rPr>
          <w:rFonts w:ascii="Arial" w:cs="Arial" w:eastAsia="Arial" w:hAnsi="Arial"/>
          <w:sz w:val="20"/>
          <w:szCs w:val="20"/>
          <w:color w:val="auto"/>
        </w:rPr>
        <w:t>”) to purchase 429,730 shares of the Corporation’s Class A common stock, 247,525 restricted stock units subject solely to service-based vesting conditions (the “</w:t>
      </w:r>
      <w:r>
        <w:rPr>
          <w:rFonts w:ascii="Arial" w:cs="Arial" w:eastAsia="Arial" w:hAnsi="Arial"/>
          <w:sz w:val="20"/>
          <w:szCs w:val="20"/>
          <w:b w:val="1"/>
          <w:bCs w:val="1"/>
          <w:i w:val="1"/>
          <w:iCs w:val="1"/>
          <w:color w:val="auto"/>
        </w:rPr>
        <w:t>Service-Based RSUs</w:t>
      </w:r>
      <w:r>
        <w:rPr>
          <w:rFonts w:ascii="Arial" w:cs="Arial" w:eastAsia="Arial" w:hAnsi="Arial"/>
          <w:sz w:val="20"/>
          <w:szCs w:val="20"/>
          <w:color w:val="auto"/>
        </w:rPr>
        <w:t>”), and 126,980 restricted stock units subject to both service- and performance-based vesting conditions (the “</w:t>
      </w:r>
      <w:r>
        <w:rPr>
          <w:rFonts w:ascii="Arial" w:cs="Arial" w:eastAsia="Arial" w:hAnsi="Arial"/>
          <w:sz w:val="20"/>
          <w:szCs w:val="20"/>
          <w:b w:val="1"/>
          <w:bCs w:val="1"/>
          <w:i w:val="1"/>
          <w:iCs w:val="1"/>
          <w:color w:val="auto"/>
        </w:rPr>
        <w:t>Performance-Based RSUs</w:t>
      </w:r>
      <w:r>
        <w:rPr>
          <w:rFonts w:ascii="Arial" w:cs="Arial" w:eastAsia="Arial" w:hAnsi="Arial"/>
          <w:sz w:val="20"/>
          <w:szCs w:val="20"/>
          <w:color w:val="auto"/>
        </w:rPr>
        <w:t>” and, together with the Stock Options and the Service-Based RSUs, the “</w:t>
      </w:r>
      <w:r>
        <w:rPr>
          <w:rFonts w:ascii="Arial" w:cs="Arial" w:eastAsia="Arial" w:hAnsi="Arial"/>
          <w:sz w:val="20"/>
          <w:szCs w:val="20"/>
          <w:b w:val="1"/>
          <w:bCs w:val="1"/>
          <w:i w:val="1"/>
          <w:iCs w:val="1"/>
          <w:color w:val="auto"/>
        </w:rPr>
        <w:t>Equity Awards</w:t>
      </w:r>
      <w:r>
        <w:rPr>
          <w:rFonts w:ascii="Arial" w:cs="Arial" w:eastAsia="Arial" w:hAnsi="Arial"/>
          <w:sz w:val="20"/>
          <w:szCs w:val="20"/>
          <w:color w:val="auto"/>
        </w:rPr>
        <w:t xml:space="preserve">”). The terms of the Equity Awards shall be governed in all respects by the terms of the notice of grant and award agreement to be entered into in connection with such grant and the terms and conditions of the Incentive Plan;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w:t>
      </w:r>
    </w:p>
    <w:p>
      <w:pPr>
        <w:spacing w:after="0" w:line="153" w:lineRule="exact"/>
        <w:rPr>
          <w:sz w:val="20"/>
          <w:szCs w:val="20"/>
          <w:color w:val="auto"/>
        </w:rPr>
      </w:pPr>
    </w:p>
    <w:p>
      <w:pPr>
        <w:ind w:firstLine="642"/>
        <w:spacing w:after="0" w:line="239" w:lineRule="auto"/>
        <w:tabs>
          <w:tab w:leader="none" w:pos="1142" w:val="left"/>
        </w:tabs>
        <w:numPr>
          <w:ilvl w:val="1"/>
          <w:numId w:val="100"/>
        </w:numPr>
        <w:rPr>
          <w:rFonts w:ascii="Arial" w:cs="Arial" w:eastAsia="Arial" w:hAnsi="Arial"/>
          <w:sz w:val="21"/>
          <w:szCs w:val="21"/>
          <w:color w:val="auto"/>
        </w:rPr>
      </w:pPr>
      <w:r>
        <w:rPr>
          <w:rFonts w:ascii="Arial" w:cs="Arial" w:eastAsia="Arial" w:hAnsi="Arial"/>
          <w:sz w:val="21"/>
          <w:szCs w:val="21"/>
          <w:color w:val="auto"/>
        </w:rPr>
        <w:t>the per share exercise price of the Stock Options shall be equal to the closing price of one share of the Corporation’s Class A common stock on the date of grant;</w:t>
      </w:r>
    </w:p>
    <w:p>
      <w:pPr>
        <w:spacing w:after="0" w:line="155" w:lineRule="exact"/>
        <w:rPr>
          <w:rFonts w:ascii="Arial" w:cs="Arial" w:eastAsia="Arial" w:hAnsi="Arial"/>
          <w:sz w:val="21"/>
          <w:szCs w:val="21"/>
          <w:color w:val="auto"/>
        </w:rPr>
      </w:pPr>
    </w:p>
    <w:p>
      <w:pPr>
        <w:jc w:val="both"/>
        <w:ind w:firstLine="642"/>
        <w:spacing w:after="0" w:line="239" w:lineRule="auto"/>
        <w:tabs>
          <w:tab w:leader="none" w:pos="1172" w:val="left"/>
        </w:tabs>
        <w:numPr>
          <w:ilvl w:val="1"/>
          <w:numId w:val="100"/>
        </w:numPr>
        <w:rPr>
          <w:rFonts w:ascii="Arial" w:cs="Arial" w:eastAsia="Arial" w:hAnsi="Arial"/>
          <w:sz w:val="19"/>
          <w:szCs w:val="19"/>
          <w:color w:val="auto"/>
        </w:rPr>
      </w:pPr>
      <w:r>
        <w:rPr>
          <w:rFonts w:ascii="Arial" w:cs="Arial" w:eastAsia="Arial" w:hAnsi="Arial"/>
          <w:sz w:val="19"/>
          <w:szCs w:val="19"/>
          <w:color w:val="auto"/>
        </w:rPr>
        <w:t>the Equity Awards shall vest and, as applicable, become exercisable on the earlier of (A) the End Date and (B) the consummation of a Corporate Transaction (within the meaning of the Incentive Plan), subject to (i) the Executive’s continued service with the Corporation under this Agreement through such earlier date, except as otherwise set forth in Section 5, and</w:t>
      </w:r>
    </w:p>
    <w:p>
      <w:pPr>
        <w:spacing w:after="0" w:line="1" w:lineRule="exact"/>
        <w:rPr>
          <w:rFonts w:ascii="Arial" w:cs="Arial" w:eastAsia="Arial" w:hAnsi="Arial"/>
          <w:sz w:val="19"/>
          <w:szCs w:val="19"/>
          <w:color w:val="auto"/>
        </w:rPr>
      </w:pPr>
    </w:p>
    <w:p>
      <w:pPr>
        <w:jc w:val="both"/>
        <w:ind w:firstLine="6"/>
        <w:spacing w:after="0" w:line="220" w:lineRule="auto"/>
        <w:tabs>
          <w:tab w:leader="none" w:pos="317"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xml:space="preserve">solely in the case the case of the Performance-Based RSUs, the Board’s determination of the achievement of performance goals for the Corporation and/or the Executive for calendar year 2022, which performance goals shall be established by the Board in consultation with the Executive;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event the consummation of a Corporate Transaction, the performance goals shall be deemed achieved in full; and</w:t>
      </w:r>
    </w:p>
    <w:p>
      <w:pPr>
        <w:spacing w:after="0" w:line="156" w:lineRule="exact"/>
        <w:rPr>
          <w:rFonts w:ascii="Arial" w:cs="Arial" w:eastAsia="Arial" w:hAnsi="Arial"/>
          <w:sz w:val="21"/>
          <w:szCs w:val="21"/>
          <w:color w:val="auto"/>
        </w:rPr>
      </w:pPr>
    </w:p>
    <w:p>
      <w:pPr>
        <w:jc w:val="both"/>
        <w:ind w:firstLine="642"/>
        <w:spacing w:after="0" w:line="242" w:lineRule="auto"/>
        <w:tabs>
          <w:tab w:leader="none" w:pos="1144"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Executive’s continued service as a member of the Board following the expiration of the Term shall be deemed to constitute continued “Service” for purposes of the Stock Options, such that the post-termination exercise period for the Stock Options shall not commence solely as a result of the expiration of the Term and shall only commence at such time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77" w:right="339" w:bottom="1440" w:gutter="0" w:footer="0" w:header="0"/>
        </w:sectPr>
      </w:pPr>
    </w:p>
    <w:bookmarkStart w:id="193" w:name="page194"/>
    <w:bookmarkEnd w:id="193"/>
    <w:p>
      <w:pPr>
        <w:spacing w:after="0" w:line="239" w:lineRule="auto"/>
        <w:rPr>
          <w:sz w:val="20"/>
          <w:szCs w:val="20"/>
          <w:color w:val="auto"/>
        </w:rPr>
      </w:pPr>
      <w:r>
        <w:rPr>
          <w:rFonts w:ascii="Arial" w:cs="Arial" w:eastAsia="Arial" w:hAnsi="Arial"/>
          <w:sz w:val="21"/>
          <w:szCs w:val="21"/>
          <w:color w:val="auto"/>
        </w:rPr>
        <w:t xml:space="preserve">as the Executive ceases to be a member of the Board;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any event the post-termination exercise period for the Stock Options shall not expire prior to December 31, 2024.</w:t>
      </w:r>
    </w:p>
    <w:p>
      <w:pPr>
        <w:spacing w:after="0" w:line="149" w:lineRule="exact"/>
        <w:rPr>
          <w:sz w:val="20"/>
          <w:szCs w:val="20"/>
          <w:color w:val="auto"/>
        </w:rPr>
      </w:pPr>
    </w:p>
    <w:p>
      <w:pPr>
        <w:ind w:left="640" w:hanging="634"/>
        <w:spacing w:after="0"/>
        <w:tabs>
          <w:tab w:leader="none" w:pos="640" w:val="left"/>
        </w:tabs>
        <w:numPr>
          <w:ilvl w:val="0"/>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 AND SEVERANCE.</w:t>
      </w:r>
    </w:p>
    <w:p>
      <w:pPr>
        <w:spacing w:after="0" w:line="188" w:lineRule="exact"/>
        <w:rPr>
          <w:rFonts w:ascii="Arial" w:cs="Arial" w:eastAsia="Arial" w:hAnsi="Arial"/>
          <w:sz w:val="21"/>
          <w:szCs w:val="21"/>
          <w:b w:val="1"/>
          <w:bCs w:val="1"/>
          <w:color w:val="auto"/>
        </w:rPr>
      </w:pPr>
    </w:p>
    <w:p>
      <w:pPr>
        <w:ind w:left="640"/>
        <w:spacing w:after="0"/>
        <w:rPr>
          <w:rFonts w:ascii="Arial" w:cs="Arial" w:eastAsia="Arial" w:hAnsi="Arial"/>
          <w:sz w:val="21"/>
          <w:szCs w:val="21"/>
          <w:b w:val="1"/>
          <w:bCs w:val="1"/>
          <w:color w:val="auto"/>
        </w:rPr>
      </w:pPr>
      <w:r>
        <w:rPr>
          <w:rFonts w:ascii="Arial" w:cs="Arial" w:eastAsia="Arial" w:hAnsi="Arial"/>
          <w:sz w:val="21"/>
          <w:szCs w:val="21"/>
          <w:color w:val="auto"/>
        </w:rPr>
        <w:t>A.</w:t>
      </w:r>
      <w:r>
        <w:rPr>
          <w:rFonts w:ascii="Arial" w:cs="Arial" w:eastAsia="Arial" w:hAnsi="Arial"/>
          <w:sz w:val="19"/>
          <w:szCs w:val="19"/>
          <w:color w:val="auto"/>
        </w:rPr>
        <w:t>As used in this Section 5:</w:t>
      </w:r>
    </w:p>
    <w:p>
      <w:pPr>
        <w:spacing w:after="0" w:line="183"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xml:space="preserve">” shall mean: (1) any repeated failure (except as result of sickness, illness or injury) or refusal by the Executive to perform any of his material duties pursuant to this Agreement after written notice and a reasonable opportunity to cure such material breach; (2) material breach by the Executive of the Proprietary Rights Agreement executed by the Executive with the Corporation after written notice and a reasonable opportunity to cure; (3) material breach by the Executive of any written corporate policy of the Corporation after written notice and a reasonable opportunity to cure, provided such breach is curable; (4) breach by the Executive of his fiduciary duty to the Corporation; (5) gross negligence or gross misconduct of the Executive in connection with the Corporation’s business or the performance of Executive’s duties; provided that in the case of gross negligence, such gross negligence results in harm to the Corporation; (6) the Executive’s conviction of or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any crime that would impair the reputation of the Corporation, any crime involving theft, embezzlement or other misappropriation of money or other property, or any crime which constitutes a felony in the jurisdiction involved; or (7) the Executive’s habitual absence or abuse of alcohol or controlled or illegal substances. No termination for Cause shall be effective unless the Board makes a Cause determination after written notice to the Executive and the Executive has been provided the opportunity (with counsel of Executive’s choice) to be heard at a meeting of the Board prior to its determination.</w:t>
      </w:r>
    </w:p>
    <w:p>
      <w:pPr>
        <w:spacing w:after="0" w:line="163" w:lineRule="exact"/>
        <w:rPr>
          <w:sz w:val="20"/>
          <w:szCs w:val="20"/>
          <w:color w:val="auto"/>
        </w:rPr>
      </w:pPr>
    </w:p>
    <w:p>
      <w:pPr>
        <w:jc w:val="both"/>
        <w:ind w:firstLine="1272"/>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shall mean the Executive’s inability to perform the essential duties of Executive’s employment hereunder with reasonable accommodation by reason of any medically determined physical or mental impairment that has lasted a period of not less than one-hundred-eighty (180) days (whether or not consecutive) in any consecutive three-hundred-sixty-five</w:t>
      </w:r>
    </w:p>
    <w:p>
      <w:pPr>
        <w:spacing w:after="0" w:line="1" w:lineRule="exact"/>
        <w:rPr>
          <w:sz w:val="20"/>
          <w:szCs w:val="20"/>
          <w:color w:val="auto"/>
        </w:rPr>
      </w:pPr>
    </w:p>
    <w:p>
      <w:pPr>
        <w:jc w:val="both"/>
        <w:ind w:firstLine="6"/>
        <w:spacing w:after="0" w:line="224" w:lineRule="auto"/>
        <w:tabs>
          <w:tab w:leader="none" w:pos="535" w:val="left"/>
        </w:tabs>
        <w:numPr>
          <w:ilvl w:val="0"/>
          <w:numId w:val="103"/>
        </w:numPr>
        <w:rPr>
          <w:rFonts w:ascii="Arial" w:cs="Arial" w:eastAsia="Arial" w:hAnsi="Arial"/>
          <w:sz w:val="21"/>
          <w:szCs w:val="21"/>
          <w:color w:val="auto"/>
        </w:rPr>
      </w:pPr>
      <w:r>
        <w:rPr>
          <w:rFonts w:ascii="Arial" w:cs="Arial" w:eastAsia="Arial" w:hAnsi="Arial"/>
          <w:sz w:val="21"/>
          <w:szCs w:val="21"/>
          <w:color w:val="auto"/>
        </w:rPr>
        <w:t>day period as determined by a physician that is mutually acceptable to the Corporation and Executive. If Corporation and Executive cannot agree on a physician, each party shall select a physician and the two physicians shall select a third who shall be the approved physician for this purpose.</w:t>
      </w:r>
    </w:p>
    <w:p>
      <w:pPr>
        <w:spacing w:after="0" w:line="154" w:lineRule="exact"/>
        <w:rPr>
          <w:sz w:val="20"/>
          <w:szCs w:val="20"/>
          <w:color w:val="auto"/>
        </w:rPr>
      </w:pPr>
    </w:p>
    <w:p>
      <w:pPr>
        <w:jc w:val="both"/>
        <w:ind w:firstLine="1272"/>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xml:space="preserve">” shall mean: (1) any material breach by the Corporation of its obligations to the Executive pursuant to this Agreement (including, without limitation, a failure to pay Base Salary in accordance with Section 3.A); (2) the Executive is no longer the Executive Chairman of the Board or is required to report directly to anyone other than the Board, and (3) a material reduction in Executive’s authority, duties or responsibility;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none of these events shall constitute Good Reason unless (i) the Executive notifies the Corporation in writing of the event(s) constituting Good Reason within sixty (60) days after the Executive first becomes aware of the occurrence of such event(s), (ii) the Corporation has failed to cure such event(s) within thirty (30) days after receipt of such notice, and (iii) the Executive resigns from all positions then held by the Executive no later than thirty (30) days after the expiration of such cure period.</w:t>
      </w:r>
    </w:p>
    <w:p>
      <w:pPr>
        <w:spacing w:after="0" w:line="160" w:lineRule="exact"/>
        <w:rPr>
          <w:sz w:val="20"/>
          <w:szCs w:val="20"/>
          <w:color w:val="auto"/>
        </w:rPr>
      </w:pPr>
    </w:p>
    <w:p>
      <w:pPr>
        <w:ind w:left="1280" w:hanging="638"/>
        <w:spacing w:after="0"/>
        <w:tabs>
          <w:tab w:leader="none" w:pos="1280" w:val="left"/>
        </w:tabs>
        <w:numPr>
          <w:ilvl w:val="0"/>
          <w:numId w:val="104"/>
        </w:numPr>
        <w:rPr>
          <w:rFonts w:ascii="Arial" w:cs="Arial" w:eastAsia="Arial" w:hAnsi="Arial"/>
          <w:sz w:val="19"/>
          <w:szCs w:val="19"/>
          <w:color w:val="auto"/>
        </w:rPr>
      </w:pPr>
      <w:r>
        <w:rPr>
          <w:rFonts w:ascii="Arial" w:cs="Arial" w:eastAsia="Arial" w:hAnsi="Arial"/>
          <w:sz w:val="19"/>
          <w:szCs w:val="19"/>
          <w:i w:val="1"/>
          <w:iCs w:val="1"/>
          <w:color w:val="auto"/>
        </w:rPr>
        <w:t>Termination</w:t>
      </w:r>
      <w:r>
        <w:rPr>
          <w:rFonts w:ascii="Arial" w:cs="Arial" w:eastAsia="Arial" w:hAnsi="Arial"/>
          <w:sz w:val="19"/>
          <w:szCs w:val="19"/>
          <w:color w:val="auto"/>
        </w:rPr>
        <w:t>. This Agreement, the Term and the Executive’s employment hereunder shall terminate upon any of the</w:t>
      </w:r>
    </w:p>
    <w:p>
      <w:pPr>
        <w:spacing w:after="0" w:line="1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following:</w:t>
      </w:r>
    </w:p>
    <w:p>
      <w:pPr>
        <w:spacing w:after="0" w:line="164" w:lineRule="exact"/>
        <w:rPr>
          <w:rFonts w:ascii="Arial" w:cs="Arial" w:eastAsia="Arial" w:hAnsi="Arial"/>
          <w:sz w:val="19"/>
          <w:szCs w:val="19"/>
          <w:color w:val="auto"/>
        </w:rPr>
      </w:pPr>
    </w:p>
    <w:p>
      <w:pPr>
        <w:ind w:firstLine="1278"/>
        <w:spacing w:after="0" w:line="239" w:lineRule="auto"/>
        <w:tabs>
          <w:tab w:leader="none" w:pos="1896" w:val="left"/>
        </w:tabs>
        <w:numPr>
          <w:ilvl w:val="1"/>
          <w:numId w:val="104"/>
        </w:numPr>
        <w:rPr>
          <w:rFonts w:ascii="Arial" w:cs="Arial" w:eastAsia="Arial" w:hAnsi="Arial"/>
          <w:sz w:val="21"/>
          <w:szCs w:val="21"/>
          <w:color w:val="auto"/>
        </w:rPr>
      </w:pPr>
      <w:r>
        <w:rPr>
          <w:rFonts w:ascii="Arial" w:cs="Arial" w:eastAsia="Arial" w:hAnsi="Arial"/>
          <w:sz w:val="21"/>
          <w:szCs w:val="21"/>
          <w:color w:val="auto"/>
        </w:rPr>
        <w:t>in the event of any determination by the Board that there is Cause for such termination, upon written notice of termination from the Board to the Executive (following the expiration of the applicable cure period, if 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77" w:right="339" w:bottom="1440" w:gutter="0" w:footer="0" w:header="0"/>
        </w:sectPr>
      </w:pPr>
    </w:p>
    <w:bookmarkStart w:id="194" w:name="page195"/>
    <w:bookmarkEnd w:id="194"/>
    <w:p>
      <w:pPr>
        <w:ind w:left="1900" w:hanging="622"/>
        <w:spacing w:after="0"/>
        <w:tabs>
          <w:tab w:leader="none" w:pos="190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immediately upon the death or Disability of the Executive;</w:t>
      </w:r>
    </w:p>
    <w:p>
      <w:pPr>
        <w:spacing w:after="0" w:line="182" w:lineRule="exact"/>
        <w:rPr>
          <w:rFonts w:ascii="Arial" w:cs="Arial" w:eastAsia="Arial" w:hAnsi="Arial"/>
          <w:sz w:val="21"/>
          <w:szCs w:val="21"/>
          <w:color w:val="auto"/>
        </w:rPr>
      </w:pPr>
    </w:p>
    <w:p>
      <w:pPr>
        <w:ind w:firstLine="1278"/>
        <w:spacing w:after="0" w:line="239" w:lineRule="auto"/>
        <w:tabs>
          <w:tab w:leader="none" w:pos="1908" w:val="left"/>
        </w:tabs>
        <w:numPr>
          <w:ilvl w:val="1"/>
          <w:numId w:val="105"/>
        </w:numPr>
        <w:rPr>
          <w:rFonts w:ascii="Arial" w:cs="Arial" w:eastAsia="Arial" w:hAnsi="Arial"/>
          <w:sz w:val="21"/>
          <w:szCs w:val="21"/>
          <w:color w:val="auto"/>
        </w:rPr>
      </w:pPr>
      <w:r>
        <w:rPr>
          <w:rFonts w:ascii="Arial" w:cs="Arial" w:eastAsia="Arial" w:hAnsi="Arial"/>
          <w:sz w:val="21"/>
          <w:szCs w:val="21"/>
          <w:color w:val="auto"/>
        </w:rPr>
        <w:t>in the event of any determination by the Executive that there is Good Reason for such termination, upon written notice of termination from the Executive to the Board (following the expiration of the cure period);</w:t>
      </w:r>
    </w:p>
    <w:p>
      <w:pPr>
        <w:spacing w:after="0" w:line="155" w:lineRule="exact"/>
        <w:rPr>
          <w:rFonts w:ascii="Arial" w:cs="Arial" w:eastAsia="Arial" w:hAnsi="Arial"/>
          <w:sz w:val="21"/>
          <w:szCs w:val="21"/>
          <w:color w:val="auto"/>
        </w:rPr>
      </w:pPr>
    </w:p>
    <w:p>
      <w:pPr>
        <w:ind w:left="1900" w:hanging="622"/>
        <w:spacing w:after="0"/>
        <w:tabs>
          <w:tab w:leader="none" w:pos="190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at the election of the Board to terminate this Agreement without Cause, upon sixty (60) days’ written notice</w:t>
      </w:r>
    </w:p>
    <w:p>
      <w:pPr>
        <w:spacing w:after="0" w:line="1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to the Executive; or</w:t>
      </w:r>
    </w:p>
    <w:p>
      <w:pPr>
        <w:spacing w:after="0" w:line="164" w:lineRule="exact"/>
        <w:rPr>
          <w:rFonts w:ascii="Arial" w:cs="Arial" w:eastAsia="Arial" w:hAnsi="Arial"/>
          <w:sz w:val="19"/>
          <w:szCs w:val="19"/>
          <w:color w:val="auto"/>
        </w:rPr>
      </w:pPr>
    </w:p>
    <w:p>
      <w:pPr>
        <w:ind w:firstLine="1278"/>
        <w:spacing w:after="0" w:line="239" w:lineRule="auto"/>
        <w:tabs>
          <w:tab w:leader="none" w:pos="1903" w:val="left"/>
        </w:tabs>
        <w:numPr>
          <w:ilvl w:val="1"/>
          <w:numId w:val="105"/>
        </w:numPr>
        <w:rPr>
          <w:rFonts w:ascii="Arial" w:cs="Arial" w:eastAsia="Arial" w:hAnsi="Arial"/>
          <w:sz w:val="21"/>
          <w:szCs w:val="21"/>
          <w:color w:val="auto"/>
        </w:rPr>
      </w:pPr>
      <w:r>
        <w:rPr>
          <w:rFonts w:ascii="Arial" w:cs="Arial" w:eastAsia="Arial" w:hAnsi="Arial"/>
          <w:sz w:val="21"/>
          <w:szCs w:val="21"/>
          <w:color w:val="auto"/>
        </w:rPr>
        <w:t>at the election of the Executive to terminate this Agreement without Good Reason, upon sixty (60) days’ written notice to the Board.</w:t>
      </w:r>
    </w:p>
    <w:p>
      <w:pPr>
        <w:spacing w:after="0" w:line="155" w:lineRule="exact"/>
        <w:rPr>
          <w:rFonts w:ascii="Arial" w:cs="Arial" w:eastAsia="Arial" w:hAnsi="Arial"/>
          <w:sz w:val="21"/>
          <w:szCs w:val="21"/>
          <w:color w:val="auto"/>
        </w:rPr>
      </w:pPr>
    </w:p>
    <w:p>
      <w:pPr>
        <w:jc w:val="both"/>
        <w:ind w:firstLine="642"/>
        <w:spacing w:after="0" w:line="222" w:lineRule="auto"/>
        <w:tabs>
          <w:tab w:leader="none" w:pos="1268" w:val="left"/>
        </w:tabs>
        <w:numPr>
          <w:ilvl w:val="0"/>
          <w:numId w:val="106"/>
        </w:numPr>
        <w:rPr>
          <w:rFonts w:ascii="Arial" w:cs="Arial" w:eastAsia="Arial" w:hAnsi="Arial"/>
          <w:sz w:val="21"/>
          <w:szCs w:val="21"/>
          <w:color w:val="auto"/>
        </w:rPr>
      </w:pPr>
      <w:r>
        <w:rPr>
          <w:rFonts w:ascii="Arial" w:cs="Arial" w:eastAsia="Arial" w:hAnsi="Arial"/>
          <w:sz w:val="21"/>
          <w:szCs w:val="21"/>
          <w:i w:val="1"/>
          <w:iCs w:val="1"/>
          <w:color w:val="auto"/>
        </w:rPr>
        <w:t>General</w:t>
      </w:r>
      <w:r>
        <w:rPr>
          <w:rFonts w:ascii="Arial" w:cs="Arial" w:eastAsia="Arial" w:hAnsi="Arial"/>
          <w:sz w:val="21"/>
          <w:szCs w:val="21"/>
          <w:color w:val="auto"/>
        </w:rPr>
        <w:t>. Upon the termination of the Executive’s employment for any reason, the Executive (or his estate, as the</w:t>
      </w:r>
      <w:r>
        <w:rPr>
          <w:rFonts w:ascii="Arial" w:cs="Arial" w:eastAsia="Arial" w:hAnsi="Arial"/>
          <w:sz w:val="21"/>
          <w:szCs w:val="21"/>
          <w:i w:val="1"/>
          <w:iCs w:val="1"/>
          <w:color w:val="auto"/>
        </w:rPr>
        <w:t xml:space="preserve"> </w:t>
      </w:r>
      <w:r>
        <w:rPr>
          <w:rFonts w:ascii="Arial" w:cs="Arial" w:eastAsia="Arial" w:hAnsi="Arial"/>
          <w:sz w:val="21"/>
          <w:szCs w:val="21"/>
          <w:color w:val="auto"/>
        </w:rPr>
        <w:t>case may be) shall be entitled to receive (i) any Base Salary hereunder accrued prior to the date of such termination, and (ii) any amount payable to the Executive under the policies and procedures of the Corporation with respect to payments to executive officers for accrued vacation and unreimbursed business expenses for which proper documentation is provided (collectively, the “</w:t>
      </w:r>
      <w:r>
        <w:rPr>
          <w:rFonts w:ascii="Arial" w:cs="Arial" w:eastAsia="Arial" w:hAnsi="Arial"/>
          <w:sz w:val="21"/>
          <w:szCs w:val="21"/>
          <w:b w:val="1"/>
          <w:bCs w:val="1"/>
          <w:i w:val="1"/>
          <w:iCs w:val="1"/>
          <w:color w:val="auto"/>
        </w:rPr>
        <w:t>Accrued Compensation</w:t>
      </w:r>
      <w:r>
        <w:rPr>
          <w:rFonts w:ascii="Arial" w:cs="Arial" w:eastAsia="Arial" w:hAnsi="Arial"/>
          <w:sz w:val="21"/>
          <w:szCs w:val="21"/>
          <w:color w:val="auto"/>
        </w:rPr>
        <w:t>”).</w:t>
      </w:r>
    </w:p>
    <w:p>
      <w:pPr>
        <w:spacing w:after="0" w:line="155" w:lineRule="exact"/>
        <w:rPr>
          <w:rFonts w:ascii="Arial" w:cs="Arial" w:eastAsia="Arial" w:hAnsi="Arial"/>
          <w:sz w:val="21"/>
          <w:szCs w:val="21"/>
          <w:color w:val="auto"/>
        </w:rPr>
      </w:pPr>
    </w:p>
    <w:p>
      <w:pPr>
        <w:jc w:val="both"/>
        <w:ind w:firstLine="642"/>
        <w:spacing w:after="0" w:line="236" w:lineRule="auto"/>
        <w:tabs>
          <w:tab w:leader="none" w:pos="1266" w:val="left"/>
        </w:tabs>
        <w:numPr>
          <w:ilvl w:val="0"/>
          <w:numId w:val="106"/>
        </w:numPr>
        <w:rPr>
          <w:rFonts w:ascii="Arial" w:cs="Arial" w:eastAsia="Arial" w:hAnsi="Arial"/>
          <w:sz w:val="20"/>
          <w:szCs w:val="20"/>
          <w:color w:val="auto"/>
        </w:rPr>
      </w:pPr>
      <w:r>
        <w:rPr>
          <w:rFonts w:ascii="Arial" w:cs="Arial" w:eastAsia="Arial" w:hAnsi="Arial"/>
          <w:sz w:val="20"/>
          <w:szCs w:val="20"/>
          <w:i w:val="1"/>
          <w:iCs w:val="1"/>
          <w:color w:val="auto"/>
        </w:rPr>
        <w:t>Severance Benefits Upon Termination by the Corporation Without Cause or by the Executive for Good Reason</w:t>
      </w:r>
      <w:r>
        <w:rPr>
          <w:rFonts w:ascii="Arial" w:cs="Arial" w:eastAsia="Arial" w:hAnsi="Arial"/>
          <w:sz w:val="20"/>
          <w:szCs w:val="20"/>
          <w:color w:val="auto"/>
        </w:rPr>
        <w:t>. Upon</w:t>
      </w:r>
      <w:r>
        <w:rPr>
          <w:rFonts w:ascii="Arial" w:cs="Arial" w:eastAsia="Arial" w:hAnsi="Arial"/>
          <w:sz w:val="20"/>
          <w:szCs w:val="20"/>
          <w:i w:val="1"/>
          <w:iCs w:val="1"/>
          <w:color w:val="auto"/>
        </w:rPr>
        <w:t xml:space="preserve"> </w:t>
      </w:r>
      <w:r>
        <w:rPr>
          <w:rFonts w:ascii="Arial" w:cs="Arial" w:eastAsia="Arial" w:hAnsi="Arial"/>
          <w:sz w:val="20"/>
          <w:szCs w:val="20"/>
          <w:color w:val="auto"/>
        </w:rPr>
        <w:t>the termination of the Executive’s employment by the Board without Cause or by the Executive for Good Reason, the Executive will be entitled to receive the Accrued Compensation and, subject to the requirements of Section 5.E, will be entitled to receive the following payments and benefits, in each case, less required deductions and withholdings:</w:t>
      </w:r>
    </w:p>
    <w:p>
      <w:pPr>
        <w:spacing w:after="0" w:line="155" w:lineRule="exact"/>
        <w:rPr>
          <w:rFonts w:ascii="Arial" w:cs="Arial" w:eastAsia="Arial" w:hAnsi="Arial"/>
          <w:sz w:val="20"/>
          <w:szCs w:val="20"/>
          <w:color w:val="auto"/>
        </w:rPr>
      </w:pPr>
    </w:p>
    <w:p>
      <w:pPr>
        <w:jc w:val="both"/>
        <w:ind w:firstLine="1278"/>
        <w:spacing w:after="0" w:line="225" w:lineRule="auto"/>
        <w:tabs>
          <w:tab w:leader="none" w:pos="1896" w:val="left"/>
        </w:tabs>
        <w:numPr>
          <w:ilvl w:val="1"/>
          <w:numId w:val="106"/>
        </w:numPr>
        <w:rPr>
          <w:rFonts w:ascii="Arial" w:cs="Arial" w:eastAsia="Arial" w:hAnsi="Arial"/>
          <w:sz w:val="21"/>
          <w:szCs w:val="21"/>
          <w:color w:val="auto"/>
        </w:rPr>
      </w:pPr>
      <w:r>
        <w:rPr>
          <w:rFonts w:ascii="Arial" w:cs="Arial" w:eastAsia="Arial" w:hAnsi="Arial"/>
          <w:sz w:val="21"/>
          <w:szCs w:val="21"/>
          <w:i w:val="1"/>
          <w:iCs w:val="1"/>
          <w:color w:val="auto"/>
        </w:rPr>
        <w:t>Cash Severance</w:t>
      </w:r>
      <w:r>
        <w:rPr>
          <w:rFonts w:ascii="Arial" w:cs="Arial" w:eastAsia="Arial" w:hAnsi="Arial"/>
          <w:sz w:val="21"/>
          <w:szCs w:val="21"/>
          <w:color w:val="auto"/>
        </w:rPr>
        <w:t>. The Corporation shall pay the Executive, as severance, an aggregate amount equal to the</w:t>
      </w:r>
      <w:r>
        <w:rPr>
          <w:rFonts w:ascii="Arial" w:cs="Arial" w:eastAsia="Arial" w:hAnsi="Arial"/>
          <w:sz w:val="21"/>
          <w:szCs w:val="21"/>
          <w:i w:val="1"/>
          <w:iCs w:val="1"/>
          <w:color w:val="auto"/>
        </w:rPr>
        <w:t xml:space="preserve"> </w:t>
      </w:r>
      <w:r>
        <w:rPr>
          <w:rFonts w:ascii="Arial" w:cs="Arial" w:eastAsia="Arial" w:hAnsi="Arial"/>
          <w:sz w:val="21"/>
          <w:szCs w:val="21"/>
          <w:color w:val="auto"/>
        </w:rPr>
        <w:t>remainder of the Executive’s Base Salary from the date of such termination through the End Date, payable in a lump sum on the Corporation’s first regular payroll date following the date that the Release (as defined below) becomes effective and irrevocable, subject to standard payroll deductions and withholdings.</w:t>
      </w:r>
    </w:p>
    <w:p>
      <w:pPr>
        <w:spacing w:after="0" w:line="154" w:lineRule="exact"/>
        <w:rPr>
          <w:rFonts w:ascii="Arial" w:cs="Arial" w:eastAsia="Arial" w:hAnsi="Arial"/>
          <w:sz w:val="21"/>
          <w:szCs w:val="21"/>
          <w:color w:val="auto"/>
        </w:rPr>
      </w:pPr>
    </w:p>
    <w:p>
      <w:pPr>
        <w:jc w:val="both"/>
        <w:ind w:firstLine="1278"/>
        <w:spacing w:after="0" w:line="225" w:lineRule="auto"/>
        <w:tabs>
          <w:tab w:leader="none" w:pos="1902" w:val="left"/>
        </w:tabs>
        <w:numPr>
          <w:ilvl w:val="1"/>
          <w:numId w:val="106"/>
        </w:numPr>
        <w:rPr>
          <w:rFonts w:ascii="Arial" w:cs="Arial" w:eastAsia="Arial" w:hAnsi="Arial"/>
          <w:sz w:val="20"/>
          <w:szCs w:val="20"/>
          <w:color w:val="auto"/>
        </w:rPr>
      </w:pPr>
      <w:r>
        <w:rPr>
          <w:rFonts w:ascii="Arial" w:cs="Arial" w:eastAsia="Arial" w:hAnsi="Arial"/>
          <w:sz w:val="20"/>
          <w:szCs w:val="20"/>
          <w:i w:val="1"/>
          <w:iCs w:val="1"/>
          <w:color w:val="auto"/>
        </w:rPr>
        <w:t>Benefits Continuation</w:t>
      </w:r>
      <w:r>
        <w:rPr>
          <w:rFonts w:ascii="Arial" w:cs="Arial" w:eastAsia="Arial" w:hAnsi="Arial"/>
          <w:sz w:val="20"/>
          <w:szCs w:val="20"/>
          <w:color w:val="auto"/>
        </w:rPr>
        <w:t>. Provided that the Executive is then eligible for and timely elects continued coverage</w:t>
      </w:r>
      <w:r>
        <w:rPr>
          <w:rFonts w:ascii="Arial" w:cs="Arial" w:eastAsia="Arial" w:hAnsi="Arial"/>
          <w:sz w:val="20"/>
          <w:szCs w:val="20"/>
          <w:i w:val="1"/>
          <w:iCs w:val="1"/>
          <w:color w:val="auto"/>
        </w:rPr>
        <w:t xml:space="preserve"> </w:t>
      </w:r>
      <w:r>
        <w:rPr>
          <w:rFonts w:ascii="Arial" w:cs="Arial" w:eastAsia="Arial" w:hAnsi="Arial"/>
          <w:sz w:val="20"/>
          <w:szCs w:val="20"/>
          <w:color w:val="auto"/>
        </w:rPr>
        <w:t>under 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the End Date; (b) the date Executive becomes eligible for group health insurance coverage through a new employer; and (c) the date Executive ceases to be eligible for COBRA continuation coverage for any reason, including plan termination. In the event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 For the avoidance of doubt, the Executive’s eligibility for continued coverage under COBRA shall be determined in accordance with applicable law, and this Section 5.D(iii) shall solely govern the Corporation’s obligations to directly pay, or reimburse the Executive for, the monthly COBRA premiums to continue the Executive’s coverage (including coverage for eligible dependents, if applicable).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77" w:right="339" w:bottom="1440" w:gutter="0" w:footer="0" w:header="0"/>
        </w:sectPr>
      </w:pPr>
    </w:p>
    <w:bookmarkStart w:id="195" w:name="page196"/>
    <w:bookmarkEnd w:id="195"/>
    <w:p>
      <w:pPr>
        <w:jc w:val="both"/>
        <w:ind w:firstLine="1278"/>
        <w:spacing w:after="0" w:line="220" w:lineRule="auto"/>
        <w:tabs>
          <w:tab w:leader="none" w:pos="1908" w:val="left"/>
        </w:tabs>
        <w:numPr>
          <w:ilvl w:val="2"/>
          <w:numId w:val="107"/>
        </w:numPr>
        <w:rPr>
          <w:rFonts w:ascii="Arial" w:cs="Arial" w:eastAsia="Arial" w:hAnsi="Arial"/>
          <w:sz w:val="21"/>
          <w:szCs w:val="21"/>
          <w:color w:val="auto"/>
        </w:rPr>
      </w:pPr>
      <w:r>
        <w:rPr>
          <w:rFonts w:ascii="Arial" w:cs="Arial" w:eastAsia="Arial" w:hAnsi="Arial"/>
          <w:sz w:val="21"/>
          <w:szCs w:val="21"/>
          <w:i w:val="1"/>
          <w:iCs w:val="1"/>
          <w:color w:val="auto"/>
        </w:rPr>
        <w:t>Equity Award Acceleration</w:t>
      </w:r>
      <w:r>
        <w:rPr>
          <w:rFonts w:ascii="Arial" w:cs="Arial" w:eastAsia="Arial" w:hAnsi="Arial"/>
          <w:sz w:val="21"/>
          <w:szCs w:val="21"/>
          <w:color w:val="auto"/>
        </w:rPr>
        <w:t>. The vesting of all unvested Equity Awards outstanding and held by the Executive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as of the date of such termination shall be accelerated such that 100% of the shares underlying such awards shall be deemed immediately vested and, as applicable, exercisable, with the performance goals applicable to the Performance-Based RSUs deemed achieved in full;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for the avoidance of doubt, this Section 5.D(iii) shall apply only to the Equity Awards, and shall not apply to any other equity-based incentive compensation awards that have been or may be granted to the Executive in connection with his service on the Board.</w:t>
      </w:r>
    </w:p>
    <w:p>
      <w:pPr>
        <w:spacing w:after="0" w:line="155" w:lineRule="exact"/>
        <w:rPr>
          <w:rFonts w:ascii="Arial" w:cs="Arial" w:eastAsia="Arial" w:hAnsi="Arial"/>
          <w:sz w:val="21"/>
          <w:szCs w:val="21"/>
          <w:color w:val="auto"/>
        </w:rPr>
      </w:pPr>
    </w:p>
    <w:p>
      <w:pPr>
        <w:jc w:val="both"/>
        <w:ind w:firstLine="642"/>
        <w:spacing w:after="0" w:line="225" w:lineRule="auto"/>
        <w:tabs>
          <w:tab w:leader="none" w:pos="1269" w:val="left"/>
        </w:tabs>
        <w:numPr>
          <w:ilvl w:val="1"/>
          <w:numId w:val="108"/>
        </w:numPr>
        <w:rPr>
          <w:rFonts w:ascii="Arial" w:cs="Arial" w:eastAsia="Arial" w:hAnsi="Arial"/>
          <w:sz w:val="20"/>
          <w:szCs w:val="20"/>
          <w:color w:val="auto"/>
        </w:rPr>
      </w:pPr>
      <w:r>
        <w:rPr>
          <w:rFonts w:ascii="Arial" w:cs="Arial" w:eastAsia="Arial" w:hAnsi="Arial"/>
          <w:sz w:val="20"/>
          <w:szCs w:val="20"/>
          <w:i w:val="1"/>
          <w:iCs w:val="1"/>
          <w:color w:val="auto"/>
        </w:rPr>
        <w:t>Conditions to Receipt of Severance Benefits</w:t>
      </w:r>
      <w:r>
        <w:rPr>
          <w:rFonts w:ascii="Arial" w:cs="Arial" w:eastAsia="Arial" w:hAnsi="Arial"/>
          <w:sz w:val="20"/>
          <w:szCs w:val="20"/>
          <w:color w:val="auto"/>
        </w:rPr>
        <w:t>. As a condition to receiving the payments and benefits set forth in</w:t>
      </w:r>
      <w:r>
        <w:rPr>
          <w:rFonts w:ascii="Arial" w:cs="Arial" w:eastAsia="Arial" w:hAnsi="Arial"/>
          <w:sz w:val="20"/>
          <w:szCs w:val="20"/>
          <w:i w:val="1"/>
          <w:iCs w:val="1"/>
          <w:color w:val="auto"/>
        </w:rPr>
        <w:t xml:space="preserve"> </w:t>
      </w:r>
      <w:r>
        <w:rPr>
          <w:rFonts w:ascii="Arial" w:cs="Arial" w:eastAsia="Arial" w:hAnsi="Arial"/>
          <w:sz w:val="20"/>
          <w:szCs w:val="20"/>
          <w:color w:val="auto"/>
        </w:rPr>
        <w:t>Section 5.D, (i) the Executive must execute and deliver to the Corporation a release of claims in a form reasonably acceptable to the Corporation (the “</w:t>
      </w:r>
      <w:r>
        <w:rPr>
          <w:rFonts w:ascii="Arial" w:cs="Arial" w:eastAsia="Arial" w:hAnsi="Arial"/>
          <w:sz w:val="20"/>
          <w:szCs w:val="20"/>
          <w:b w:val="1"/>
          <w:bCs w:val="1"/>
          <w:i w:val="1"/>
          <w:iCs w:val="1"/>
          <w:color w:val="auto"/>
        </w:rPr>
        <w:t>Release</w:t>
      </w:r>
      <w:r>
        <w:rPr>
          <w:rFonts w:ascii="Arial" w:cs="Arial" w:eastAsia="Arial" w:hAnsi="Arial"/>
          <w:sz w:val="20"/>
          <w:szCs w:val="20"/>
          <w:color w:val="auto"/>
        </w:rPr>
        <w:t>”) and the Release must have become effective and the revocation period provided therein must have expired without the Executive having revoked the Release within the 60-day period following the date of termination, and (ii) the Executive must not have revoked or breached the provisions of such Release or breached Section 9 of this Agreement, or the Proprietary Rights Agreement. The Corporation shall provide the Release to the Executive within 21 days following the date of termination. In the event the Corporation does not provide the Release to the Executive within 21 days following the date of termination, the Release shall no longer be required and the Executive shall nonetheless be entitled to the payments and benefits set forth in Section 5.D. However, in the event that the Executive is provided the Release within the 21-day period following the date of termination, but the Executive does not execute and deliver the Release, the Release does not become effective and irrevocable within such period or the Executive revokes or breaches the provisions of the Release or breaches Section 9 of this Agreement or the provisions of the Proprietary Rights Agreement, the Executive (A) will be deemed to have voluntarily resigned the Executive’s employment hereunder without Good Reason, (B) will not be entitled to the payments, benefits or accelerated vesting described in Section 5.D and (C) will be required to reimburse the Corporation, in cash within five business days after written demand is made by the Corporation therefore, for an amount equal to the value of any payments or benefits the Executive received pursuant to Section 5.D.</w:t>
      </w:r>
    </w:p>
    <w:p>
      <w:pPr>
        <w:spacing w:after="0" w:line="148" w:lineRule="exact"/>
        <w:rPr>
          <w:rFonts w:ascii="Arial" w:cs="Arial" w:eastAsia="Arial" w:hAnsi="Arial"/>
          <w:sz w:val="20"/>
          <w:szCs w:val="20"/>
          <w:color w:val="auto"/>
        </w:rPr>
      </w:pPr>
    </w:p>
    <w:p>
      <w:pPr>
        <w:ind w:left="640" w:hanging="634"/>
        <w:spacing w:after="0"/>
        <w:tabs>
          <w:tab w:leader="none" w:pos="640"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color w:val="auto"/>
        </w:rPr>
        <w:t>PROPRIETARY RIGHTS AGREEMENT.</w:t>
      </w:r>
    </w:p>
    <w:p>
      <w:pPr>
        <w:spacing w:after="0" w:line="188" w:lineRule="exact"/>
        <w:rPr>
          <w:rFonts w:ascii="Arial" w:cs="Arial" w:eastAsia="Arial" w:hAnsi="Arial"/>
          <w:sz w:val="21"/>
          <w:szCs w:val="21"/>
          <w:b w:val="1"/>
          <w:bCs w:val="1"/>
          <w:color w:val="auto"/>
        </w:rPr>
      </w:pPr>
    </w:p>
    <w:p>
      <w:pPr>
        <w:ind w:left="640"/>
        <w:spacing w:after="0"/>
        <w:rPr>
          <w:rFonts w:ascii="Arial" w:cs="Arial" w:eastAsia="Arial" w:hAnsi="Arial"/>
          <w:sz w:val="21"/>
          <w:szCs w:val="21"/>
          <w:b w:val="1"/>
          <w:bCs w:val="1"/>
          <w:color w:val="auto"/>
        </w:rPr>
      </w:pPr>
      <w:r>
        <w:rPr>
          <w:rFonts w:ascii="Arial" w:cs="Arial" w:eastAsia="Arial" w:hAnsi="Arial"/>
          <w:sz w:val="20"/>
          <w:szCs w:val="20"/>
          <w:color w:val="auto"/>
        </w:rPr>
        <w:t>The Executive agrees to execute and abide by the Proprietary Information and Inventions Agreement (the “</w:t>
      </w:r>
      <w:r>
        <w:rPr>
          <w:rFonts w:ascii="Arial" w:cs="Arial" w:eastAsia="Arial" w:hAnsi="Arial"/>
          <w:sz w:val="20"/>
          <w:szCs w:val="20"/>
          <w:b w:val="1"/>
          <w:bCs w:val="1"/>
          <w:i w:val="1"/>
          <w:iCs w:val="1"/>
          <w:color w:val="auto"/>
        </w:rPr>
        <w:t>Proprietary</w:t>
      </w:r>
    </w:p>
    <w:p>
      <w:pPr>
        <w:spacing w:after="0" w:line="231" w:lineRule="auto"/>
        <w:rPr>
          <w:sz w:val="20"/>
          <w:szCs w:val="20"/>
          <w:color w:val="auto"/>
        </w:rPr>
      </w:pPr>
      <w:r>
        <w:rPr>
          <w:rFonts w:ascii="Arial" w:cs="Arial" w:eastAsia="Arial" w:hAnsi="Arial"/>
          <w:sz w:val="21"/>
          <w:szCs w:val="21"/>
          <w:b w:val="1"/>
          <w:bCs w:val="1"/>
          <w:i w:val="1"/>
          <w:iCs w:val="1"/>
          <w:color w:val="auto"/>
        </w:rPr>
        <w:t>Rights Agreement</w:t>
      </w:r>
      <w:r>
        <w:rPr>
          <w:rFonts w:ascii="Arial" w:cs="Arial" w:eastAsia="Arial" w:hAnsi="Arial"/>
          <w:sz w:val="21"/>
          <w:szCs w:val="21"/>
          <w:color w:val="auto"/>
        </w:rPr>
        <w:t>”) which the Corporation requires each employee to execute, which is attached here to as</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Exhibit 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which 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incorporated and made part of this Agreement.</w:t>
      </w:r>
    </w:p>
    <w:p>
      <w:pPr>
        <w:spacing w:after="0" w:line="147" w:lineRule="exact"/>
        <w:rPr>
          <w:sz w:val="20"/>
          <w:szCs w:val="20"/>
          <w:color w:val="auto"/>
        </w:rPr>
      </w:pPr>
    </w:p>
    <w:p>
      <w:pPr>
        <w:ind w:left="640" w:hanging="634"/>
        <w:spacing w:after="0"/>
        <w:tabs>
          <w:tab w:leader="none" w:pos="640" w:val="left"/>
        </w:tabs>
        <w:numPr>
          <w:ilvl w:val="0"/>
          <w:numId w:val="110"/>
        </w:numPr>
        <w:rPr>
          <w:rFonts w:ascii="Arial" w:cs="Arial" w:eastAsia="Arial" w:hAnsi="Arial"/>
          <w:sz w:val="21"/>
          <w:szCs w:val="21"/>
          <w:b w:val="1"/>
          <w:bCs w:val="1"/>
          <w:color w:val="auto"/>
        </w:rPr>
      </w:pPr>
      <w:r>
        <w:rPr>
          <w:rFonts w:ascii="Arial" w:cs="Arial" w:eastAsia="Arial" w:hAnsi="Arial"/>
          <w:sz w:val="21"/>
          <w:szCs w:val="21"/>
          <w:b w:val="1"/>
          <w:bCs w:val="1"/>
          <w:color w:val="auto"/>
        </w:rPr>
        <w:t>AGREEMENT ASSIGNMENT.</w:t>
      </w:r>
    </w:p>
    <w:p>
      <w:pPr>
        <w:spacing w:after="0" w:line="189"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21"/>
          <w:szCs w:val="21"/>
          <w:color w:val="auto"/>
        </w:rPr>
        <w:t>It is agreed that this is a personal contract between the parties and that the rights and interests of the Executive hereunder may not be sold, transferred, assigned, pledged or hypothecated otherwise than by will or the laws of descent or distribution. The Corporation may assign this Agreement to a successor to all or substantially all of the business of the Corporation, and upon such assignment and the assumption of the obligations of the Corporation hereunder by such successor the Corporation shall be released from any further liability pursuant hereto.</w:t>
      </w:r>
    </w:p>
    <w:p>
      <w:pPr>
        <w:spacing w:after="0" w:line="149" w:lineRule="exact"/>
        <w:rPr>
          <w:sz w:val="20"/>
          <w:szCs w:val="20"/>
          <w:color w:val="auto"/>
        </w:rPr>
      </w:pPr>
    </w:p>
    <w:p>
      <w:pPr>
        <w:ind w:left="640" w:hanging="634"/>
        <w:spacing w:after="0"/>
        <w:tabs>
          <w:tab w:leader="none" w:pos="640" w:val="left"/>
        </w:tabs>
        <w:numPr>
          <w:ilvl w:val="0"/>
          <w:numId w:val="111"/>
        </w:numPr>
        <w:rPr>
          <w:rFonts w:ascii="Arial" w:cs="Arial" w:eastAsia="Arial" w:hAnsi="Arial"/>
          <w:sz w:val="21"/>
          <w:szCs w:val="21"/>
          <w:b w:val="1"/>
          <w:bCs w:val="1"/>
          <w:color w:val="auto"/>
        </w:rPr>
      </w:pPr>
      <w:r>
        <w:rPr>
          <w:rFonts w:ascii="Arial" w:cs="Arial" w:eastAsia="Arial" w:hAnsi="Arial"/>
          <w:sz w:val="21"/>
          <w:szCs w:val="21"/>
          <w:b w:val="1"/>
          <w:bCs w:val="1"/>
          <w:color w:val="auto"/>
        </w:rPr>
        <w:t>EXCLUSIVE EMPLOYMENT.</w:t>
      </w:r>
    </w:p>
    <w:p>
      <w:pPr>
        <w:spacing w:after="0" w:line="189"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1"/>
          <w:szCs w:val="21"/>
          <w:color w:val="auto"/>
        </w:rPr>
        <w:t>During his employment with the Corporation, the Executive will not do anything to compete with the present or contemplated business of the Corporation, suffer to exist any conflict of interest in respect of his relationship with the Corporation or plan or organize any competitive business activity (with the understanding that the ownership by the Executive of less than one percent (1%) of the outstanding shares of common stock of a publicly traded corporation shall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77" w:right="339" w:bottom="1440" w:gutter="0" w:footer="0" w:header="0"/>
        </w:sectPr>
      </w:pPr>
    </w:p>
    <w:bookmarkStart w:id="196" w:name="page197"/>
    <w:bookmarkEnd w:id="196"/>
    <w:p>
      <w:pPr>
        <w:jc w:val="both"/>
        <w:spacing w:after="0" w:line="242" w:lineRule="auto"/>
        <w:rPr>
          <w:sz w:val="20"/>
          <w:szCs w:val="20"/>
          <w:color w:val="auto"/>
        </w:rPr>
      </w:pPr>
      <w:r>
        <w:rPr>
          <w:rFonts w:ascii="Arial" w:cs="Arial" w:eastAsia="Arial" w:hAnsi="Arial"/>
          <w:sz w:val="19"/>
          <w:szCs w:val="19"/>
          <w:color w:val="auto"/>
        </w:rPr>
        <w:t xml:space="preserve">not be deemed to violate the requirements of this sentence). The Executive is not a party to and will not enter into any agreement that conflicts with his duties or obligations to the Corporation; all corporate opportunities which are consistent with the business and purpose of the Corporation are to be the property of the Corporation and cannot be used or disclosed by the Executive for any purpose other than performing his duties for the Corporation, and the Executive shall present to the Corporation any such opportunities of which he becomes aware;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provisions of this sentence are subject to the provisions of Article Eighth of the Amended and Restated Certificate of Incorporation of the Corporation. The Executive shall at all times strictly comply with the Corporation’s conflicts of interest policy and any other policies adopted by the Board.</w:t>
      </w:r>
    </w:p>
    <w:p>
      <w:pPr>
        <w:spacing w:after="0" w:line="148" w:lineRule="exact"/>
        <w:rPr>
          <w:sz w:val="20"/>
          <w:szCs w:val="20"/>
          <w:color w:val="auto"/>
        </w:rPr>
      </w:pPr>
    </w:p>
    <w:p>
      <w:pPr>
        <w:ind w:left="640" w:hanging="634"/>
        <w:spacing w:after="0"/>
        <w:tabs>
          <w:tab w:leader="none" w:pos="640"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color w:val="auto"/>
        </w:rPr>
        <w:t>RESTRICTIVE COVENANTS.</w:t>
      </w:r>
    </w:p>
    <w:p>
      <w:pPr>
        <w:spacing w:after="0" w:line="188" w:lineRule="exact"/>
        <w:rPr>
          <w:rFonts w:ascii="Arial" w:cs="Arial" w:eastAsia="Arial" w:hAnsi="Arial"/>
          <w:sz w:val="21"/>
          <w:szCs w:val="21"/>
          <w:b w:val="1"/>
          <w:bCs w:val="1"/>
          <w:color w:val="auto"/>
        </w:rPr>
      </w:pPr>
    </w:p>
    <w:p>
      <w:pPr>
        <w:jc w:val="both"/>
        <w:ind w:firstLine="642"/>
        <w:spacing w:after="0" w:line="220" w:lineRule="auto"/>
        <w:tabs>
          <w:tab w:leader="none" w:pos="1266" w:val="left"/>
        </w:tabs>
        <w:numPr>
          <w:ilvl w:val="1"/>
          <w:numId w:val="112"/>
        </w:numPr>
        <w:rPr>
          <w:rFonts w:ascii="Arial" w:cs="Arial" w:eastAsia="Arial" w:hAnsi="Arial"/>
          <w:sz w:val="21"/>
          <w:szCs w:val="21"/>
          <w:color w:val="auto"/>
        </w:rPr>
      </w:pPr>
      <w:r>
        <w:rPr>
          <w:rFonts w:ascii="Arial" w:cs="Arial" w:eastAsia="Arial" w:hAnsi="Arial"/>
          <w:sz w:val="21"/>
          <w:szCs w:val="21"/>
          <w:color w:val="auto"/>
        </w:rPr>
        <w:t>In consideration of his employment and the provisions of this Agreement, the Executive agrees that during his employment with the Corporation, and for a period of twelve (12) months following the termination of his employment with the Corporation for any reason, he will not solicit on behalf of himself or any organization other than the Corporation any person or entity who is then or within the last twelve (12) months was a customer or vendor of the Corporation or render services directly or indirectly anywhere within the United States of America for himself or on behalf of any third-party to any organization that is a competitor of the Corporation as of the date of such termination.</w:t>
      </w:r>
    </w:p>
    <w:p>
      <w:pPr>
        <w:spacing w:after="0" w:line="155" w:lineRule="exact"/>
        <w:rPr>
          <w:rFonts w:ascii="Arial" w:cs="Arial" w:eastAsia="Arial" w:hAnsi="Arial"/>
          <w:sz w:val="21"/>
          <w:szCs w:val="21"/>
          <w:color w:val="auto"/>
        </w:rPr>
      </w:pPr>
    </w:p>
    <w:p>
      <w:pPr>
        <w:jc w:val="both"/>
        <w:ind w:firstLine="642"/>
        <w:spacing w:after="0" w:line="244" w:lineRule="auto"/>
        <w:tabs>
          <w:tab w:leader="none" w:pos="1268" w:val="left"/>
        </w:tabs>
        <w:numPr>
          <w:ilvl w:val="1"/>
          <w:numId w:val="112"/>
        </w:numPr>
        <w:rPr>
          <w:rFonts w:ascii="Arial" w:cs="Arial" w:eastAsia="Arial" w:hAnsi="Arial"/>
          <w:sz w:val="19"/>
          <w:szCs w:val="19"/>
          <w:color w:val="auto"/>
        </w:rPr>
      </w:pPr>
      <w:r>
        <w:rPr>
          <w:rFonts w:ascii="Arial" w:cs="Arial" w:eastAsia="Arial" w:hAnsi="Arial"/>
          <w:sz w:val="19"/>
          <w:szCs w:val="19"/>
          <w:color w:val="auto"/>
        </w:rPr>
        <w:t>The Executive agrees that for twelve (12) months following the termination of his employment for any reason, he will not hire, solicit, recruit, encourage to leave or entice away, or endeavor to hire, solicit, recruit, encourage to leave or entice away from the Corporation any employee or exclusive consultant of the Corporation. The Corporation agrees that this Section 9.B shall not be breached if following termination of his employment by Corporation, the Executive is associated with an organization that places general solicitations for employment and an employee or exclusive consultant of the Corporation is hired by such organization as a result of such general solicitation and without any specific solicitation of such employee or exclusive consultant.</w:t>
      </w:r>
    </w:p>
    <w:p>
      <w:pPr>
        <w:spacing w:after="0" w:line="151" w:lineRule="exact"/>
        <w:rPr>
          <w:rFonts w:ascii="Arial" w:cs="Arial" w:eastAsia="Arial" w:hAnsi="Arial"/>
          <w:sz w:val="19"/>
          <w:szCs w:val="19"/>
          <w:color w:val="auto"/>
        </w:rPr>
      </w:pPr>
    </w:p>
    <w:p>
      <w:pPr>
        <w:jc w:val="both"/>
        <w:ind w:firstLine="642"/>
        <w:spacing w:after="0" w:line="244" w:lineRule="auto"/>
        <w:tabs>
          <w:tab w:leader="none" w:pos="1268" w:val="left"/>
        </w:tabs>
        <w:numPr>
          <w:ilvl w:val="1"/>
          <w:numId w:val="112"/>
        </w:numPr>
        <w:rPr>
          <w:rFonts w:ascii="Arial" w:cs="Arial" w:eastAsia="Arial" w:hAnsi="Arial"/>
          <w:sz w:val="19"/>
          <w:szCs w:val="19"/>
          <w:color w:val="auto"/>
        </w:rPr>
      </w:pPr>
      <w:r>
        <w:rPr>
          <w:rFonts w:ascii="Arial" w:cs="Arial" w:eastAsia="Arial" w:hAnsi="Arial"/>
          <w:sz w:val="19"/>
          <w:szCs w:val="19"/>
          <w:color w:val="auto"/>
        </w:rPr>
        <w:t>The Executive agrees that the restrictions and agreements contained in this Section 9 are reasonable and necessary to protect the legitimate interests of the Corporation and that any violation of this Section 9 will cause substantial and irreparable harm to the Corporation that would not be quantifiable and for which no adequate remedy would exist at law. Accordingly, the Executive authorizes the issuance of injunctive relief against him, without the requirement of posting bond, for any violation of this Section 9. In addition, the parties agree that the prevailing party in any legal action to enforce this Agreement shall be entitled to recover its reasonable attorneys’ fees incurred in enforcing this Agreement from the non-prevailing party.</w:t>
      </w:r>
    </w:p>
    <w:p>
      <w:pPr>
        <w:spacing w:after="0" w:line="151" w:lineRule="exact"/>
        <w:rPr>
          <w:rFonts w:ascii="Arial" w:cs="Arial" w:eastAsia="Arial" w:hAnsi="Arial"/>
          <w:sz w:val="19"/>
          <w:szCs w:val="19"/>
          <w:color w:val="auto"/>
        </w:rPr>
      </w:pPr>
    </w:p>
    <w:p>
      <w:pPr>
        <w:ind w:firstLine="642"/>
        <w:spacing w:after="0" w:line="239" w:lineRule="auto"/>
        <w:tabs>
          <w:tab w:leader="none" w:pos="1266" w:val="left"/>
        </w:tabs>
        <w:numPr>
          <w:ilvl w:val="1"/>
          <w:numId w:val="112"/>
        </w:numPr>
        <w:rPr>
          <w:rFonts w:ascii="Arial" w:cs="Arial" w:eastAsia="Arial" w:hAnsi="Arial"/>
          <w:sz w:val="21"/>
          <w:szCs w:val="21"/>
          <w:color w:val="auto"/>
        </w:rPr>
      </w:pPr>
      <w:r>
        <w:rPr>
          <w:rFonts w:ascii="Arial" w:cs="Arial" w:eastAsia="Arial" w:hAnsi="Arial"/>
          <w:sz w:val="21"/>
          <w:szCs w:val="21"/>
          <w:color w:val="auto"/>
        </w:rPr>
        <w:t>The Executive agrees that the restrictions and agreements contained in this Section 9 shall not in any way limit the Executive’s obligations to the Corporation as a member of the Board.</w:t>
      </w:r>
    </w:p>
    <w:p>
      <w:pPr>
        <w:spacing w:after="0" w:line="149" w:lineRule="exact"/>
        <w:rPr>
          <w:rFonts w:ascii="Arial" w:cs="Arial" w:eastAsia="Arial" w:hAnsi="Arial"/>
          <w:sz w:val="21"/>
          <w:szCs w:val="21"/>
          <w:color w:val="auto"/>
        </w:rPr>
      </w:pPr>
    </w:p>
    <w:p>
      <w:pPr>
        <w:ind w:left="640" w:hanging="634"/>
        <w:spacing w:after="0"/>
        <w:tabs>
          <w:tab w:leader="none" w:pos="640"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color w:val="auto"/>
        </w:rPr>
        <w:t>409A COMPLIANCE.</w:t>
      </w:r>
    </w:p>
    <w:p>
      <w:pPr>
        <w:spacing w:after="0" w:line="189"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21"/>
          <w:szCs w:val="21"/>
          <w:color w:val="auto"/>
        </w:rPr>
        <w:t>Notwithstanding any other provision of this Agreement, the Corporation and the Executive intend that any payments, benefits or other provisions applicable to this Agreement comply with the payout and other limitations and restrictions imposed under Section 409A of the Internal Revenue Code of 1986, as amended (“</w:t>
      </w:r>
      <w:r>
        <w:rPr>
          <w:rFonts w:ascii="Arial" w:cs="Arial" w:eastAsia="Arial" w:hAnsi="Arial"/>
          <w:sz w:val="21"/>
          <w:szCs w:val="21"/>
          <w:b w:val="1"/>
          <w:bCs w:val="1"/>
          <w:i w:val="1"/>
          <w:iCs w:val="1"/>
          <w:color w:val="auto"/>
        </w:rPr>
        <w:t>Section 409A</w:t>
      </w:r>
      <w:r>
        <w:rPr>
          <w:rFonts w:ascii="Arial" w:cs="Arial" w:eastAsia="Arial" w:hAnsi="Arial"/>
          <w:sz w:val="21"/>
          <w:szCs w:val="21"/>
          <w:color w:val="auto"/>
        </w:rPr>
        <w:t>”, and the Internal Revenue Code of 1986, as amended, the “</w:t>
      </w:r>
      <w:r>
        <w:rPr>
          <w:rFonts w:ascii="Arial" w:cs="Arial" w:eastAsia="Arial" w:hAnsi="Arial"/>
          <w:sz w:val="21"/>
          <w:szCs w:val="21"/>
          <w:b w:val="1"/>
          <w:bCs w:val="1"/>
          <w:i w:val="1"/>
          <w:iCs w:val="1"/>
          <w:color w:val="auto"/>
        </w:rPr>
        <w:t>Code</w:t>
      </w:r>
      <w:r>
        <w:rPr>
          <w:rFonts w:ascii="Arial" w:cs="Arial" w:eastAsia="Arial" w:hAnsi="Arial"/>
          <w:sz w:val="21"/>
          <w:szCs w:val="21"/>
          <w:color w:val="auto"/>
        </w:rPr>
        <w:t>”), as clarified or modified by guidance from the U.S. Department of Treasury or the Internal Revenue Service, in each case if and to the extent Section 409A is otherwise applicable to this Agreement and such compliance is necessary to avoid the penalties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77" w:right="339" w:bottom="1440" w:gutter="0" w:footer="0" w:header="0"/>
        </w:sectPr>
      </w:pPr>
    </w:p>
    <w:bookmarkStart w:id="197" w:name="page198"/>
    <w:bookmarkEnd w:id="197"/>
    <w:p>
      <w:pPr>
        <w:jc w:val="both"/>
        <w:spacing w:after="0"/>
        <w:rPr>
          <w:sz w:val="20"/>
          <w:szCs w:val="20"/>
          <w:color w:val="auto"/>
        </w:rPr>
      </w:pPr>
      <w:r>
        <w:rPr>
          <w:rFonts w:ascii="Arial" w:cs="Arial" w:eastAsia="Arial" w:hAnsi="Arial"/>
          <w:sz w:val="19"/>
          <w:szCs w:val="19"/>
          <w:color w:val="auto"/>
        </w:rPr>
        <w:t>otherwise imposed under Section 409A. In this connection, the Corporation and the Executive agree that the payments, benefits and other provisions applicable to this Agreement, and the terms of any deferral and other rights regarding this Agreement, shall be deemed modified if and to the extent necessary to comply with the payout and other limitations and restrictions imposed under Section 409A, as clarified or supplemented by guidance from the U.S. Department of Treasury or the Internal Revenue Service, in each case if and to the extent Section 409A is otherwise applicable to this Agreement and such compliance is necessary to avoid the penalties otherwise imposed under Section 409A. Any payments and benefits under this Agreement that qualify for the “short-term deferral” exemption or another exemption under Section 409A shall be paid under the applicable exemption. For purposes of the Section 409A, each payment of compensation under this Agreement shall be treated as a separate payment of compensation. Notwithstanding anything in this Agreement to the contrary, if any amounts or benefits payable under this Agreement in the event of Executive’s termination of employment constitute “nonqualified deferred compensation” within the meaning of Code Section 409A, payment of such amounts and benefits shall commence when the Executive incurs a “separation from service” within the meaning of Treasury Regulation 1.409A-1(h)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Such payments or benefits shall be provided in accordance with the timing provisions of this Agreement by substituting the Agreement’s references to “termination of employment” or “termination” with Separation from Service. In addition, if at the time of Executive’s Separation from Service the Executive is a “specified employee” within the meaning of Code Section 409A(a)(2)(B)(i), any amount or benefits that the constitutes “nonqualified deferred compensation” within the meaning of Code Section 409A that becomes payable to Executive on account of the Executive’s Separation from Service will not be paid until after the earlier of (i) first business day of the seventh month following Executive’s Separation from Service, or (ii) the date of the Executive’s death (the “</w:t>
      </w:r>
      <w:r>
        <w:rPr>
          <w:rFonts w:ascii="Arial" w:cs="Arial" w:eastAsia="Arial" w:hAnsi="Arial"/>
          <w:sz w:val="19"/>
          <w:szCs w:val="19"/>
          <w:b w:val="1"/>
          <w:bCs w:val="1"/>
          <w:i w:val="1"/>
          <w:iCs w:val="1"/>
          <w:color w:val="auto"/>
        </w:rPr>
        <w:t>409A Suspension Period</w:t>
      </w:r>
      <w:r>
        <w:rPr>
          <w:rFonts w:ascii="Arial" w:cs="Arial" w:eastAsia="Arial" w:hAnsi="Arial"/>
          <w:sz w:val="19"/>
          <w:szCs w:val="19"/>
          <w:color w:val="auto"/>
        </w:rPr>
        <w:t>”). Within 14 calendar days after the end of the 409A Suspension Period, the Executive shall be paid a cash lump sum payment equal to any payments and benefits that the Corporation would otherwise have been required to provide under this Agreement but for the imposition of the 409A Suspension Period delayed because of the preceding sentence. Thereafter, the Executive shall receive any remaining payments and benefits due under this Agreement in accordance with the terms of this Section (as if there had not been any 409A Suspension Period beforehand). To the extent not otherwise specified in this Agreement, all (A) reimbursements and (B) in-kind benefits provided under this Agreement shall be made or provided in accordance with the requirements of Section 409A, including, where applicable, the requirement that (1) any reimbursement is for expenses incurred during the Executive’s lifetime (or during a shorter period of time specified in this Agreement); (2) the amount of expenses eligible for reimbursement, or in kind benefits provided, during a calendar year may not affect the expenses eligible for reimbursement, or in kind benefits to be provided, in any other calendar year; (3) the reimbursement of an eligible expense will be made no later than the last day of the calendar year following the year in which the expense is incurred; and (4) the right to reimbursement or in kind benefits is not subject to liquidation or exchange for another benefit</w:t>
      </w:r>
    </w:p>
    <w:p>
      <w:pPr>
        <w:spacing w:after="0" w:line="230" w:lineRule="exact"/>
        <w:rPr>
          <w:sz w:val="20"/>
          <w:szCs w:val="20"/>
          <w:color w:val="auto"/>
        </w:rPr>
      </w:pPr>
    </w:p>
    <w:p>
      <w:pPr>
        <w:ind w:left="640" w:hanging="634"/>
        <w:spacing w:after="0"/>
        <w:tabs>
          <w:tab w:leader="none" w:pos="640" w:val="left"/>
        </w:tabs>
        <w:numPr>
          <w:ilvl w:val="0"/>
          <w:numId w:val="113"/>
        </w:numPr>
        <w:rPr>
          <w:rFonts w:ascii="Arial" w:cs="Arial" w:eastAsia="Arial" w:hAnsi="Arial"/>
          <w:sz w:val="21"/>
          <w:szCs w:val="21"/>
          <w:b w:val="1"/>
          <w:bCs w:val="1"/>
          <w:color w:val="auto"/>
        </w:rPr>
      </w:pPr>
      <w:r>
        <w:rPr>
          <w:rFonts w:ascii="Arial" w:cs="Arial" w:eastAsia="Arial" w:hAnsi="Arial"/>
          <w:sz w:val="21"/>
          <w:szCs w:val="21"/>
          <w:b w:val="1"/>
          <w:bCs w:val="1"/>
          <w:color w:val="auto"/>
        </w:rPr>
        <w:t>SECTION 280G.</w:t>
      </w:r>
    </w:p>
    <w:p>
      <w:pPr>
        <w:spacing w:after="0" w:line="189" w:lineRule="exact"/>
        <w:rPr>
          <w:sz w:val="20"/>
          <w:szCs w:val="20"/>
          <w:color w:val="auto"/>
        </w:rPr>
      </w:pPr>
    </w:p>
    <w:p>
      <w:pPr>
        <w:jc w:val="both"/>
        <w:ind w:firstLine="636"/>
        <w:spacing w:after="0" w:line="218" w:lineRule="auto"/>
        <w:rPr>
          <w:sz w:val="20"/>
          <w:szCs w:val="20"/>
          <w:color w:val="auto"/>
        </w:rPr>
      </w:pPr>
      <w:r>
        <w:rPr>
          <w:rFonts w:ascii="Arial" w:cs="Arial" w:eastAsia="Arial" w:hAnsi="Arial"/>
          <w:sz w:val="21"/>
          <w:szCs w:val="21"/>
          <w:color w:val="auto"/>
        </w:rPr>
        <w:t>In the event that the severance and other benefits provided for in this Agreement or otherwise payable to the Executive (i) constitute “parachute payments” within the meaning of Section 280G of the Code and (ii) but for this Section 11, would be subject to the excise tax imposed by Section 4999 of the Code, then, the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the Executive on an after-tax basis of the greatest amount of severance benefits under this Agreement, notwithstanding that all or some portion of such</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77" w:right="339" w:bottom="1440" w:gutter="0" w:footer="0" w:header="0"/>
        </w:sectPr>
      </w:pPr>
    </w:p>
    <w:bookmarkStart w:id="198" w:name="page199"/>
    <w:bookmarkEnd w:id="198"/>
    <w:p>
      <w:pPr>
        <w:spacing w:after="0"/>
        <w:rPr>
          <w:sz w:val="20"/>
          <w:szCs w:val="20"/>
          <w:color w:val="auto"/>
        </w:rPr>
      </w:pPr>
      <w:r>
        <w:rPr>
          <w:rFonts w:ascii="Arial" w:cs="Arial" w:eastAsia="Arial" w:hAnsi="Arial"/>
          <w:sz w:val="21"/>
          <w:szCs w:val="21"/>
          <w:color w:val="auto"/>
        </w:rPr>
        <w:t>severance benefits may be taxable under Section 4999 of the Code. Any reduction shall be made in the following order:</w:t>
      </w:r>
    </w:p>
    <w:p>
      <w:pPr>
        <w:jc w:val="both"/>
        <w:ind w:firstLine="6"/>
        <w:spacing w:after="0" w:line="237" w:lineRule="auto"/>
        <w:tabs>
          <w:tab w:leader="none" w:pos="25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reduction of cash payments, (ii) cancellation of accelerated vesting of equity awards, and (iii) reduction of other benefits payable to the Executive. Unless the Corporation and the Executive otherwise agree in writing, any determination required under this Section 11 shall be made in writing by the Corporation’s independent public accountants (the “</w:t>
      </w:r>
      <w:r>
        <w:rPr>
          <w:rFonts w:ascii="Arial" w:cs="Arial" w:eastAsia="Arial" w:hAnsi="Arial"/>
          <w:sz w:val="19"/>
          <w:szCs w:val="19"/>
          <w:b w:val="1"/>
          <w:bCs w:val="1"/>
          <w:i w:val="1"/>
          <w:iCs w:val="1"/>
          <w:color w:val="auto"/>
        </w:rPr>
        <w:t>Accountants</w:t>
      </w:r>
      <w:r>
        <w:rPr>
          <w:rFonts w:ascii="Arial" w:cs="Arial" w:eastAsia="Arial" w:hAnsi="Arial"/>
          <w:sz w:val="19"/>
          <w:szCs w:val="19"/>
          <w:color w:val="auto"/>
        </w:rPr>
        <w:t>”), whose determination shall be conclusive and binding upon the Executive and the Corporation for all purposes. For purposes of making the calculations required by this Section 11, the Accountants may make reasonable assumptions and approximations concerning applicable taxes and may rely on reasonable, good faith interpretations concerning the application of Sections 280G and 4999 of the Code. The Corporation and the Executive shall furnish to the Accountants such information and documents as the Accountants may reasonably request in order to make a determination under this Section 11. The Corporation shall bear all costs the Accountants may reasonably incur in connection with any calculations contemplated by this Section 11.</w:t>
      </w:r>
    </w:p>
    <w:p>
      <w:pPr>
        <w:spacing w:after="0" w:line="154" w:lineRule="exact"/>
        <w:rPr>
          <w:sz w:val="20"/>
          <w:szCs w:val="20"/>
          <w:color w:val="auto"/>
        </w:rPr>
      </w:pPr>
    </w:p>
    <w:p>
      <w:pPr>
        <w:ind w:left="640" w:hanging="634"/>
        <w:spacing w:after="0"/>
        <w:tabs>
          <w:tab w:leader="none" w:pos="640" w:val="left"/>
        </w:tabs>
        <w:numPr>
          <w:ilvl w:val="0"/>
          <w:numId w:val="115"/>
        </w:numPr>
        <w:rPr>
          <w:rFonts w:ascii="Arial" w:cs="Arial" w:eastAsia="Arial" w:hAnsi="Arial"/>
          <w:sz w:val="21"/>
          <w:szCs w:val="21"/>
          <w:b w:val="1"/>
          <w:bCs w:val="1"/>
          <w:color w:val="auto"/>
        </w:rPr>
      </w:pPr>
      <w:r>
        <w:rPr>
          <w:rFonts w:ascii="Arial" w:cs="Arial" w:eastAsia="Arial" w:hAnsi="Arial"/>
          <w:sz w:val="21"/>
          <w:szCs w:val="21"/>
          <w:b w:val="1"/>
          <w:bCs w:val="1"/>
          <w:color w:val="auto"/>
        </w:rPr>
        <w:t>INDEMNIFICATION</w:t>
      </w:r>
    </w:p>
    <w:p>
      <w:pPr>
        <w:spacing w:after="0" w:line="189"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9"/>
          <w:szCs w:val="19"/>
          <w:color w:val="auto"/>
        </w:rPr>
        <w:t>The Corporation shall indemnify the Executive, to the maximum extent permitted by applicable law, and in the same or better manner and to the same or better extent with respect to each aspect of the indemnification as provided to any other executive of the Corporation (including without limitation any Directors and Officers insurance coverage), against all costs, charges and expenses incurred or sustained by the Executive in connection with any action, suit or proceeding to which the Executive may be made a party, brought by any shareholder of the Corporation directly or derivatively or by any third party by reason of any act or omission of the Executive as an officer, director or employee of the Corporation or of any subsidiary or affiliate of the Corporation.</w:t>
      </w:r>
    </w:p>
    <w:p>
      <w:pPr>
        <w:spacing w:after="0" w:line="145" w:lineRule="exact"/>
        <w:rPr>
          <w:sz w:val="20"/>
          <w:szCs w:val="20"/>
          <w:color w:val="auto"/>
        </w:rPr>
      </w:pPr>
    </w:p>
    <w:p>
      <w:pPr>
        <w:ind w:left="640" w:hanging="634"/>
        <w:spacing w:after="0"/>
        <w:tabs>
          <w:tab w:leader="none" w:pos="640" w:val="left"/>
        </w:tabs>
        <w:numPr>
          <w:ilvl w:val="0"/>
          <w:numId w:val="116"/>
        </w:numPr>
        <w:rPr>
          <w:rFonts w:ascii="Arial" w:cs="Arial" w:eastAsia="Arial" w:hAnsi="Arial"/>
          <w:sz w:val="21"/>
          <w:szCs w:val="21"/>
          <w:b w:val="1"/>
          <w:bCs w:val="1"/>
          <w:color w:val="auto"/>
        </w:rPr>
      </w:pPr>
      <w:r>
        <w:rPr>
          <w:rFonts w:ascii="Arial" w:cs="Arial" w:eastAsia="Arial" w:hAnsi="Arial"/>
          <w:sz w:val="21"/>
          <w:szCs w:val="21"/>
          <w:b w:val="1"/>
          <w:bCs w:val="1"/>
          <w:color w:val="auto"/>
        </w:rPr>
        <w:t>NO DUTY TO MITIGATE</w:t>
      </w:r>
    </w:p>
    <w:p>
      <w:pPr>
        <w:spacing w:after="0" w:line="189" w:lineRule="exact"/>
        <w:rPr>
          <w:sz w:val="20"/>
          <w:szCs w:val="20"/>
          <w:color w:val="auto"/>
        </w:rPr>
      </w:pPr>
    </w:p>
    <w:p>
      <w:pPr>
        <w:ind w:firstLine="636"/>
        <w:spacing w:after="0" w:line="239" w:lineRule="auto"/>
        <w:rPr>
          <w:sz w:val="20"/>
          <w:szCs w:val="20"/>
          <w:color w:val="auto"/>
        </w:rPr>
      </w:pPr>
      <w:r>
        <w:rPr>
          <w:rFonts w:ascii="Arial" w:cs="Arial" w:eastAsia="Arial" w:hAnsi="Arial"/>
          <w:sz w:val="21"/>
          <w:szCs w:val="21"/>
          <w:color w:val="auto"/>
        </w:rPr>
        <w:t>In no event shall the Executive be obligated to seek other employment or take any other action by way of mitigation of the amounts payable to the Executive under any provisions of this Agreement.</w:t>
      </w:r>
    </w:p>
    <w:p>
      <w:pPr>
        <w:spacing w:after="0" w:line="149" w:lineRule="exact"/>
        <w:rPr>
          <w:sz w:val="20"/>
          <w:szCs w:val="20"/>
          <w:color w:val="auto"/>
        </w:rPr>
      </w:pPr>
    </w:p>
    <w:p>
      <w:pPr>
        <w:ind w:left="640" w:hanging="634"/>
        <w:spacing w:after="0"/>
        <w:tabs>
          <w:tab w:leader="none" w:pos="640" w:val="left"/>
        </w:tabs>
        <w:numPr>
          <w:ilvl w:val="0"/>
          <w:numId w:val="117"/>
        </w:numPr>
        <w:rPr>
          <w:rFonts w:ascii="Arial" w:cs="Arial" w:eastAsia="Arial" w:hAnsi="Arial"/>
          <w:sz w:val="21"/>
          <w:szCs w:val="21"/>
          <w:b w:val="1"/>
          <w:bCs w:val="1"/>
          <w:color w:val="auto"/>
        </w:rPr>
      </w:pPr>
      <w:r>
        <w:rPr>
          <w:rFonts w:ascii="Arial" w:cs="Arial" w:eastAsia="Arial" w:hAnsi="Arial"/>
          <w:sz w:val="21"/>
          <w:szCs w:val="21"/>
          <w:b w:val="1"/>
          <w:bCs w:val="1"/>
          <w:color w:val="auto"/>
        </w:rPr>
        <w:t>GENERAL PROVISIONS.</w:t>
      </w:r>
    </w:p>
    <w:p>
      <w:pPr>
        <w:spacing w:after="0" w:line="188" w:lineRule="exact"/>
        <w:rPr>
          <w:rFonts w:ascii="Arial" w:cs="Arial" w:eastAsia="Arial" w:hAnsi="Arial"/>
          <w:sz w:val="21"/>
          <w:szCs w:val="21"/>
          <w:b w:val="1"/>
          <w:bCs w:val="1"/>
          <w:color w:val="auto"/>
        </w:rPr>
      </w:pPr>
    </w:p>
    <w:p>
      <w:pPr>
        <w:jc w:val="both"/>
        <w:ind w:firstLine="642"/>
        <w:spacing w:after="0" w:line="222" w:lineRule="auto"/>
        <w:tabs>
          <w:tab w:leader="none" w:pos="1266" w:val="left"/>
        </w:tabs>
        <w:numPr>
          <w:ilvl w:val="1"/>
          <w:numId w:val="117"/>
        </w:numPr>
        <w:rPr>
          <w:rFonts w:ascii="Arial" w:cs="Arial" w:eastAsia="Arial" w:hAnsi="Arial"/>
          <w:sz w:val="21"/>
          <w:szCs w:val="21"/>
          <w:color w:val="auto"/>
        </w:rPr>
      </w:pPr>
      <w:r>
        <w:rPr>
          <w:rFonts w:ascii="Arial" w:cs="Arial" w:eastAsia="Arial" w:hAnsi="Arial"/>
          <w:sz w:val="21"/>
          <w:szCs w:val="21"/>
          <w:color w:val="auto"/>
        </w:rPr>
        <w:t>This Agreement shall be construed in accordance with and governed by the laws of the State of New York, without reference to the principles thereof respecting conflicts of laws. Each party to this Agreement, by his or its execution hereof, hereby irrevocably submits to the exclusive jurisdiction of the federal and state courts sitting in the County of New York, State of New York for the purpose of any and all actions, suits or proceedings arising in whole or in part out of, related to, based upon or in connection with this Agreement.</w:t>
      </w:r>
    </w:p>
    <w:p>
      <w:pPr>
        <w:spacing w:after="0" w:line="155" w:lineRule="exact"/>
        <w:rPr>
          <w:rFonts w:ascii="Arial" w:cs="Arial" w:eastAsia="Arial" w:hAnsi="Arial"/>
          <w:sz w:val="21"/>
          <w:szCs w:val="21"/>
          <w:color w:val="auto"/>
        </w:rPr>
      </w:pPr>
    </w:p>
    <w:p>
      <w:pPr>
        <w:jc w:val="both"/>
        <w:ind w:firstLine="642"/>
        <w:spacing w:after="0" w:line="242" w:lineRule="auto"/>
        <w:tabs>
          <w:tab w:leader="none" w:pos="1268" w:val="left"/>
        </w:tabs>
        <w:numPr>
          <w:ilvl w:val="1"/>
          <w:numId w:val="117"/>
        </w:numPr>
        <w:rPr>
          <w:rFonts w:ascii="Arial" w:cs="Arial" w:eastAsia="Arial" w:hAnsi="Arial"/>
          <w:sz w:val="20"/>
          <w:szCs w:val="20"/>
          <w:color w:val="auto"/>
        </w:rPr>
      </w:pPr>
      <w:r>
        <w:rPr>
          <w:rFonts w:ascii="Arial" w:cs="Arial" w:eastAsia="Arial" w:hAnsi="Arial"/>
          <w:sz w:val="20"/>
          <w:szCs w:val="20"/>
          <w:color w:val="auto"/>
        </w:rPr>
        <w:t>Any notices provided hereunder must be in writing and shall be deemed effective upon the earlier of personal delivery or the third day after mailing by U.S. registered or certified mail, return receipt requested and postage prepaid, to the Corporation at its primary office location and to Executive at Executive’s address as listed on the Corporation payroll.</w:t>
      </w:r>
    </w:p>
    <w:p>
      <w:pPr>
        <w:spacing w:after="0" w:line="152" w:lineRule="exact"/>
        <w:rPr>
          <w:rFonts w:ascii="Arial" w:cs="Arial" w:eastAsia="Arial" w:hAnsi="Arial"/>
          <w:sz w:val="20"/>
          <w:szCs w:val="20"/>
          <w:color w:val="auto"/>
        </w:rPr>
      </w:pPr>
    </w:p>
    <w:p>
      <w:pPr>
        <w:ind w:right="20" w:firstLine="642"/>
        <w:spacing w:after="0" w:line="239" w:lineRule="auto"/>
        <w:tabs>
          <w:tab w:leader="none" w:pos="1268" w:val="left"/>
        </w:tabs>
        <w:numPr>
          <w:ilvl w:val="1"/>
          <w:numId w:val="117"/>
        </w:numPr>
        <w:rPr>
          <w:rFonts w:ascii="Arial" w:cs="Arial" w:eastAsia="Arial" w:hAnsi="Arial"/>
          <w:sz w:val="21"/>
          <w:szCs w:val="21"/>
          <w:color w:val="auto"/>
        </w:rPr>
      </w:pPr>
      <w:r>
        <w:rPr>
          <w:rFonts w:ascii="Arial" w:cs="Arial" w:eastAsia="Arial" w:hAnsi="Arial"/>
          <w:sz w:val="21"/>
          <w:szCs w:val="21"/>
          <w:color w:val="auto"/>
        </w:rPr>
        <w:t>This Agreement shall inure to the benefit of and be binding upon the Corporation, its permitted successors and assigns and the Executive, his heirs, executors, administrators and legal representatives.</w:t>
      </w:r>
    </w:p>
    <w:p>
      <w:pPr>
        <w:spacing w:after="0" w:line="155" w:lineRule="exact"/>
        <w:rPr>
          <w:rFonts w:ascii="Arial" w:cs="Arial" w:eastAsia="Arial" w:hAnsi="Arial"/>
          <w:sz w:val="21"/>
          <w:szCs w:val="21"/>
          <w:color w:val="auto"/>
        </w:rPr>
      </w:pPr>
    </w:p>
    <w:p>
      <w:pPr>
        <w:jc w:val="both"/>
        <w:ind w:firstLine="642"/>
        <w:spacing w:after="0" w:line="230" w:lineRule="auto"/>
        <w:tabs>
          <w:tab w:leader="none" w:pos="1266" w:val="left"/>
        </w:tabs>
        <w:numPr>
          <w:ilvl w:val="1"/>
          <w:numId w:val="117"/>
        </w:numPr>
        <w:rPr>
          <w:rFonts w:ascii="Arial" w:cs="Arial" w:eastAsia="Arial" w:hAnsi="Arial"/>
          <w:sz w:val="21"/>
          <w:szCs w:val="21"/>
          <w:color w:val="auto"/>
        </w:rPr>
      </w:pPr>
      <w:r>
        <w:rPr>
          <w:rFonts w:ascii="Arial" w:cs="Arial" w:eastAsia="Arial" w:hAnsi="Arial"/>
          <w:sz w:val="21"/>
          <w:szCs w:val="21"/>
          <w:color w:val="auto"/>
        </w:rPr>
        <w:t>This Agreement and the Proprietary Rights Agreement set forth the entire understanding of the parties hereto with respect to the employment of the Executive by the Corporation. Any and all other previous agreements and understandings between or among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66" w:right="339" w:bottom="1440" w:gutter="0" w:footer="0" w:header="0"/>
        </w:sectPr>
      </w:pPr>
    </w:p>
    <w:bookmarkStart w:id="199" w:name="page200"/>
    <w:bookmarkEnd w:id="199"/>
    <w:p>
      <w:pPr>
        <w:ind w:right="20"/>
        <w:spacing w:after="0" w:line="239" w:lineRule="auto"/>
        <w:rPr>
          <w:sz w:val="20"/>
          <w:szCs w:val="20"/>
          <w:color w:val="auto"/>
        </w:rPr>
      </w:pPr>
      <w:r>
        <w:rPr>
          <w:rFonts w:ascii="Arial" w:cs="Arial" w:eastAsia="Arial" w:hAnsi="Arial"/>
          <w:sz w:val="21"/>
          <w:szCs w:val="21"/>
          <w:color w:val="auto"/>
        </w:rPr>
        <w:t>parties regarding the subject matter hereof, whether written or oral, are hereby released, merged herein and superseded by this Agreement.</w:t>
      </w:r>
    </w:p>
    <w:p>
      <w:pPr>
        <w:spacing w:after="0" w:line="155" w:lineRule="exact"/>
        <w:rPr>
          <w:sz w:val="20"/>
          <w:szCs w:val="20"/>
          <w:color w:val="auto"/>
        </w:rPr>
      </w:pPr>
    </w:p>
    <w:p>
      <w:pPr>
        <w:ind w:firstLine="642"/>
        <w:spacing w:after="0" w:line="239" w:lineRule="auto"/>
        <w:tabs>
          <w:tab w:leader="none" w:pos="1269" w:val="left"/>
        </w:tabs>
        <w:numPr>
          <w:ilvl w:val="0"/>
          <w:numId w:val="118"/>
        </w:numPr>
        <w:rPr>
          <w:rFonts w:ascii="Arial" w:cs="Arial" w:eastAsia="Arial" w:hAnsi="Arial"/>
          <w:sz w:val="21"/>
          <w:szCs w:val="21"/>
          <w:color w:val="auto"/>
        </w:rPr>
      </w:pPr>
      <w:r>
        <w:rPr>
          <w:rFonts w:ascii="Arial" w:cs="Arial" w:eastAsia="Arial" w:hAnsi="Arial"/>
          <w:sz w:val="21"/>
          <w:szCs w:val="21"/>
          <w:color w:val="auto"/>
        </w:rPr>
        <w:t>No statement, representation, warranty, covenant or agreement not expressly set forth in this Agreement shall affect or be used to interpret, change or restrict the express terms and provisions of this Agreement.</w:t>
      </w:r>
    </w:p>
    <w:p>
      <w:pPr>
        <w:spacing w:after="0" w:line="155" w:lineRule="exact"/>
        <w:rPr>
          <w:rFonts w:ascii="Arial" w:cs="Arial" w:eastAsia="Arial" w:hAnsi="Arial"/>
          <w:sz w:val="21"/>
          <w:szCs w:val="21"/>
          <w:color w:val="auto"/>
        </w:rPr>
      </w:pPr>
    </w:p>
    <w:p>
      <w:pPr>
        <w:jc w:val="both"/>
        <w:ind w:firstLine="642"/>
        <w:spacing w:after="0" w:line="220" w:lineRule="auto"/>
        <w:tabs>
          <w:tab w:leader="none" w:pos="1254"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This Agreement may not be amended or modified without a writing signed by each of the Executive and the Corporation.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55" w:lineRule="exact"/>
        <w:rPr>
          <w:rFonts w:ascii="Arial" w:cs="Arial" w:eastAsia="Arial" w:hAnsi="Arial"/>
          <w:sz w:val="21"/>
          <w:szCs w:val="21"/>
          <w:color w:val="auto"/>
        </w:rPr>
      </w:pPr>
    </w:p>
    <w:p>
      <w:pPr>
        <w:jc w:val="both"/>
        <w:ind w:firstLine="642"/>
        <w:spacing w:after="0" w:line="230" w:lineRule="auto"/>
        <w:tabs>
          <w:tab w:leader="none" w:pos="1266"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This Agreement may be executed in two counterparts, each of which shall be an original, and which together shall constitute one and the same instrument. A facsimile transmission by a party of a signed signature page hereof shall have the same effect as delivery by such party of a manually executed original counterpart hereof.</w:t>
      </w:r>
    </w:p>
    <w:p>
      <w:pPr>
        <w:spacing w:after="0" w:line="153" w:lineRule="exact"/>
        <w:rPr>
          <w:rFonts w:ascii="Arial" w:cs="Arial" w:eastAsia="Arial" w:hAnsi="Arial"/>
          <w:sz w:val="21"/>
          <w:szCs w:val="21"/>
          <w:color w:val="auto"/>
        </w:rPr>
      </w:pPr>
    </w:p>
    <w:p>
      <w:pPr>
        <w:jc w:val="both"/>
        <w:ind w:firstLine="642"/>
        <w:spacing w:after="0" w:line="222" w:lineRule="auto"/>
        <w:tabs>
          <w:tab w:leader="none" w:pos="1266" w:val="left"/>
        </w:tabs>
        <w:numPr>
          <w:ilvl w:val="0"/>
          <w:numId w:val="118"/>
        </w:numPr>
        <w:rPr>
          <w:rFonts w:ascii="Arial" w:cs="Arial" w:eastAsia="Arial" w:hAnsi="Arial"/>
          <w:sz w:val="21"/>
          <w:szCs w:val="21"/>
          <w:color w:val="auto"/>
        </w:rPr>
      </w:pPr>
      <w:r>
        <w:rPr>
          <w:rFonts w:ascii="Arial" w:cs="Arial" w:eastAsia="Arial" w:hAnsi="Arial"/>
          <w:sz w:val="21"/>
          <w:szCs w:val="21"/>
          <w:color w:val="auto"/>
        </w:rPr>
        <w:t>If for any reason any provision of this Agreement is held invalid, such invalidity shall not affect any other provision of this Agreement not held invalid, and each such other provision shall, to the full extent consistent with law, continue in full force and effect. If any provision of this Agreement shall be held invalid in part, such invalidity shall not affect the rest of such provision not held invalid, and the rest of such provision, and the rest of this Agreement, shall, to the full extent consistent with law, continue in full force and effect.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77" w:right="339" w:bottom="1440" w:gutter="0" w:footer="0" w:header="0"/>
        </w:sectPr>
      </w:pPr>
    </w:p>
    <w:bookmarkStart w:id="200" w:name="page201"/>
    <w:bookmarkEnd w:id="200"/>
    <w:p>
      <w:pPr>
        <w:spacing w:after="0"/>
        <w:rPr>
          <w:sz w:val="20"/>
          <w:szCs w:val="20"/>
          <w:color w:val="auto"/>
        </w:rPr>
      </w:pPr>
      <w:r>
        <w:rPr>
          <w:rFonts w:ascii="Arial" w:cs="Arial" w:eastAsia="Arial" w:hAnsi="Arial"/>
          <w:sz w:val="19"/>
          <w:szCs w:val="19"/>
          <w:color w:val="auto"/>
        </w:rPr>
        <w:t>IN WITNESS WHEREOF, the parties hereto have duly executed this Agreement as of the date first above written.</w:t>
      </w:r>
    </w:p>
    <w:p>
      <w:pPr>
        <w:sectPr>
          <w:pgSz w:w="11900" w:h="16838" w:orient="portrait"/>
          <w:cols w:equalWidth="0" w:num="1">
            <w:col w:w="9700"/>
          </w:cols>
          <w:pgMar w:left="960" w:top="1377" w:right="1239" w:bottom="1440" w:gutter="0" w:footer="0" w:header="0"/>
        </w:sectPr>
      </w:pPr>
    </w:p>
    <w:p>
      <w:pPr>
        <w:spacing w:after="0" w:line="206"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THE CORPORATION:</w:t>
      </w:r>
    </w:p>
    <w:p>
      <w:pPr>
        <w:spacing w:after="0" w:line="183"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Sema4 Holdings Corp.</w:t>
      </w:r>
    </w:p>
    <w:p>
      <w:pPr>
        <w:spacing w:after="0" w:line="383"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/s/ Joshua 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-5715</wp:posOffset>
            </wp:positionV>
            <wp:extent cx="10134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6">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8"/>
          <w:szCs w:val="18"/>
          <w:color w:val="auto"/>
        </w:rPr>
        <w:t>Joshua Ruch</w:t>
      </w:r>
    </w:p>
    <w:p>
      <w:pPr>
        <w:spacing w:after="0" w:line="1"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Chairman of the Compensation Committee of the Corporation.</w:t>
      </w:r>
    </w:p>
    <w:p>
      <w:pPr>
        <w:spacing w:after="0" w:line="200" w:lineRule="exact"/>
        <w:rPr>
          <w:sz w:val="20"/>
          <w:szCs w:val="20"/>
          <w:color w:val="auto"/>
        </w:rPr>
      </w:pPr>
    </w:p>
    <w:p>
      <w:pPr>
        <w:spacing w:after="0" w:line="389"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THE EXECUTIVE:</w:t>
      </w:r>
    </w:p>
    <w:p>
      <w:pPr>
        <w:spacing w:after="0" w:line="383"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/s/ Jason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-5715</wp:posOffset>
            </wp:positionV>
            <wp:extent cx="9067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7">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ind w:left="3180"/>
        <w:spacing w:after="0"/>
        <w:rPr>
          <w:sz w:val="20"/>
          <w:szCs w:val="20"/>
          <w:color w:val="auto"/>
        </w:rPr>
      </w:pPr>
      <w:r>
        <w:rPr>
          <w:rFonts w:ascii="Arial" w:cs="Arial" w:eastAsia="Arial" w:hAnsi="Arial"/>
          <w:sz w:val="21"/>
          <w:szCs w:val="21"/>
          <w:color w:val="auto"/>
        </w:rPr>
        <w:t>Jason Ryan</w:t>
      </w:r>
    </w:p>
    <w:p>
      <w:pPr>
        <w:sectPr>
          <w:pgSz w:w="11900" w:h="16838" w:orient="portrait"/>
          <w:cols w:equalWidth="0" w:num="1">
            <w:col w:w="9700"/>
          </w:cols>
          <w:pgMar w:left="960" w:top="1377" w:right="1239" w:bottom="1440" w:gutter="0" w:footer="0" w:header="0"/>
          <w:type w:val="continuous"/>
        </w:sectPr>
      </w:pPr>
    </w:p>
    <w:bookmarkStart w:id="201" w:name="page202"/>
    <w:bookmarkEnd w:id="201"/>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Exhibit A</w:t>
      </w:r>
    </w:p>
    <w:p>
      <w:pPr>
        <w:jc w:val="center"/>
        <w:ind w:right="19"/>
        <w:spacing w:after="0"/>
        <w:rPr>
          <w:sz w:val="20"/>
          <w:szCs w:val="20"/>
          <w:color w:val="auto"/>
        </w:rPr>
      </w:pPr>
      <w:r>
        <w:rPr>
          <w:rFonts w:ascii="Arial" w:cs="Arial" w:eastAsia="Arial" w:hAnsi="Arial"/>
          <w:sz w:val="19"/>
          <w:szCs w:val="19"/>
          <w:b w:val="1"/>
          <w:bCs w:val="1"/>
          <w:color w:val="auto"/>
        </w:rPr>
        <w:t>Proprietary Information and Inventions Agreement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440" w:right="1440" w:bottom="1440" w:gutter="0" w:footer="0" w:header="0"/>
          <w:type w:val="continuous"/>
        </w:sectPr>
      </w:pPr>
    </w:p>
    <w:bookmarkStart w:id="202" w:name="page203"/>
    <w:bookmarkEnd w:id="202"/>
    <w:p>
      <w:pPr>
        <w:jc w:val="center"/>
        <w:ind w:right="-99"/>
        <w:spacing w:after="0"/>
        <w:rPr>
          <w:sz w:val="20"/>
          <w:szCs w:val="20"/>
          <w:color w:val="auto"/>
        </w:rPr>
      </w:pPr>
      <w:r>
        <w:rPr>
          <w:rFonts w:ascii="Arial" w:cs="Arial" w:eastAsia="Arial" w:hAnsi="Arial"/>
          <w:sz w:val="18"/>
          <w:szCs w:val="18"/>
          <w:b w:val="1"/>
          <w:bCs w:val="1"/>
          <w:color w:val="auto"/>
        </w:rPr>
        <w:t>SEMA4 PROPRIETARY INFORMATION AND INVENTIONS AGREEMENT</w:t>
      </w:r>
    </w:p>
    <w:p>
      <w:pPr>
        <w:spacing w:after="0" w:line="236" w:lineRule="exact"/>
        <w:rPr>
          <w:sz w:val="20"/>
          <w:szCs w:val="20"/>
          <w:color w:val="auto"/>
        </w:rPr>
      </w:pPr>
    </w:p>
    <w:p>
      <w:pPr>
        <w:ind w:left="80" w:firstLine="508"/>
        <w:spacing w:after="0" w:line="249" w:lineRule="auto"/>
        <w:rPr>
          <w:sz w:val="20"/>
          <w:szCs w:val="20"/>
          <w:color w:val="auto"/>
        </w:rPr>
      </w:pPr>
      <w:r>
        <w:rPr>
          <w:rFonts w:ascii="Arial" w:cs="Arial" w:eastAsia="Arial" w:hAnsi="Arial"/>
          <w:sz w:val="18"/>
          <w:szCs w:val="18"/>
          <w:color w:val="auto"/>
        </w:rPr>
        <w:t>In consideration of the compensation now and hereafter paid for my services by Sema4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w:t>
      </w:r>
      <w:r>
        <w:rPr>
          <w:rFonts w:ascii="Arial" w:cs="Arial" w:eastAsia="Arial" w:hAnsi="Arial"/>
          <w:sz w:val="18"/>
          <w:szCs w:val="18"/>
          <w:b w:val="1"/>
          <w:bCs w:val="1"/>
          <w:i w:val="1"/>
          <w:iCs w:val="1"/>
          <w:color w:val="auto"/>
        </w:rPr>
        <w:t>Sema4</w:t>
      </w:r>
      <w:r>
        <w:rPr>
          <w:rFonts w:ascii="Arial" w:cs="Arial" w:eastAsia="Arial" w:hAnsi="Arial"/>
          <w:sz w:val="18"/>
          <w:szCs w:val="18"/>
          <w:color w:val="auto"/>
        </w:rPr>
        <w:t>”), I hereby agree to the terms of this Proprietary Information and Inventions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as follows:</w:t>
      </w:r>
    </w:p>
    <w:p>
      <w:pPr>
        <w:sectPr>
          <w:pgSz w:w="11900" w:h="16838" w:orient="portrait"/>
          <w:cols w:equalWidth="0" w:num="1">
            <w:col w:w="11060"/>
          </w:cols>
          <w:pgMar w:left="360" w:top="1062" w:right="479" w:bottom="1440" w:gutter="0" w:footer="0" w:header="0"/>
        </w:sectPr>
      </w:pPr>
    </w:p>
    <w:p>
      <w:pPr>
        <w:spacing w:after="0" w:line="267" w:lineRule="exact"/>
        <w:rPr>
          <w:sz w:val="20"/>
          <w:szCs w:val="20"/>
          <w:color w:val="auto"/>
        </w:rPr>
      </w:pPr>
    </w:p>
    <w:p>
      <w:pPr>
        <w:ind w:left="700" w:hanging="629"/>
        <w:spacing w:after="0"/>
        <w:tabs>
          <w:tab w:leader="none" w:pos="7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ONDISCLOSURE</w:t>
      </w:r>
      <w:r>
        <w:rPr>
          <w:rFonts w:ascii="Arial" w:cs="Arial" w:eastAsia="Arial" w:hAnsi="Arial"/>
          <w:sz w:val="18"/>
          <w:szCs w:val="18"/>
          <w:b w:val="1"/>
          <w:bCs w:val="1"/>
          <w:color w:val="auto"/>
        </w:rPr>
        <w:t>.</w:t>
      </w:r>
    </w:p>
    <w:p>
      <w:pPr>
        <w:spacing w:after="0" w:line="217" w:lineRule="exact"/>
        <w:rPr>
          <w:sz w:val="20"/>
          <w:szCs w:val="20"/>
          <w:color w:val="auto"/>
        </w:rPr>
      </w:pPr>
    </w:p>
    <w:p>
      <w:pPr>
        <w:jc w:val="both"/>
        <w:ind w:left="80" w:firstLine="637"/>
        <w:spacing w:after="0" w:line="279" w:lineRule="auto"/>
        <w:rPr>
          <w:sz w:val="20"/>
          <w:szCs w:val="20"/>
          <w:color w:val="auto"/>
        </w:rPr>
      </w:pPr>
      <w:r>
        <w:rPr>
          <w:rFonts w:ascii="Arial" w:cs="Arial" w:eastAsia="Arial" w:hAnsi="Arial"/>
          <w:sz w:val="15"/>
          <w:szCs w:val="15"/>
          <w:b w:val="1"/>
          <w:bCs w:val="1"/>
          <w:color w:val="auto"/>
        </w:rPr>
        <w:t xml:space="preserve">1.1 Recognition of Company’s Rights; Nondisclosure. </w:t>
      </w:r>
      <w:r>
        <w:rPr>
          <w:rFonts w:ascii="Arial" w:cs="Arial" w:eastAsia="Arial" w:hAnsi="Arial"/>
          <w:sz w:val="15"/>
          <w:szCs w:val="15"/>
          <w:color w:val="auto"/>
        </w:rPr>
        <w:t>At all</w:t>
      </w:r>
      <w:r>
        <w:rPr>
          <w:rFonts w:ascii="Arial" w:cs="Arial" w:eastAsia="Arial" w:hAnsi="Arial"/>
          <w:sz w:val="15"/>
          <w:szCs w:val="15"/>
          <w:b w:val="1"/>
          <w:bCs w:val="1"/>
          <w:color w:val="auto"/>
        </w:rPr>
        <w:t xml:space="preserve"> </w:t>
      </w:r>
      <w:r>
        <w:rPr>
          <w:rFonts w:ascii="Arial" w:cs="Arial" w:eastAsia="Arial" w:hAnsi="Arial"/>
          <w:sz w:val="15"/>
          <w:szCs w:val="15"/>
          <w:color w:val="auto"/>
        </w:rPr>
        <w:t>times during my performance of duties for the benefit of the Company, whether as an employee of Company or through another arrangement with the Company (collectively referred to herein as “</w:t>
      </w:r>
      <w:r>
        <w:rPr>
          <w:rFonts w:ascii="Arial" w:cs="Arial" w:eastAsia="Arial" w:hAnsi="Arial"/>
          <w:sz w:val="15"/>
          <w:szCs w:val="15"/>
          <w:b w:val="1"/>
          <w:bCs w:val="1"/>
          <w:i w:val="1"/>
          <w:iCs w:val="1"/>
          <w:color w:val="auto"/>
        </w:rPr>
        <w:t>Employment</w:t>
      </w:r>
      <w:r>
        <w:rPr>
          <w:rFonts w:ascii="Arial" w:cs="Arial" w:eastAsia="Arial" w:hAnsi="Arial"/>
          <w:sz w:val="15"/>
          <w:szCs w:val="15"/>
          <w:color w:val="auto"/>
        </w:rPr>
        <w:t>”), and thereafter, I will hold in strictest confidence and will not disclose, use, lecture upon or publish any of the Company's Proprietary Information (defined in section 1.2 below), Third Party Information (defined in section 1.3 below), or Personal Information (defined in section 1.4 below) except as such disclosure, use or publication may be required in connection with my Employment, or unless an officer of the Company (other than me, if I am an officer of the Company) expressly authorizes such in writing. I will obtain Company's written approval before publishing or submitting for publication any material (written, verbal, or otherwise) that relates to my work at the Company and/or incorporates any Proprietary Information, Third Party, or Personal Information. I hereby assign to the Company any rights I may have or acquire in such Proprietary Information and recognize that all Proprietary Information shall be the sole property of the Company and its assigns. I have been informed and acknowledge that the unauthorized taking of the Company’s Proprietary Information, Third Party, or Personal Information may subject me to civil and/or criminal penalties. I understand that I may disclose Proprietary Information, Third Party, or Personal Information to the extent required by law, court order, or other legal authority with jurisdiction, provided that I promptly inform the Company in writing of such requirement (to the extent legally permissible) and comply, at the Company’s written request and expense, with the Company’s legal efforts to prevent or limit the scope of such required disclosure. In the event such legally compelled disclosure is made as permitted hereunder, I shall continue in all other ways to maintain the confidentiality obligations and use restrictions herein with respect to such information.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80" w:firstLine="636"/>
        <w:spacing w:after="0" w:line="285" w:lineRule="auto"/>
        <w:rPr>
          <w:sz w:val="20"/>
          <w:szCs w:val="20"/>
          <w:color w:val="auto"/>
        </w:rPr>
      </w:pPr>
      <w:r>
        <w:rPr>
          <w:rFonts w:ascii="Arial" w:cs="Arial" w:eastAsia="Arial" w:hAnsi="Arial"/>
          <w:sz w:val="15"/>
          <w:szCs w:val="15"/>
          <w:b w:val="1"/>
          <w:bCs w:val="1"/>
          <w:color w:val="auto"/>
        </w:rPr>
        <w:t xml:space="preserve">1.2 Proprietary Information. </w:t>
      </w:r>
      <w:r>
        <w:rPr>
          <w:rFonts w:ascii="Arial" w:cs="Arial" w:eastAsia="Arial" w:hAnsi="Arial"/>
          <w:sz w:val="15"/>
          <w:szCs w:val="15"/>
          <w:color w:val="auto"/>
        </w:rPr>
        <w:t>The term “</w:t>
      </w:r>
      <w:r>
        <w:rPr>
          <w:rFonts w:ascii="Arial" w:cs="Arial" w:eastAsia="Arial" w:hAnsi="Arial"/>
          <w:sz w:val="15"/>
          <w:szCs w:val="15"/>
          <w:b w:val="1"/>
          <w:bCs w:val="1"/>
          <w:i w:val="1"/>
          <w:iCs w:val="1"/>
          <w:color w:val="auto"/>
        </w:rPr>
        <w:t>Proprietary</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Information</w:t>
      </w:r>
      <w:r>
        <w:rPr>
          <w:rFonts w:ascii="Arial" w:cs="Arial" w:eastAsia="Arial" w:hAnsi="Arial"/>
          <w:sz w:val="15"/>
          <w:szCs w:val="15"/>
          <w:color w:val="auto"/>
        </w:rPr>
        <w:t>” shall mean any and all confidential and/or proprietary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knowledge, materials, data or information of the Company. By way of illustration but not limitation, “</w:t>
      </w:r>
      <w:r>
        <w:rPr>
          <w:rFonts w:ascii="Arial" w:cs="Arial" w:eastAsia="Arial" w:hAnsi="Arial"/>
          <w:sz w:val="15"/>
          <w:szCs w:val="15"/>
          <w:b w:val="1"/>
          <w:bCs w:val="1"/>
          <w:i w:val="1"/>
          <w:iCs w:val="1"/>
          <w:color w:val="auto"/>
        </w:rPr>
        <w:t>Proprietary Information</w:t>
      </w:r>
      <w:r>
        <w:rPr>
          <w:rFonts w:ascii="Arial" w:cs="Arial" w:eastAsia="Arial" w:hAnsi="Arial"/>
          <w:sz w:val="15"/>
          <w:szCs w:val="15"/>
          <w:color w:val="auto"/>
        </w:rPr>
        <w:t>” includes: (a) trade secrets, inventions, mask works, ideas, processes, formulas, algorithms, source and object codes, data, programs, other works of authorship, brand names, logos, know-how, improvements, discoveries, developments, designs, techniques and materials (hereinafter collectively referred to as “</w:t>
      </w:r>
      <w:r>
        <w:rPr>
          <w:rFonts w:ascii="Arial" w:cs="Arial" w:eastAsia="Arial" w:hAnsi="Arial"/>
          <w:sz w:val="15"/>
          <w:szCs w:val="15"/>
          <w:b w:val="1"/>
          <w:bCs w:val="1"/>
          <w:i w:val="1"/>
          <w:iCs w:val="1"/>
          <w:color w:val="auto"/>
        </w:rPr>
        <w:t>Works</w:t>
      </w:r>
      <w:r>
        <w:rPr>
          <w:rFonts w:ascii="Arial" w:cs="Arial" w:eastAsia="Arial" w:hAnsi="Arial"/>
          <w:sz w:val="15"/>
          <w:szCs w:val="15"/>
          <w:color w:val="auto"/>
        </w:rPr>
        <w:t>”); and (b) information regarding plans for research, development, new products, marketing and selling,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80"/>
        <w:spacing w:after="0" w:line="288" w:lineRule="auto"/>
        <w:rPr>
          <w:sz w:val="20"/>
          <w:szCs w:val="20"/>
          <w:color w:val="auto"/>
        </w:rPr>
      </w:pPr>
      <w:r>
        <w:rPr>
          <w:rFonts w:ascii="Arial" w:cs="Arial" w:eastAsia="Arial" w:hAnsi="Arial"/>
          <w:sz w:val="15"/>
          <w:szCs w:val="15"/>
          <w:color w:val="auto"/>
        </w:rPr>
        <w:t>business plans, budgets and unpublished financial statements, licenses, prices and costs, suppliers and customers; and (c) sensitive personnel information including the skills and compensation of other employees of the Company. Notwithstanding the foregoing, it is understood that, at all such times, I am free to use information which is generally known in the trade or industry, which is not gained as result of a breach of this Agreement, and my own skill, knowledge, know-how and experience.</w:t>
      </w:r>
    </w:p>
    <w:p>
      <w:pPr>
        <w:spacing w:after="0" w:line="175" w:lineRule="exact"/>
        <w:rPr>
          <w:sz w:val="20"/>
          <w:szCs w:val="20"/>
          <w:color w:val="auto"/>
        </w:rPr>
      </w:pPr>
    </w:p>
    <w:p>
      <w:pPr>
        <w:jc w:val="both"/>
        <w:ind w:right="80" w:firstLine="636"/>
        <w:spacing w:after="0" w:line="282" w:lineRule="auto"/>
        <w:rPr>
          <w:sz w:val="20"/>
          <w:szCs w:val="20"/>
          <w:color w:val="auto"/>
        </w:rPr>
      </w:pPr>
      <w:r>
        <w:rPr>
          <w:rFonts w:ascii="Arial" w:cs="Arial" w:eastAsia="Arial" w:hAnsi="Arial"/>
          <w:sz w:val="15"/>
          <w:szCs w:val="15"/>
          <w:b w:val="1"/>
          <w:bCs w:val="1"/>
          <w:color w:val="auto"/>
        </w:rPr>
        <w:t xml:space="preserve">1.3 Third Party Information. </w:t>
      </w:r>
      <w:r>
        <w:rPr>
          <w:rFonts w:ascii="Arial" w:cs="Arial" w:eastAsia="Arial" w:hAnsi="Arial"/>
          <w:sz w:val="15"/>
          <w:szCs w:val="15"/>
          <w:color w:val="auto"/>
        </w:rPr>
        <w:t>I understand, in addition, that</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has received, and in the future will receive from third parties (including the U.S. government), confidential, proprietary, or otherwise private information (“</w:t>
      </w:r>
      <w:r>
        <w:rPr>
          <w:rFonts w:ascii="Arial" w:cs="Arial" w:eastAsia="Arial" w:hAnsi="Arial"/>
          <w:sz w:val="15"/>
          <w:szCs w:val="15"/>
          <w:b w:val="1"/>
          <w:bCs w:val="1"/>
          <w:i w:val="1"/>
          <w:iCs w:val="1"/>
          <w:color w:val="auto"/>
        </w:rPr>
        <w:t>Third Party Information</w:t>
      </w:r>
      <w:r>
        <w:rPr>
          <w:rFonts w:ascii="Arial" w:cs="Arial" w:eastAsia="Arial" w:hAnsi="Arial"/>
          <w:sz w:val="15"/>
          <w:szCs w:val="15"/>
          <w:color w:val="auto"/>
        </w:rPr>
        <w:t>”), which information is subject to a duty on the Company’s part to maintain the confidentiality of such information and to use it only for certain limited purposes. During the term of my Employment and thereafter, I will hold Third Party Information in the strictest confidence and will not disclose to anyone (other than Company personnel who need to know such information in connection with their work for the Company) or use Third Party Information, except in connection with my work for the Company, or unless expressly authorized in writing by an officer of the Company (other than me, if I am an officer of the Company). I understand that any unauthorized use of information received from the U.S. government may result in severe civil and/or criminal penalties including but not limited to loss of security clearance, fines and/or imprisonment.</w:t>
      </w:r>
    </w:p>
    <w:p>
      <w:pPr>
        <w:spacing w:after="0" w:line="392" w:lineRule="exact"/>
        <w:rPr>
          <w:sz w:val="20"/>
          <w:szCs w:val="20"/>
          <w:color w:val="auto"/>
        </w:rPr>
      </w:pPr>
    </w:p>
    <w:p>
      <w:pPr>
        <w:jc w:val="both"/>
        <w:ind w:right="80" w:firstLine="636"/>
        <w:spacing w:after="0" w:line="281" w:lineRule="auto"/>
        <w:rPr>
          <w:sz w:val="20"/>
          <w:szCs w:val="20"/>
          <w:color w:val="auto"/>
        </w:rPr>
      </w:pPr>
      <w:r>
        <w:rPr>
          <w:rFonts w:ascii="Arial" w:cs="Arial" w:eastAsia="Arial" w:hAnsi="Arial"/>
          <w:sz w:val="15"/>
          <w:szCs w:val="15"/>
          <w:b w:val="1"/>
          <w:bCs w:val="1"/>
          <w:color w:val="auto"/>
        </w:rPr>
        <w:t xml:space="preserve">1.4 Personal Information. </w:t>
      </w:r>
      <w:r>
        <w:rPr>
          <w:rFonts w:ascii="Arial" w:cs="Arial" w:eastAsia="Arial" w:hAnsi="Arial"/>
          <w:sz w:val="15"/>
          <w:szCs w:val="15"/>
          <w:color w:val="auto"/>
        </w:rPr>
        <w:t>I understand that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has received and in the future will receive personally identifiable information from employees, patients, consultants or third parties including names, addresses, telephone or facsimile numbers, Social Security Numbers, background information, credit card or banking information, health information, or other information entrusted to the Company (“</w:t>
      </w:r>
      <w:r>
        <w:rPr>
          <w:rFonts w:ascii="Arial" w:cs="Arial" w:eastAsia="Arial" w:hAnsi="Arial"/>
          <w:sz w:val="15"/>
          <w:szCs w:val="15"/>
          <w:b w:val="1"/>
          <w:bCs w:val="1"/>
          <w:i w:val="1"/>
          <w:iCs w:val="1"/>
          <w:color w:val="auto"/>
        </w:rPr>
        <w:t>Personal Information</w:t>
      </w:r>
      <w:r>
        <w:rPr>
          <w:rFonts w:ascii="Arial" w:cs="Arial" w:eastAsia="Arial" w:hAnsi="Arial"/>
          <w:sz w:val="15"/>
          <w:szCs w:val="15"/>
          <w:color w:val="auto"/>
        </w:rPr>
        <w:t>”). During the term of my Employment and thereafter, I will hold Personal Information in the strictest confidence and will not disclose to anyone (other than Company personnel who need to know such information in connection with their work for the Company) or use Personal Information, except in connection with my work for the Company, or unless expressly authorized in writing by an officer of the Company (other than me, if I am an officer of the Company). I understand that there are laws in the United States and other countries that protect Personal Information, and that I must not use Personal Information other than for the purpose for which it was originally disclosed to me or make any disclosures of Personal Information to any third party or</w:t>
      </w:r>
    </w:p>
    <w:p>
      <w:pPr>
        <w:spacing w:after="0" w:line="441" w:lineRule="exact"/>
        <w:rPr>
          <w:sz w:val="20"/>
          <w:szCs w:val="20"/>
          <w:color w:val="auto"/>
        </w:rPr>
      </w:pPr>
    </w:p>
    <w:p>
      <w:pPr>
        <w:sectPr>
          <w:pgSz w:w="11900" w:h="16838" w:orient="portrait"/>
          <w:cols w:equalWidth="0" w:num="2">
            <w:col w:w="5440" w:space="240"/>
            <w:col w:w="5380"/>
          </w:cols>
          <w:pgMar w:left="360" w:top="1062"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Sema4 PIIA – Page 1</w:t>
      </w:r>
    </w:p>
    <w:p>
      <w:pPr>
        <w:sectPr>
          <w:pgSz w:w="11900" w:h="16838" w:orient="portrait"/>
          <w:cols w:equalWidth="0" w:num="1">
            <w:col w:w="11060"/>
          </w:cols>
          <w:pgMar w:left="360" w:top="1062" w:right="479" w:bottom="1440" w:gutter="0" w:footer="0" w:header="0"/>
          <w:type w:val="continuous"/>
        </w:sectPr>
      </w:pPr>
    </w:p>
    <w:bookmarkStart w:id="203" w:name="page204"/>
    <w:bookmarkEnd w:id="203"/>
    <w:p>
      <w:pPr>
        <w:spacing w:after="0" w:line="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from one country to another without prior managerial approval.</w:t>
      </w:r>
    </w:p>
    <w:p>
      <w:pPr>
        <w:spacing w:after="0" w:line="224" w:lineRule="exact"/>
        <w:rPr>
          <w:sz w:val="20"/>
          <w:szCs w:val="20"/>
          <w:color w:val="auto"/>
        </w:rPr>
      </w:pPr>
    </w:p>
    <w:p>
      <w:pPr>
        <w:jc w:val="both"/>
        <w:ind w:left="80" w:firstLine="636"/>
        <w:spacing w:after="0" w:line="283" w:lineRule="auto"/>
        <w:rPr>
          <w:sz w:val="20"/>
          <w:szCs w:val="20"/>
          <w:color w:val="auto"/>
        </w:rPr>
      </w:pPr>
      <w:r>
        <w:rPr>
          <w:rFonts w:ascii="Arial" w:cs="Arial" w:eastAsia="Arial" w:hAnsi="Arial"/>
          <w:sz w:val="15"/>
          <w:szCs w:val="15"/>
          <w:b w:val="1"/>
          <w:bCs w:val="1"/>
          <w:color w:val="auto"/>
        </w:rPr>
        <w:t xml:space="preserve">1.1 No Improper Use of Information of Prior Employers and Others. </w:t>
      </w:r>
      <w:r>
        <w:rPr>
          <w:rFonts w:ascii="Arial" w:cs="Arial" w:eastAsia="Arial" w:hAnsi="Arial"/>
          <w:sz w:val="15"/>
          <w:szCs w:val="15"/>
          <w:color w:val="auto"/>
        </w:rPr>
        <w:t>During my Employment by the Company, I will not</w:t>
      </w:r>
      <w:r>
        <w:rPr>
          <w:rFonts w:ascii="Arial" w:cs="Arial" w:eastAsia="Arial" w:hAnsi="Arial"/>
          <w:sz w:val="15"/>
          <w:szCs w:val="15"/>
          <w:b w:val="1"/>
          <w:bCs w:val="1"/>
          <w:color w:val="auto"/>
        </w:rPr>
        <w:t xml:space="preserve"> </w:t>
      </w:r>
      <w:r>
        <w:rPr>
          <w:rFonts w:ascii="Arial" w:cs="Arial" w:eastAsia="Arial" w:hAnsi="Arial"/>
          <w:sz w:val="15"/>
          <w:szCs w:val="15"/>
          <w:color w:val="auto"/>
        </w:rPr>
        <w:t>improperly use or disclose any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such use has been consented to in writing by that former employer or person. I will use in the performance of my duties only information which is generally known and used by persons with training and experience comparable to my own, which is common knowledge in the industry or otherwise legally in the public domain, or which is otherwise provided or developed by the Company.</w:t>
      </w:r>
    </w:p>
    <w:p>
      <w:pPr>
        <w:spacing w:after="0" w:line="382" w:lineRule="exact"/>
        <w:rPr>
          <w:sz w:val="20"/>
          <w:szCs w:val="20"/>
          <w:color w:val="auto"/>
        </w:rPr>
      </w:pPr>
    </w:p>
    <w:p>
      <w:pPr>
        <w:jc w:val="both"/>
        <w:ind w:left="80" w:firstLine="636"/>
        <w:spacing w:after="0" w:line="281" w:lineRule="auto"/>
        <w:rPr>
          <w:sz w:val="20"/>
          <w:szCs w:val="20"/>
          <w:color w:val="auto"/>
        </w:rPr>
      </w:pPr>
      <w:r>
        <w:rPr>
          <w:rFonts w:ascii="Arial" w:cs="Arial" w:eastAsia="Arial" w:hAnsi="Arial"/>
          <w:sz w:val="15"/>
          <w:szCs w:val="15"/>
          <w:b w:val="1"/>
          <w:bCs w:val="1"/>
          <w:color w:val="auto"/>
        </w:rPr>
        <w:t xml:space="preserve">1.2 Safeguarding Proprietary Information, Third Party Information, or Personal Information. </w:t>
      </w:r>
      <w:r>
        <w:rPr>
          <w:rFonts w:ascii="Arial" w:cs="Arial" w:eastAsia="Arial" w:hAnsi="Arial"/>
          <w:sz w:val="15"/>
          <w:szCs w:val="15"/>
          <w:color w:val="auto"/>
        </w:rPr>
        <w:t>I understand that avoiding loss or</w:t>
      </w:r>
      <w:r>
        <w:rPr>
          <w:rFonts w:ascii="Arial" w:cs="Arial" w:eastAsia="Arial" w:hAnsi="Arial"/>
          <w:sz w:val="15"/>
          <w:szCs w:val="15"/>
          <w:b w:val="1"/>
          <w:bCs w:val="1"/>
          <w:color w:val="auto"/>
        </w:rPr>
        <w:t xml:space="preserve"> </w:t>
      </w:r>
      <w:r>
        <w:rPr>
          <w:rFonts w:ascii="Arial" w:cs="Arial" w:eastAsia="Arial" w:hAnsi="Arial"/>
          <w:sz w:val="15"/>
          <w:szCs w:val="15"/>
          <w:color w:val="auto"/>
        </w:rPr>
        <w:t>theft of Proprietary Information, Third Party Information and/or Personal Information is an important part of my duties. I will not allow any other person to use my office access privileges or computer passwords without prior managerial approval. I will follow all lawful instructions from the Company and from third parties with whom the Company does business (including the U.S. government) regarding the avoidance of loss or theft of Proprietary Information, Third Party Information, or Personal Information, including but not limited to placing appropriate legends upon documents signifying their sensitive nature. I will only use secure networks established by or approved by the Company when using Proprietary Information, Third Party Information, or Personal Information. I will immediately report to the Company any loss or suspected loss of Proprietary Information, Third Party Information, or Personal Information, as well as any suspicious activity such as external hacking attempts, or unusual internal activity. I agree that I will suggest to the Company any actionable ideas I have for the improvement of the Company’s protection of Proprietary Information, Third Party Information, or Personal Information.</w:t>
      </w:r>
    </w:p>
    <w:p>
      <w:pPr>
        <w:spacing w:after="0" w:line="393" w:lineRule="exact"/>
        <w:rPr>
          <w:sz w:val="20"/>
          <w:szCs w:val="20"/>
          <w:color w:val="auto"/>
        </w:rPr>
      </w:pPr>
    </w:p>
    <w:p>
      <w:pPr>
        <w:jc w:val="both"/>
        <w:ind w:left="80" w:firstLine="636"/>
        <w:spacing w:after="0" w:line="237" w:lineRule="auto"/>
        <w:rPr>
          <w:sz w:val="20"/>
          <w:szCs w:val="20"/>
          <w:color w:val="auto"/>
        </w:rPr>
      </w:pPr>
      <w:r>
        <w:rPr>
          <w:rFonts w:ascii="Arial" w:cs="Arial" w:eastAsia="Arial" w:hAnsi="Arial"/>
          <w:sz w:val="18"/>
          <w:szCs w:val="18"/>
          <w:b w:val="1"/>
          <w:bCs w:val="1"/>
          <w:color w:val="auto"/>
        </w:rPr>
        <w:t xml:space="preserve">1.3 Disposal of Proprietary Information, Third Party Information, or Personal Information. </w:t>
      </w:r>
      <w:r>
        <w:rPr>
          <w:rFonts w:ascii="Arial" w:cs="Arial" w:eastAsia="Arial" w:hAnsi="Arial"/>
          <w:sz w:val="18"/>
          <w:szCs w:val="18"/>
          <w:color w:val="auto"/>
        </w:rPr>
        <w:t>Given the sensitivity of</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Third Party Information, and Personal Information, I understand that I may only dispose of such information by secure methods approved by the Company.</w:t>
      </w:r>
    </w:p>
    <w:p>
      <w:pPr>
        <w:spacing w:after="0" w:line="210" w:lineRule="exact"/>
        <w:rPr>
          <w:sz w:val="20"/>
          <w:szCs w:val="20"/>
          <w:color w:val="auto"/>
        </w:rPr>
      </w:pPr>
    </w:p>
    <w:p>
      <w:pPr>
        <w:jc w:val="both"/>
        <w:ind w:left="80" w:firstLine="635"/>
        <w:spacing w:after="0" w:line="243" w:lineRule="auto"/>
        <w:rPr>
          <w:sz w:val="20"/>
          <w:szCs w:val="20"/>
          <w:color w:val="auto"/>
        </w:rPr>
      </w:pPr>
      <w:r>
        <w:rPr>
          <w:rFonts w:ascii="Arial" w:cs="Arial" w:eastAsia="Arial" w:hAnsi="Arial"/>
          <w:sz w:val="18"/>
          <w:szCs w:val="18"/>
          <w:b w:val="1"/>
          <w:bCs w:val="1"/>
          <w:color w:val="auto"/>
        </w:rPr>
        <w:t xml:space="preserve">1.4 Responsibility to Seek Prior Approval. </w:t>
      </w:r>
      <w:r>
        <w:rPr>
          <w:rFonts w:ascii="Arial" w:cs="Arial" w:eastAsia="Arial" w:hAnsi="Arial"/>
          <w:sz w:val="18"/>
          <w:szCs w:val="18"/>
          <w:color w:val="auto"/>
        </w:rPr>
        <w:t>I understand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sensitivity of Proprietary Information, Third Party Information, or Personal Information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Sema4 PIIA – Page 2</w:t>
      </w:r>
    </w:p>
    <w:p>
      <w:pPr>
        <w:spacing w:after="0" w:line="20" w:lineRule="exact"/>
        <w:rPr>
          <w:sz w:val="20"/>
          <w:szCs w:val="20"/>
          <w:color w:val="auto"/>
        </w:rPr>
      </w:pPr>
      <w:r>
        <w:rPr>
          <w:sz w:val="20"/>
          <w:szCs w:val="20"/>
          <w:color w:val="auto"/>
        </w:rPr>
        <w:br w:type="column"/>
      </w:r>
    </w:p>
    <w:p>
      <w:pPr>
        <w:jc w:val="both"/>
        <w:spacing w:after="0" w:line="236" w:lineRule="auto"/>
        <w:rPr>
          <w:sz w:val="20"/>
          <w:szCs w:val="20"/>
          <w:color w:val="auto"/>
        </w:rPr>
      </w:pPr>
      <w:r>
        <w:rPr>
          <w:rFonts w:ascii="Arial" w:cs="Arial" w:eastAsia="Arial" w:hAnsi="Arial"/>
          <w:sz w:val="18"/>
          <w:szCs w:val="18"/>
          <w:color w:val="auto"/>
        </w:rPr>
        <w:t>me to exercise caution when handling such information. If I ever have any reasonable doubt or hesitation about how to handle Proprietary Information, Third Party Information, or Personal Information, I understand that I must raise my concerns with the Company’s management before acting.</w:t>
      </w:r>
    </w:p>
    <w:p>
      <w:pPr>
        <w:spacing w:after="0" w:line="209" w:lineRule="exact"/>
        <w:rPr>
          <w:sz w:val="20"/>
          <w:szCs w:val="20"/>
          <w:color w:val="auto"/>
        </w:rPr>
      </w:pPr>
    </w:p>
    <w:p>
      <w:pPr>
        <w:ind w:left="640" w:hanging="638"/>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SSIGNMENT OF</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ORKS</w:t>
      </w:r>
      <w:r>
        <w:rPr>
          <w:rFonts w:ascii="Arial" w:cs="Arial" w:eastAsia="Arial" w:hAnsi="Arial"/>
          <w:sz w:val="18"/>
          <w:szCs w:val="18"/>
          <w:b w:val="1"/>
          <w:bCs w:val="1"/>
          <w:color w:val="auto"/>
        </w:rPr>
        <w:t>.</w:t>
      </w:r>
    </w:p>
    <w:p>
      <w:pPr>
        <w:spacing w:after="0" w:line="217"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7"/>
          <w:szCs w:val="17"/>
          <w:b w:val="1"/>
          <w:bCs w:val="1"/>
          <w:color w:val="auto"/>
        </w:rPr>
        <w:t xml:space="preserve">2.1 Proprietary Rights. </w:t>
      </w: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Proprietary Rights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all trade secret, patent, copyright, mask work, trademark and any other intellectual or industrial property rights or Moral Rights, in each case, in or to any Work throughout the world. The term “</w:t>
      </w:r>
      <w:r>
        <w:rPr>
          <w:rFonts w:ascii="Arial" w:cs="Arial" w:eastAsia="Arial" w:hAnsi="Arial"/>
          <w:sz w:val="17"/>
          <w:szCs w:val="17"/>
          <w:b w:val="1"/>
          <w:bCs w:val="1"/>
          <w:i w:val="1"/>
          <w:iCs w:val="1"/>
          <w:color w:val="auto"/>
        </w:rPr>
        <w:t>Moral Rights</w:t>
      </w:r>
      <w:r>
        <w:rPr>
          <w:rFonts w:ascii="Arial" w:cs="Arial" w:eastAsia="Arial" w:hAnsi="Arial"/>
          <w:sz w:val="17"/>
          <w:szCs w:val="17"/>
          <w:color w:val="auto"/>
        </w:rPr>
        <w:t>” refers to any rights to claim authorship of an Work or to object to or prevent the modification of any Work, or to withdraw from circulation or control the publication or distribution of any Work, and any similar right, existing under judicial or statutory law of any country in the world, or under any treaty, regardless of whether or not such right is denominated or generally referred to as a “moral right.”</w:t>
      </w:r>
    </w:p>
    <w:p>
      <w:pPr>
        <w:spacing w:after="0" w:line="206"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15"/>
          <w:szCs w:val="15"/>
          <w:b w:val="1"/>
          <w:bCs w:val="1"/>
          <w:color w:val="auto"/>
        </w:rPr>
        <w:t xml:space="preserve">2.2 Prior or Separate Works. </w:t>
      </w:r>
      <w:r>
        <w:rPr>
          <w:rFonts w:ascii="Arial" w:cs="Arial" w:eastAsia="Arial" w:hAnsi="Arial"/>
          <w:sz w:val="15"/>
          <w:szCs w:val="15"/>
          <w:color w:val="auto"/>
        </w:rPr>
        <w:t>I understand that, except as set</w:t>
      </w:r>
      <w:r>
        <w:rPr>
          <w:rFonts w:ascii="Arial" w:cs="Arial" w:eastAsia="Arial" w:hAnsi="Arial"/>
          <w:sz w:val="15"/>
          <w:szCs w:val="15"/>
          <w:b w:val="1"/>
          <w:bCs w:val="1"/>
          <w:color w:val="auto"/>
        </w:rPr>
        <w:t xml:space="preserve"> </w:t>
      </w:r>
      <w:r>
        <w:rPr>
          <w:rFonts w:ascii="Arial" w:cs="Arial" w:eastAsia="Arial" w:hAnsi="Arial"/>
          <w:sz w:val="15"/>
          <w:szCs w:val="15"/>
          <w:color w:val="auto"/>
        </w:rPr>
        <w:t>forth herein and except to the extent any such Work has been assigned, leased, or transferred to the Company, this Agreement excludes Works that I have, alone or jointly with others, conceived, created, developed or reduced to practice or caused to be conceived, created, developed or reduced to practice either prior to the commencement of my Employment with the Company or in the performance of any employment or engagement by Icahn School of Medicine at Mount Sinai (“ISMMS”) or another entity that is permitted by the Company in accordance with this Agreement, and that are my property or the property of third parties (including ISMMS), as such conception, creation, development, reduction to practice and/or ownership can be demonstrated by competent electronic or written records (each such Work referred to herein as “</w:t>
      </w:r>
      <w:r>
        <w:rPr>
          <w:rFonts w:ascii="Arial" w:cs="Arial" w:eastAsia="Arial" w:hAnsi="Arial"/>
          <w:sz w:val="15"/>
          <w:szCs w:val="15"/>
          <w:b w:val="1"/>
          <w:bCs w:val="1"/>
          <w:i w:val="1"/>
          <w:iCs w:val="1"/>
          <w:color w:val="auto"/>
        </w:rPr>
        <w:t>Prior or</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Separate Work</w:t>
      </w:r>
      <w:r>
        <w:rPr>
          <w:rFonts w:ascii="Arial" w:cs="Arial" w:eastAsia="Arial" w:hAnsi="Arial"/>
          <w:sz w:val="15"/>
          <w:szCs w:val="15"/>
          <w:color w:val="auto"/>
        </w:rPr>
        <w:t>”). However, if, in the course of my Employment with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I incorporate a Prior or Separate Work in which I have an ownership interest (but not Prior or Separate Works that are the property of a third party) into a Company product, service, process or machine, to the maximum extent I have the right to provide such a license, the Company is hereby granted and shall have a nonexclusive, royalty-free, irrevocable, perpetual, worldwide license (with rights to sublicense through multiple tiers of sublicensees) to copy, distribute, derive, modify, display, perform, make, have made, use, sell, offer to sell and otherwise exploit such Prior or Separate Work. Notwithstanding the foregoing, I agree that I will not incorporate, or permit to be incorporated, Prior or Separate Works in any Company product, service, process or machine without the Company's prior written consent.</w:t>
      </w:r>
    </w:p>
    <w:p>
      <w:pPr>
        <w:spacing w:after="0" w:line="200" w:lineRule="exact"/>
        <w:rPr>
          <w:sz w:val="20"/>
          <w:szCs w:val="20"/>
          <w:color w:val="auto"/>
        </w:rPr>
      </w:pPr>
    </w:p>
    <w:p>
      <w:pPr>
        <w:spacing w:after="0" w:line="394"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18"/>
          <w:szCs w:val="18"/>
          <w:b w:val="1"/>
          <w:bCs w:val="1"/>
          <w:color w:val="auto"/>
        </w:rPr>
        <w:t xml:space="preserve">2.3 Assignment of Works. </w:t>
      </w:r>
      <w:r>
        <w:rPr>
          <w:rFonts w:ascii="Arial" w:cs="Arial" w:eastAsia="Arial" w:hAnsi="Arial"/>
          <w:sz w:val="18"/>
          <w:szCs w:val="18"/>
          <w:color w:val="auto"/>
        </w:rPr>
        <w:t>Subject to Sections 2.4, and 2.6, I</w:t>
      </w:r>
      <w:r>
        <w:rPr>
          <w:rFonts w:ascii="Arial" w:cs="Arial" w:eastAsia="Arial" w:hAnsi="Arial"/>
          <w:sz w:val="18"/>
          <w:szCs w:val="18"/>
          <w:b w:val="1"/>
          <w:bCs w:val="1"/>
          <w:color w:val="auto"/>
        </w:rPr>
        <w:t xml:space="preserve"> </w:t>
      </w:r>
      <w:r>
        <w:rPr>
          <w:rFonts w:ascii="Arial" w:cs="Arial" w:eastAsia="Arial" w:hAnsi="Arial"/>
          <w:sz w:val="18"/>
          <w:szCs w:val="18"/>
          <w:color w:val="auto"/>
        </w:rPr>
        <w:t>hereby irrevocably assign and agree</w:t>
      </w:r>
    </w:p>
    <w:p>
      <w:pPr>
        <w:sectPr>
          <w:pgSz w:w="11900" w:h="16838" w:orient="portrait"/>
          <w:cols w:equalWidth="0" w:num="2">
            <w:col w:w="5440" w:space="240"/>
            <w:col w:w="5300"/>
          </w:cols>
          <w:pgMar w:left="360" w:top="1002" w:right="559" w:bottom="1440" w:gutter="0" w:footer="0" w:header="0"/>
        </w:sectPr>
      </w:pPr>
    </w:p>
    <w:bookmarkStart w:id="204" w:name="page205"/>
    <w:bookmarkEnd w:id="204"/>
    <w:p>
      <w:pPr>
        <w:spacing w:after="0" w:line="318" w:lineRule="exact"/>
        <w:rPr>
          <w:sz w:val="20"/>
          <w:szCs w:val="20"/>
          <w:color w:val="auto"/>
        </w:rPr>
      </w:pPr>
    </w:p>
    <w:p>
      <w:pPr>
        <w:jc w:val="both"/>
        <w:ind w:left="80"/>
        <w:spacing w:after="0" w:line="282" w:lineRule="auto"/>
        <w:rPr>
          <w:sz w:val="20"/>
          <w:szCs w:val="20"/>
          <w:color w:val="auto"/>
        </w:rPr>
      </w:pPr>
      <w:r>
        <w:rPr>
          <w:rFonts w:ascii="Arial" w:cs="Arial" w:eastAsia="Arial" w:hAnsi="Arial"/>
          <w:sz w:val="15"/>
          <w:szCs w:val="15"/>
          <w:color w:val="auto"/>
        </w:rPr>
        <w:t>to assign in the future (when any such Works or Proprietary Rights are first conceived, created, developed, reduced to practice or fixed in a tangible medium) to the Company all my right, title and interest in and to any and all Works (and all Proprietary Rights with respect thereto), on an exclusive, perpetual and worldwide basis, whether or not patentable or registrable under copyright or similar statutes, made or conceived or reduced to practice or learned by me, either alone or jointly with others, during the period of, or in connection with, my Employment with the Company. Works assignable to the Company pursuant to this Section 2.3, or to a third party as directed by the Company pursuant to this Section 2, are hereinafter referred to as “</w:t>
      </w:r>
      <w:r>
        <w:rPr>
          <w:rFonts w:ascii="Arial" w:cs="Arial" w:eastAsia="Arial" w:hAnsi="Arial"/>
          <w:sz w:val="15"/>
          <w:szCs w:val="15"/>
          <w:b w:val="1"/>
          <w:bCs w:val="1"/>
          <w:i w:val="1"/>
          <w:iCs w:val="1"/>
          <w:color w:val="auto"/>
        </w:rPr>
        <w:t>Company Works</w:t>
      </w:r>
      <w:r>
        <w:rPr>
          <w:rFonts w:ascii="Arial" w:cs="Arial" w:eastAsia="Arial" w:hAnsi="Arial"/>
          <w:sz w:val="15"/>
          <w:szCs w:val="15"/>
          <w:color w:val="auto"/>
        </w:rPr>
        <w:t>.” To the extent that any Moral Rights cannot be assigned under applicable law pursuant to this Section 2.3, I hereby irrevocably waive such Moral Rights.</w:t>
      </w:r>
    </w:p>
    <w:p>
      <w:pPr>
        <w:spacing w:after="0" w:line="182" w:lineRule="exact"/>
        <w:rPr>
          <w:sz w:val="20"/>
          <w:szCs w:val="20"/>
          <w:color w:val="auto"/>
        </w:rPr>
      </w:pPr>
    </w:p>
    <w:p>
      <w:pPr>
        <w:jc w:val="both"/>
        <w:ind w:left="80" w:firstLine="635"/>
        <w:spacing w:after="0" w:line="252" w:lineRule="auto"/>
        <w:rPr>
          <w:sz w:val="20"/>
          <w:szCs w:val="20"/>
          <w:color w:val="auto"/>
        </w:rPr>
      </w:pPr>
      <w:r>
        <w:rPr>
          <w:rFonts w:ascii="Arial" w:cs="Arial" w:eastAsia="Arial" w:hAnsi="Arial"/>
          <w:sz w:val="17"/>
          <w:szCs w:val="17"/>
          <w:b w:val="1"/>
          <w:bCs w:val="1"/>
          <w:color w:val="auto"/>
        </w:rPr>
        <w:t xml:space="preserve">1.4 Unassigned Works. </w:t>
      </w:r>
      <w:r>
        <w:rPr>
          <w:rFonts w:ascii="Arial" w:cs="Arial" w:eastAsia="Arial" w:hAnsi="Arial"/>
          <w:sz w:val="17"/>
          <w:szCs w:val="17"/>
          <w:color w:val="auto"/>
        </w:rPr>
        <w:t>I recognize that this Agreement will</w:t>
      </w:r>
      <w:r>
        <w:rPr>
          <w:rFonts w:ascii="Arial" w:cs="Arial" w:eastAsia="Arial" w:hAnsi="Arial"/>
          <w:sz w:val="17"/>
          <w:szCs w:val="17"/>
          <w:b w:val="1"/>
          <w:bCs w:val="1"/>
          <w:color w:val="auto"/>
        </w:rPr>
        <w:t xml:space="preserve"> </w:t>
      </w:r>
      <w:r>
        <w:rPr>
          <w:rFonts w:ascii="Arial" w:cs="Arial" w:eastAsia="Arial" w:hAnsi="Arial"/>
          <w:sz w:val="17"/>
          <w:szCs w:val="17"/>
          <w:color w:val="auto"/>
        </w:rPr>
        <w:t>not be deemed to require assignment of any invention that I am bound to assign to a third party or that is developed entirely on my own time without using the Company’s equipment, supplies, facilities, Proprietary Information, or Third Party Information, which invention does not result from work performed by me for the Company.</w:t>
      </w:r>
    </w:p>
    <w:p>
      <w:pPr>
        <w:spacing w:after="0" w:line="200" w:lineRule="exact"/>
        <w:rPr>
          <w:sz w:val="20"/>
          <w:szCs w:val="20"/>
          <w:color w:val="auto"/>
        </w:rPr>
      </w:pPr>
    </w:p>
    <w:p>
      <w:pPr>
        <w:jc w:val="both"/>
        <w:ind w:left="80" w:firstLine="636"/>
        <w:spacing w:after="0" w:line="285" w:lineRule="auto"/>
        <w:rPr>
          <w:sz w:val="20"/>
          <w:szCs w:val="20"/>
          <w:color w:val="auto"/>
        </w:rPr>
      </w:pPr>
      <w:r>
        <w:rPr>
          <w:rFonts w:ascii="Arial" w:cs="Arial" w:eastAsia="Arial" w:hAnsi="Arial"/>
          <w:sz w:val="15"/>
          <w:szCs w:val="15"/>
          <w:b w:val="1"/>
          <w:bCs w:val="1"/>
          <w:color w:val="auto"/>
        </w:rPr>
        <w:t xml:space="preserve">1.5 Obligation to Keep Company Informed. </w:t>
      </w:r>
      <w:r>
        <w:rPr>
          <w:rFonts w:ascii="Arial" w:cs="Arial" w:eastAsia="Arial" w:hAnsi="Arial"/>
          <w:sz w:val="15"/>
          <w:szCs w:val="15"/>
          <w:color w:val="auto"/>
        </w:rPr>
        <w:t>During the</w:t>
      </w:r>
      <w:r>
        <w:rPr>
          <w:rFonts w:ascii="Arial" w:cs="Arial" w:eastAsia="Arial" w:hAnsi="Arial"/>
          <w:sz w:val="15"/>
          <w:szCs w:val="15"/>
          <w:b w:val="1"/>
          <w:bCs w:val="1"/>
          <w:color w:val="auto"/>
        </w:rPr>
        <w:t xml:space="preserve"> </w:t>
      </w:r>
      <w:r>
        <w:rPr>
          <w:rFonts w:ascii="Arial" w:cs="Arial" w:eastAsia="Arial" w:hAnsi="Arial"/>
          <w:sz w:val="15"/>
          <w:szCs w:val="15"/>
          <w:color w:val="auto"/>
        </w:rPr>
        <w:t>period of my Employment and for six (6) months after termination of my Employment with the Company, I will promptly disclose to the Company fully and in writing all Works authored, conceived or reduced to practice by me, either alone or jointly with others. In addition, I will promptly disclose to the Company all patent applications filed by me or on my behalf within a year after termination of Employment. The Company will keep in confidence and will not use for any purpose or disclose to third parties without my consent any personal confidential information disclosed in writing to the Company pursuant to this Agreement.</w:t>
      </w:r>
    </w:p>
    <w:p>
      <w:pPr>
        <w:spacing w:after="0" w:line="396" w:lineRule="exact"/>
        <w:rPr>
          <w:sz w:val="20"/>
          <w:szCs w:val="20"/>
          <w:color w:val="auto"/>
        </w:rPr>
      </w:pPr>
    </w:p>
    <w:p>
      <w:pPr>
        <w:jc w:val="both"/>
        <w:ind w:left="80" w:firstLine="636"/>
        <w:spacing w:after="0" w:line="239" w:lineRule="auto"/>
        <w:rPr>
          <w:sz w:val="20"/>
          <w:szCs w:val="20"/>
          <w:color w:val="auto"/>
        </w:rPr>
      </w:pPr>
      <w:r>
        <w:rPr>
          <w:rFonts w:ascii="Arial" w:cs="Arial" w:eastAsia="Arial" w:hAnsi="Arial"/>
          <w:sz w:val="18"/>
          <w:szCs w:val="18"/>
          <w:b w:val="1"/>
          <w:bCs w:val="1"/>
          <w:color w:val="auto"/>
        </w:rPr>
        <w:t xml:space="preserve">1.6 Government or Third Party. </w:t>
      </w:r>
      <w:r>
        <w:rPr>
          <w:rFonts w:ascii="Arial" w:cs="Arial" w:eastAsia="Arial" w:hAnsi="Arial"/>
          <w:sz w:val="18"/>
          <w:szCs w:val="18"/>
          <w:color w:val="auto"/>
        </w:rPr>
        <w:t>I agree to assign all my</w:t>
      </w:r>
      <w:r>
        <w:rPr>
          <w:rFonts w:ascii="Arial" w:cs="Arial" w:eastAsia="Arial" w:hAnsi="Arial"/>
          <w:sz w:val="18"/>
          <w:szCs w:val="18"/>
          <w:b w:val="1"/>
          <w:bCs w:val="1"/>
          <w:color w:val="auto"/>
        </w:rPr>
        <w:t xml:space="preserve"> </w:t>
      </w:r>
      <w:r>
        <w:rPr>
          <w:rFonts w:ascii="Arial" w:cs="Arial" w:eastAsia="Arial" w:hAnsi="Arial"/>
          <w:sz w:val="18"/>
          <w:szCs w:val="18"/>
          <w:color w:val="auto"/>
        </w:rPr>
        <w:t>right, title and interest in and to any particular Company Work to a third party, including without limitation the United States, as directed by the Company.</w:t>
      </w:r>
    </w:p>
    <w:p>
      <w:pPr>
        <w:spacing w:after="0" w:line="209" w:lineRule="exact"/>
        <w:rPr>
          <w:sz w:val="20"/>
          <w:szCs w:val="20"/>
          <w:color w:val="auto"/>
        </w:rPr>
      </w:pPr>
    </w:p>
    <w:p>
      <w:pPr>
        <w:jc w:val="both"/>
        <w:ind w:left="80" w:firstLine="636"/>
        <w:spacing w:after="0" w:line="237" w:lineRule="auto"/>
        <w:rPr>
          <w:sz w:val="20"/>
          <w:szCs w:val="20"/>
          <w:color w:val="auto"/>
        </w:rPr>
      </w:pPr>
      <w:r>
        <w:rPr>
          <w:rFonts w:ascii="Arial" w:cs="Arial" w:eastAsia="Arial" w:hAnsi="Arial"/>
          <w:sz w:val="18"/>
          <w:szCs w:val="18"/>
          <w:b w:val="1"/>
          <w:bCs w:val="1"/>
          <w:color w:val="auto"/>
        </w:rPr>
        <w:t xml:space="preserve">1.7 Works for Hire. </w:t>
      </w:r>
      <w:r>
        <w:rPr>
          <w:rFonts w:ascii="Arial" w:cs="Arial" w:eastAsia="Arial" w:hAnsi="Arial"/>
          <w:sz w:val="18"/>
          <w:szCs w:val="18"/>
          <w:color w:val="auto"/>
        </w:rPr>
        <w:t>I acknowledge that all original works of</w:t>
      </w:r>
      <w:r>
        <w:rPr>
          <w:rFonts w:ascii="Arial" w:cs="Arial" w:eastAsia="Arial" w:hAnsi="Arial"/>
          <w:sz w:val="18"/>
          <w:szCs w:val="18"/>
          <w:b w:val="1"/>
          <w:bCs w:val="1"/>
          <w:color w:val="auto"/>
        </w:rPr>
        <w:t xml:space="preserve"> </w:t>
      </w:r>
      <w:r>
        <w:rPr>
          <w:rFonts w:ascii="Arial" w:cs="Arial" w:eastAsia="Arial" w:hAnsi="Arial"/>
          <w:sz w:val="18"/>
          <w:szCs w:val="18"/>
          <w:color w:val="auto"/>
        </w:rPr>
        <w:t>authorship which are made by me (solely or jointly with others) within the scope of my Employment and which are protectable by copyright shall be considered “works made for hire” pursuant to United States Copyright Act (17 U.S.C., Section 101).</w:t>
      </w:r>
    </w:p>
    <w:p>
      <w:pPr>
        <w:spacing w:after="0" w:line="210" w:lineRule="exact"/>
        <w:rPr>
          <w:sz w:val="20"/>
          <w:szCs w:val="20"/>
          <w:color w:val="auto"/>
        </w:rPr>
      </w:pPr>
    </w:p>
    <w:p>
      <w:pPr>
        <w:jc w:val="both"/>
        <w:ind w:left="80" w:firstLine="636"/>
        <w:spacing w:after="0" w:line="239" w:lineRule="auto"/>
        <w:rPr>
          <w:sz w:val="20"/>
          <w:szCs w:val="20"/>
          <w:color w:val="auto"/>
        </w:rPr>
      </w:pPr>
      <w:r>
        <w:rPr>
          <w:rFonts w:ascii="Arial" w:cs="Arial" w:eastAsia="Arial" w:hAnsi="Arial"/>
          <w:sz w:val="18"/>
          <w:szCs w:val="18"/>
          <w:b w:val="1"/>
          <w:bCs w:val="1"/>
          <w:color w:val="auto"/>
        </w:rPr>
        <w:t xml:space="preserve">1.8 Enforcement of Proprietary Rights. </w:t>
      </w:r>
      <w:r>
        <w:rPr>
          <w:rFonts w:ascii="Arial" w:cs="Arial" w:eastAsia="Arial" w:hAnsi="Arial"/>
          <w:sz w:val="18"/>
          <w:szCs w:val="18"/>
          <w:color w:val="auto"/>
        </w:rPr>
        <w:t>I will assist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every proper way to obtain, and from time to time to enforce, United States and foreign Proprietary Rights relating to Company Works in any and all</w:t>
      </w:r>
    </w:p>
    <w:p>
      <w:pPr>
        <w:spacing w:after="0" w:line="20" w:lineRule="exact"/>
        <w:rPr>
          <w:sz w:val="20"/>
          <w:szCs w:val="20"/>
          <w:color w:val="auto"/>
        </w:rPr>
      </w:pPr>
      <w:r>
        <w:rPr>
          <w:sz w:val="20"/>
          <w:szCs w:val="20"/>
          <w:color w:val="auto"/>
        </w:rPr>
        <w:br w:type="column"/>
      </w:r>
    </w:p>
    <w:p>
      <w:pPr>
        <w:jc w:val="both"/>
        <w:spacing w:after="0" w:line="283" w:lineRule="auto"/>
        <w:rPr>
          <w:sz w:val="20"/>
          <w:szCs w:val="20"/>
          <w:color w:val="auto"/>
        </w:rPr>
      </w:pPr>
      <w:r>
        <w:rPr>
          <w:rFonts w:ascii="Arial" w:cs="Arial" w:eastAsia="Arial" w:hAnsi="Arial"/>
          <w:sz w:val="15"/>
          <w:szCs w:val="15"/>
          <w:color w:val="auto"/>
        </w:rPr>
        <w:t>countries. To that end I will execute, verify and deliver such documents and perform such other acts (including appearances as a witness) as the Company may reasonably request for use in applying for, obtaining, perfecting, evidencing, sustaining and enforcing such Proprietary Rights and/or the assignment thereof. In addition, I will execute, verify and deliver assignments of such Proprietary Rights to the Company or its designee. My obligation to assist the Company with respect to Proprietary Rights relating to such Company Works in any and all countries shall continue beyond the termination of my Employment, but the Company shall compensate me at a reasonable rate after my termination for the time actually spent by me at the Company's request on such assistance.</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In the event the Company is unable for any reason, after reasonable effort, to secure my signature on any document needed in connection with the actions specified in the preceding paragraph, I hereby irrevocably designate and appoint the Company and its duly authorized officers and agents as my agent and attorney in fact, which appointment is coupled with an interest, to act for and in my behalf to execute, verify and file any such documents and to do all other lawfully permitted acts to further the purposes of the preceding paragraph with the same legal force and effect as if executed by me. I hereby waive and quitclaim to the Company any and all claims, of any nature whatsoever, which I now or may hereafter have for infringement of any Proprietary Rights assigned hereunder to the Company.</w:t>
      </w:r>
    </w:p>
    <w:p>
      <w:pPr>
        <w:spacing w:after="0" w:line="380" w:lineRule="exact"/>
        <w:rPr>
          <w:sz w:val="20"/>
          <w:szCs w:val="20"/>
          <w:color w:val="auto"/>
        </w:rPr>
      </w:pPr>
    </w:p>
    <w:p>
      <w:pPr>
        <w:jc w:val="both"/>
        <w:ind w:firstLine="2"/>
        <w:spacing w:after="0" w:line="292" w:lineRule="auto"/>
        <w:tabs>
          <w:tab w:leader="none" w:pos="529" w:val="left"/>
        </w:tabs>
        <w:numPr>
          <w:ilvl w:val="0"/>
          <w:numId w:val="121"/>
        </w:numPr>
        <w:rPr>
          <w:rFonts w:ascii="Arial" w:cs="Arial" w:eastAsia="Arial" w:hAnsi="Arial"/>
          <w:sz w:val="15"/>
          <w:szCs w:val="15"/>
          <w:b w:val="1"/>
          <w:bCs w:val="1"/>
          <w:color w:val="auto"/>
        </w:rPr>
      </w:pPr>
      <w:r>
        <w:rPr>
          <w:rFonts w:ascii="Arial" w:cs="Arial" w:eastAsia="Arial" w:hAnsi="Arial"/>
          <w:sz w:val="15"/>
          <w:szCs w:val="15"/>
          <w:b w:val="1"/>
          <w:bCs w:val="1"/>
          <w:color w:val="auto"/>
        </w:rPr>
        <w:t>R</w:t>
      </w:r>
      <w:r>
        <w:rPr>
          <w:rFonts w:ascii="Arial" w:cs="Arial" w:eastAsia="Arial" w:hAnsi="Arial"/>
          <w:sz w:val="12"/>
          <w:szCs w:val="12"/>
          <w:b w:val="1"/>
          <w:bCs w:val="1"/>
          <w:color w:val="auto"/>
        </w:rPr>
        <w:t>ECORDS</w:t>
      </w:r>
      <w:r>
        <w:rPr>
          <w:rFonts w:ascii="Arial" w:cs="Arial" w:eastAsia="Arial" w:hAnsi="Arial"/>
          <w:sz w:val="15"/>
          <w:szCs w:val="15"/>
          <w:b w:val="1"/>
          <w:bCs w:val="1"/>
          <w:color w:val="auto"/>
        </w:rPr>
        <w:t xml:space="preserve">. </w:t>
      </w:r>
      <w:r>
        <w:rPr>
          <w:rFonts w:ascii="Arial" w:cs="Arial" w:eastAsia="Arial" w:hAnsi="Arial"/>
          <w:sz w:val="15"/>
          <w:szCs w:val="15"/>
          <w:color w:val="auto"/>
        </w:rPr>
        <w:t>I agree to keep and maintain adequate, reasonable, and</w:t>
      </w:r>
      <w:r>
        <w:rPr>
          <w:rFonts w:ascii="Arial" w:cs="Arial" w:eastAsia="Arial" w:hAnsi="Arial"/>
          <w:sz w:val="15"/>
          <w:szCs w:val="15"/>
          <w:b w:val="1"/>
          <w:bCs w:val="1"/>
          <w:color w:val="auto"/>
        </w:rPr>
        <w:t xml:space="preserve"> </w:t>
      </w:r>
      <w:r>
        <w:rPr>
          <w:rFonts w:ascii="Arial" w:cs="Arial" w:eastAsia="Arial" w:hAnsi="Arial"/>
          <w:sz w:val="15"/>
          <w:szCs w:val="15"/>
          <w:color w:val="auto"/>
        </w:rPr>
        <w:t>current records (in the form of notes, sketches, drawings and in any other form that may be required by the Company) of all Proprietary Information developed by me and all Works made by me during the period of my Employment at the Company, which records shall be available to and remain the sole property of the Company at all times.</w:t>
      </w:r>
    </w:p>
    <w:p>
      <w:pPr>
        <w:spacing w:after="0" w:line="185" w:lineRule="exact"/>
        <w:rPr>
          <w:rFonts w:ascii="Arial" w:cs="Arial" w:eastAsia="Arial" w:hAnsi="Arial"/>
          <w:sz w:val="15"/>
          <w:szCs w:val="15"/>
          <w:b w:val="1"/>
          <w:bCs w:val="1"/>
          <w:color w:val="auto"/>
        </w:rPr>
      </w:pPr>
    </w:p>
    <w:p>
      <w:pPr>
        <w:ind w:left="540" w:hanging="538"/>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UTY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OYALTY</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URING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UTSIDE</w:t>
      </w:r>
    </w:p>
    <w:p>
      <w:pPr>
        <w:spacing w:after="0" w:line="11" w:lineRule="exact"/>
        <w:rPr>
          <w:rFonts w:ascii="Arial" w:cs="Arial" w:eastAsia="Arial" w:hAnsi="Arial"/>
          <w:sz w:val="18"/>
          <w:szCs w:val="18"/>
          <w:b w:val="1"/>
          <w:bCs w:val="1"/>
          <w:color w:val="auto"/>
        </w:rPr>
      </w:pPr>
    </w:p>
    <w:p>
      <w:pPr>
        <w:jc w:val="both"/>
        <w:spacing w:after="0" w:line="246" w:lineRule="auto"/>
        <w:rPr>
          <w:rFonts w:ascii="Arial" w:cs="Arial" w:eastAsia="Arial" w:hAnsi="Arial"/>
          <w:sz w:val="18"/>
          <w:szCs w:val="18"/>
          <w:b w:val="1"/>
          <w:bCs w:val="1"/>
          <w:color w:val="auto"/>
        </w:rPr>
      </w:pPr>
      <w:r>
        <w:rPr>
          <w:rFonts w:ascii="Arial" w:cs="Arial" w:eastAsia="Arial" w:hAnsi="Arial"/>
          <w:sz w:val="17"/>
          <w:szCs w:val="17"/>
          <w:b w:val="1"/>
          <w:bCs w:val="1"/>
          <w:color w:val="auto"/>
        </w:rPr>
        <w:t>B</w:t>
      </w:r>
      <w:r>
        <w:rPr>
          <w:rFonts w:ascii="Arial" w:cs="Arial" w:eastAsia="Arial" w:hAnsi="Arial"/>
          <w:sz w:val="13"/>
          <w:szCs w:val="13"/>
          <w:b w:val="1"/>
          <w:bCs w:val="1"/>
          <w:color w:val="auto"/>
        </w:rPr>
        <w:t>USINESS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CTIVITY</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set forth herein, I understand that my</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the Company requires my full attention and effort. I agree that, during the period of my Employment by the Company, I will not, without the Company’s express written consent, be employed by another entity or engage in any business activity other than for the Company, including but not limited to business activity that is competitive with, or would otherwise conflict with or distract me from, my Employment by the Company. The Company acknowledges that part-time work for ISMMS shall not violate this Section 4.</w:t>
      </w:r>
    </w:p>
    <w:p>
      <w:pPr>
        <w:spacing w:after="0" w:line="204" w:lineRule="exact"/>
        <w:rPr>
          <w:rFonts w:ascii="Arial" w:cs="Arial" w:eastAsia="Arial" w:hAnsi="Arial"/>
          <w:sz w:val="18"/>
          <w:szCs w:val="18"/>
          <w:b w:val="1"/>
          <w:bCs w:val="1"/>
          <w:color w:val="auto"/>
        </w:rPr>
      </w:pPr>
    </w:p>
    <w:p>
      <w:pPr>
        <w:jc w:val="both"/>
        <w:ind w:firstLine="3"/>
        <w:spacing w:after="0" w:line="239" w:lineRule="auto"/>
        <w:tabs>
          <w:tab w:leader="none" w:pos="53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OLICITATION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MPLOYEES</w:t>
      </w:r>
      <w:r>
        <w:rPr>
          <w:rFonts w:ascii="Arial" w:cs="Arial" w:eastAsia="Arial" w:hAnsi="Arial"/>
          <w:sz w:val="18"/>
          <w:szCs w:val="18"/>
          <w:b w:val="1"/>
          <w:bCs w:val="1"/>
          <w:color w:val="auto"/>
        </w:rPr>
        <w:t>, C</w:t>
      </w:r>
      <w:r>
        <w:rPr>
          <w:rFonts w:ascii="Arial" w:cs="Arial" w:eastAsia="Arial" w:hAnsi="Arial"/>
          <w:sz w:val="14"/>
          <w:szCs w:val="14"/>
          <w:b w:val="1"/>
          <w:bCs w:val="1"/>
          <w:color w:val="auto"/>
        </w:rPr>
        <w:t>ONSULTANTS</w:t>
      </w:r>
      <w:r>
        <w:rPr>
          <w:rFonts w:ascii="Arial" w:cs="Arial" w:eastAsia="Arial" w:hAnsi="Arial"/>
          <w:sz w:val="18"/>
          <w:szCs w:val="18"/>
          <w:b w:val="1"/>
          <w:bCs w:val="1"/>
          <w:color w:val="auto"/>
        </w:rPr>
        <w:t>, C</w:t>
      </w:r>
      <w:r>
        <w:rPr>
          <w:rFonts w:ascii="Arial" w:cs="Arial" w:eastAsia="Arial" w:hAnsi="Arial"/>
          <w:sz w:val="14"/>
          <w:szCs w:val="14"/>
          <w:b w:val="1"/>
          <w:bCs w:val="1"/>
          <w:color w:val="auto"/>
        </w:rPr>
        <w:t>ONTRACTORS 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I agree that for the period of my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the Company and for one (1) year after the date my Employment by the</w:t>
      </w:r>
    </w:p>
    <w:p>
      <w:pPr>
        <w:spacing w:after="0" w:line="544" w:lineRule="exact"/>
        <w:rPr>
          <w:sz w:val="20"/>
          <w:szCs w:val="20"/>
          <w:color w:val="auto"/>
        </w:rPr>
      </w:pPr>
    </w:p>
    <w:p>
      <w:pPr>
        <w:sectPr>
          <w:pgSz w:w="11900" w:h="16838" w:orient="portrait"/>
          <w:cols w:equalWidth="0" w:num="2">
            <w:col w:w="5440" w:space="240"/>
            <w:col w:w="5300"/>
          </w:cols>
          <w:pgMar w:left="360" w:top="1002" w:right="55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Sema4 PIIA – Page 3</w:t>
      </w:r>
    </w:p>
    <w:p>
      <w:pPr>
        <w:sectPr>
          <w:pgSz w:w="11900" w:h="16838" w:orient="portrait"/>
          <w:cols w:equalWidth="0" w:num="1">
            <w:col w:w="10980"/>
          </w:cols>
          <w:pgMar w:left="360" w:top="1002" w:right="559" w:bottom="1440" w:gutter="0" w:footer="0" w:header="0"/>
          <w:type w:val="continuous"/>
        </w:sectPr>
      </w:pPr>
    </w:p>
    <w:bookmarkStart w:id="205" w:name="page206"/>
    <w:bookmarkEnd w:id="205"/>
    <w:p>
      <w:pPr>
        <w:spacing w:after="0" w:line="318" w:lineRule="exact"/>
        <w:rPr>
          <w:sz w:val="20"/>
          <w:szCs w:val="20"/>
          <w:color w:val="auto"/>
        </w:rPr>
      </w:pPr>
    </w:p>
    <w:p>
      <w:pPr>
        <w:jc w:val="both"/>
        <w:ind w:left="80"/>
        <w:spacing w:after="0" w:line="235" w:lineRule="auto"/>
        <w:rPr>
          <w:sz w:val="20"/>
          <w:szCs w:val="20"/>
          <w:color w:val="auto"/>
        </w:rPr>
      </w:pPr>
      <w:r>
        <w:rPr>
          <w:rFonts w:ascii="Arial" w:cs="Arial" w:eastAsia="Arial" w:hAnsi="Arial"/>
          <w:sz w:val="18"/>
          <w:szCs w:val="18"/>
          <w:color w:val="auto"/>
        </w:rPr>
        <w:t>Company ends for any reason, including but not limited to voluntary termination by me or involuntary termination by the Company, I will not, either directly or through others,</w:t>
      </w:r>
    </w:p>
    <w:p>
      <w:pPr>
        <w:spacing w:after="0" w:line="2" w:lineRule="exact"/>
        <w:rPr>
          <w:sz w:val="20"/>
          <w:szCs w:val="20"/>
          <w:color w:val="auto"/>
        </w:rPr>
      </w:pPr>
    </w:p>
    <w:p>
      <w:pPr>
        <w:jc w:val="both"/>
        <w:ind w:left="80" w:hanging="8"/>
        <w:spacing w:after="0" w:line="247" w:lineRule="auto"/>
        <w:tabs>
          <w:tab w:leader="none" w:pos="32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solicit or attempt to solicit any employee, independent contractor or consultant of the Company to become an employee, consultant or independent contractor to or for any other person or entity, or to otherwise diminish their relationship with the Company, or (ii) solicit any customers of the Company with whom I had contact or whose identity I learned as a result of my Employment with the Company.</w:t>
      </w:r>
    </w:p>
    <w:p>
      <w:pPr>
        <w:spacing w:after="0" w:line="210" w:lineRule="exact"/>
        <w:rPr>
          <w:sz w:val="20"/>
          <w:szCs w:val="20"/>
          <w:color w:val="auto"/>
        </w:rPr>
      </w:pPr>
    </w:p>
    <w:p>
      <w:pPr>
        <w:jc w:val="both"/>
        <w:ind w:left="80"/>
        <w:spacing w:after="0" w:line="300" w:lineRule="auto"/>
        <w:rPr>
          <w:sz w:val="20"/>
          <w:szCs w:val="20"/>
          <w:color w:val="auto"/>
        </w:rPr>
      </w:pPr>
      <w:r>
        <w:rPr>
          <w:rFonts w:ascii="Arial" w:cs="Arial" w:eastAsia="Arial" w:hAnsi="Arial"/>
          <w:sz w:val="15"/>
          <w:szCs w:val="15"/>
          <w:color w:val="auto"/>
        </w:rPr>
        <w:t>The parties agree that for purposes of this Agreement, a customer is any person or entity to which the Company has provided goods or services at any time during the period commencing prior to my Employment with the Company and ending on the date my Employment with the Company ends.</w:t>
      </w:r>
    </w:p>
    <w:p>
      <w:pPr>
        <w:spacing w:after="0" w:line="165" w:lineRule="exact"/>
        <w:rPr>
          <w:sz w:val="20"/>
          <w:szCs w:val="20"/>
          <w:color w:val="auto"/>
        </w:rPr>
      </w:pPr>
    </w:p>
    <w:p>
      <w:pPr>
        <w:ind w:left="600" w:hanging="529"/>
        <w:spacing w:after="0"/>
        <w:tabs>
          <w:tab w:leader="none" w:pos="6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ONFLICTING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I represent that</w:t>
      </w:r>
    </w:p>
    <w:p>
      <w:pPr>
        <w:spacing w:after="0" w:line="12" w:lineRule="exact"/>
        <w:rPr>
          <w:sz w:val="20"/>
          <w:szCs w:val="20"/>
          <w:color w:val="auto"/>
        </w:rPr>
      </w:pPr>
    </w:p>
    <w:p>
      <w:pPr>
        <w:jc w:val="both"/>
        <w:ind w:left="80"/>
        <w:spacing w:after="0" w:line="289" w:lineRule="auto"/>
        <w:rPr>
          <w:sz w:val="20"/>
          <w:szCs w:val="20"/>
          <w:color w:val="auto"/>
        </w:rPr>
      </w:pPr>
      <w:r>
        <w:rPr>
          <w:rFonts w:ascii="Arial" w:cs="Arial" w:eastAsia="Arial" w:hAnsi="Arial"/>
          <w:sz w:val="15"/>
          <w:szCs w:val="15"/>
          <w:color w:val="auto"/>
        </w:rPr>
        <w:t>my performance of all the terms of this Agreement and of my duties as an employee of the Company does not and will not breach any agreement or obligation of any kind, including but not limited to those made prior to my Employment by the Company, such as agreements or obligations I may have with prior employers or entities for which I have provided services.</w:t>
      </w:r>
    </w:p>
    <w:p>
      <w:pPr>
        <w:spacing w:after="0" w:line="174" w:lineRule="exact"/>
        <w:rPr>
          <w:sz w:val="20"/>
          <w:szCs w:val="20"/>
          <w:color w:val="auto"/>
        </w:rPr>
      </w:pPr>
    </w:p>
    <w:p>
      <w:pPr>
        <w:jc w:val="both"/>
        <w:ind w:left="80" w:hanging="9"/>
        <w:spacing w:after="0" w:line="284" w:lineRule="auto"/>
        <w:tabs>
          <w:tab w:leader="none" w:pos="610" w:val="left"/>
        </w:tabs>
        <w:numPr>
          <w:ilvl w:val="0"/>
          <w:numId w:val="124"/>
        </w:numPr>
        <w:rPr>
          <w:rFonts w:ascii="Arial" w:cs="Arial" w:eastAsia="Arial" w:hAnsi="Arial"/>
          <w:sz w:val="15"/>
          <w:szCs w:val="15"/>
          <w:b w:val="1"/>
          <w:bCs w:val="1"/>
          <w:color w:val="auto"/>
        </w:rPr>
      </w:pPr>
      <w:r>
        <w:rPr>
          <w:rFonts w:ascii="Arial" w:cs="Arial" w:eastAsia="Arial" w:hAnsi="Arial"/>
          <w:sz w:val="15"/>
          <w:szCs w:val="15"/>
          <w:b w:val="1"/>
          <w:bCs w:val="1"/>
          <w:color w:val="auto"/>
        </w:rPr>
        <w:t>R</w:t>
      </w:r>
      <w:r>
        <w:rPr>
          <w:rFonts w:ascii="Arial" w:cs="Arial" w:eastAsia="Arial" w:hAnsi="Arial"/>
          <w:sz w:val="12"/>
          <w:szCs w:val="12"/>
          <w:b w:val="1"/>
          <w:bCs w:val="1"/>
          <w:color w:val="auto"/>
        </w:rPr>
        <w:t>ETURN OF</w:t>
      </w:r>
      <w:r>
        <w:rPr>
          <w:rFonts w:ascii="Arial" w:cs="Arial" w:eastAsia="Arial" w:hAnsi="Arial"/>
          <w:sz w:val="15"/>
          <w:szCs w:val="15"/>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5"/>
          <w:szCs w:val="15"/>
          <w:b w:val="1"/>
          <w:bCs w:val="1"/>
          <w:color w:val="auto"/>
        </w:rPr>
        <w:t xml:space="preserve">. </w:t>
      </w:r>
      <w:r>
        <w:rPr>
          <w:rFonts w:ascii="Arial" w:cs="Arial" w:eastAsia="Arial" w:hAnsi="Arial"/>
          <w:sz w:val="15"/>
          <w:szCs w:val="15"/>
          <w:color w:val="auto"/>
        </w:rPr>
        <w:t>When my Employment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terminates for any reason, I will deliver to the Company any and all drawings, notes, memoranda, specifications, devices, formulas, and documents, together with all copies thereof, and any other material containing or disclosing any Company Works, Third Party Information, Personal Information or Proprietary Information. I further agree that any property situated on the Company's premises and owned by the Company, including disks and other storage media, filing cabinets or other work areas, is subject to inspection by Company personnel at any time with or without notice. Prior to leaving, I will cooperate with the Company in completing and signing the Company’s termination statement.</w:t>
      </w:r>
    </w:p>
    <w:p>
      <w:pPr>
        <w:spacing w:after="0" w:line="200" w:lineRule="exact"/>
        <w:rPr>
          <w:sz w:val="20"/>
          <w:szCs w:val="20"/>
          <w:color w:val="auto"/>
        </w:rPr>
      </w:pPr>
    </w:p>
    <w:p>
      <w:pPr>
        <w:spacing w:after="0" w:line="203" w:lineRule="exact"/>
        <w:rPr>
          <w:sz w:val="20"/>
          <w:szCs w:val="20"/>
          <w:color w:val="auto"/>
        </w:rPr>
      </w:pPr>
    </w:p>
    <w:p>
      <w:pPr>
        <w:jc w:val="both"/>
        <w:ind w:left="80"/>
        <w:spacing w:after="0" w:line="248" w:lineRule="auto"/>
        <w:rPr>
          <w:sz w:val="20"/>
          <w:szCs w:val="20"/>
          <w:color w:val="auto"/>
        </w:rPr>
      </w:pPr>
      <w:r>
        <w:rPr>
          <w:rFonts w:ascii="Arial" w:cs="Arial" w:eastAsia="Arial" w:hAnsi="Arial"/>
          <w:sz w:val="17"/>
          <w:szCs w:val="17"/>
          <w:color w:val="auto"/>
        </w:rPr>
        <w:t>I understand that I am not required to use my personally- owned technology for my work. If I choose to use my personally-owned technology for work, I hereby give my consent that the Company may review my personally-owned technology at any time, including but not limited to upon my departure from the Company, solely to ensure compliance with confidentiality obligations to the Company and others. For clarity, this provision does not authorize the Company to collect or use any information that is personal and not Proprietary Information, Third Party Information, or Personal Information.</w:t>
      </w:r>
    </w:p>
    <w:p>
      <w:pPr>
        <w:spacing w:after="0" w:line="203" w:lineRule="exact"/>
        <w:rPr>
          <w:sz w:val="20"/>
          <w:szCs w:val="20"/>
          <w:color w:val="auto"/>
        </w:rPr>
      </w:pPr>
    </w:p>
    <w:p>
      <w:pPr>
        <w:ind w:left="80" w:hanging="9"/>
        <w:spacing w:after="0" w:line="256" w:lineRule="auto"/>
        <w:tabs>
          <w:tab w:leader="none" w:pos="609"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OTICES</w:t>
      </w:r>
      <w:r>
        <w:rPr>
          <w:rFonts w:ascii="Arial" w:cs="Arial" w:eastAsia="Arial" w:hAnsi="Arial"/>
          <w:sz w:val="18"/>
          <w:szCs w:val="18"/>
          <w:b w:val="1"/>
          <w:bCs w:val="1"/>
          <w:color w:val="auto"/>
        </w:rPr>
        <w:t xml:space="preserve">. </w:t>
      </w:r>
      <w:r>
        <w:rPr>
          <w:rFonts w:ascii="Arial" w:cs="Arial" w:eastAsia="Arial" w:hAnsi="Arial"/>
          <w:sz w:val="18"/>
          <w:szCs w:val="18"/>
          <w:color w:val="auto"/>
        </w:rPr>
        <w:t>Notices provided for in this Agreement shall be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shall be deemed to have been duly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received: (a) when delivered in person or sent by facsimile transmission,</w:t>
      </w:r>
    </w:p>
    <w:p>
      <w:pPr>
        <w:spacing w:after="0" w:line="40" w:lineRule="exact"/>
        <w:rPr>
          <w:sz w:val="20"/>
          <w:szCs w:val="20"/>
          <w:color w:val="auto"/>
        </w:rPr>
      </w:pPr>
    </w:p>
    <w:p>
      <w:pPr>
        <w:jc w:val="both"/>
        <w:ind w:firstLine="4"/>
        <w:spacing w:after="0" w:line="232" w:lineRule="auto"/>
        <w:tabs>
          <w:tab w:leader="none" w:pos="29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on the first business day after such notice is sent by air express overnight courier service, or (c) on the third business day following deposit in the United States mail, registered or certified mail, return receipt requested, postage prepaid and addressed, to the following address, as applicable:</w:t>
      </w:r>
    </w:p>
    <w:p>
      <w:pPr>
        <w:spacing w:after="0" w:line="225" w:lineRule="exact"/>
        <w:rPr>
          <w:sz w:val="20"/>
          <w:szCs w:val="20"/>
          <w:color w:val="auto"/>
        </w:rPr>
      </w:pPr>
    </w:p>
    <w:p>
      <w:pPr>
        <w:ind w:firstLine="636"/>
        <w:spacing w:after="0" w:line="256"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color w:val="auto"/>
        </w:rPr>
        <w:t>Notices to me shall be sent to my address reflected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personnel record.</w:t>
      </w:r>
    </w:p>
    <w:p>
      <w:pPr>
        <w:spacing w:after="0" w:line="194" w:lineRule="exact"/>
        <w:rPr>
          <w:sz w:val="20"/>
          <w:szCs w:val="20"/>
          <w:color w:val="auto"/>
        </w:rPr>
      </w:pPr>
    </w:p>
    <w:p>
      <w:pPr>
        <w:ind w:left="540" w:hanging="537"/>
        <w:spacing w:after="0"/>
        <w:tabs>
          <w:tab w:leader="none" w:pos="5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OTIFICATION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my</w:t>
      </w:r>
    </w:p>
    <w:p>
      <w:pPr>
        <w:spacing w:after="0" w:line="12"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Employment with the Company terminates for any reason, I authorize the Company to provide notice of my rights and obligations under this Agreement to my subsequent employers and to any other entity or person to whom I provide services or in which I have a financial interest.</w:t>
      </w:r>
    </w:p>
    <w:p>
      <w:pPr>
        <w:spacing w:after="0" w:line="158" w:lineRule="exact"/>
        <w:rPr>
          <w:sz w:val="20"/>
          <w:szCs w:val="20"/>
          <w:color w:val="auto"/>
        </w:rPr>
      </w:pPr>
    </w:p>
    <w:p>
      <w:pPr>
        <w:ind w:left="640" w:hanging="638"/>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w:t>
      </w:r>
    </w:p>
    <w:p>
      <w:pPr>
        <w:spacing w:after="0" w:line="217"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7"/>
          <w:szCs w:val="17"/>
          <w:b w:val="1"/>
          <w:bCs w:val="1"/>
          <w:color w:val="auto"/>
        </w:rPr>
        <w:t xml:space="preserve">10.1 Legal and Equitable Remedies. </w:t>
      </w:r>
      <w:r>
        <w:rPr>
          <w:rFonts w:ascii="Arial" w:cs="Arial" w:eastAsia="Arial" w:hAnsi="Arial"/>
          <w:sz w:val="17"/>
          <w:szCs w:val="17"/>
          <w:color w:val="auto"/>
        </w:rPr>
        <w:t>I recognize that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course of Employment with the Company, I will have access to Proprietary Information, to Third Party Information, to Personal Information, and to employees, consultants, contractors, clients, and customers of the Company. I also recognize that the services I will provide to the Company are personal and unique. I understand that because of this the Company may sustain irreparable injury if I violate this Agreement. In order to limit or prevent such irreparable injury,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223"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b w:val="1"/>
          <w:bCs w:val="1"/>
          <w:color w:val="auto"/>
        </w:rPr>
        <w:t xml:space="preserve">10.2 Governing Law. </w:t>
      </w:r>
      <w:r>
        <w:rPr>
          <w:rFonts w:ascii="Arial" w:cs="Arial" w:eastAsia="Arial" w:hAnsi="Arial"/>
          <w:sz w:val="15"/>
          <w:szCs w:val="15"/>
          <w:color w:val="auto"/>
        </w:rPr>
        <w:t>This Agreement shall be governed by</w:t>
      </w:r>
      <w:r>
        <w:rPr>
          <w:rFonts w:ascii="Arial" w:cs="Arial" w:eastAsia="Arial" w:hAnsi="Arial"/>
          <w:sz w:val="15"/>
          <w:szCs w:val="15"/>
          <w:b w:val="1"/>
          <w:bCs w:val="1"/>
          <w:color w:val="auto"/>
        </w:rPr>
        <w:t xml:space="preserve"> </w:t>
      </w:r>
      <w:r>
        <w:rPr>
          <w:rFonts w:ascii="Arial" w:cs="Arial" w:eastAsia="Arial" w:hAnsi="Arial"/>
          <w:sz w:val="15"/>
          <w:szCs w:val="15"/>
          <w:color w:val="auto"/>
        </w:rPr>
        <w:t>laws of the State of New York, without giving effect to any choice of law or conflict of laws rules or provisions that would cause the application of the laws of any jurisdiction other than the State of New York.</w:t>
      </w:r>
    </w:p>
    <w:p>
      <w:pPr>
        <w:spacing w:after="0" w:line="165" w:lineRule="exact"/>
        <w:rPr>
          <w:sz w:val="20"/>
          <w:szCs w:val="20"/>
          <w:color w:val="auto"/>
        </w:rPr>
      </w:pPr>
    </w:p>
    <w:p>
      <w:pPr>
        <w:jc w:val="both"/>
        <w:ind w:firstLine="635"/>
        <w:spacing w:after="0" w:line="302" w:lineRule="auto"/>
        <w:rPr>
          <w:sz w:val="20"/>
          <w:szCs w:val="20"/>
          <w:color w:val="auto"/>
        </w:rPr>
      </w:pPr>
      <w:r>
        <w:rPr>
          <w:rFonts w:ascii="Arial" w:cs="Arial" w:eastAsia="Arial" w:hAnsi="Arial"/>
          <w:sz w:val="15"/>
          <w:szCs w:val="15"/>
          <w:b w:val="1"/>
          <w:bCs w:val="1"/>
          <w:color w:val="auto"/>
        </w:rPr>
        <w:t xml:space="preserve">10.3 Severability. </w:t>
      </w:r>
      <w:r>
        <w:rPr>
          <w:rFonts w:ascii="Arial" w:cs="Arial" w:eastAsia="Arial" w:hAnsi="Arial"/>
          <w:sz w:val="15"/>
          <w:szCs w:val="15"/>
          <w:color w:val="auto"/>
        </w:rPr>
        <w:t>In the event that any one or more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this Agreement will be or become invalid, illegal or unenforceable in any respect, the validity, legality and enforceability of the remaining provisions of this Agreement will not be affected thereby.</w:t>
      </w:r>
    </w:p>
    <w:p>
      <w:pPr>
        <w:spacing w:after="0" w:line="165"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17"/>
          <w:szCs w:val="17"/>
          <w:b w:val="1"/>
          <w:bCs w:val="1"/>
          <w:color w:val="auto"/>
        </w:rPr>
        <w:t xml:space="preserve">10.4 Successors and Assigns. </w:t>
      </w:r>
      <w:r>
        <w:rPr>
          <w:rFonts w:ascii="Arial" w:cs="Arial" w:eastAsia="Arial" w:hAnsi="Arial"/>
          <w:sz w:val="17"/>
          <w:szCs w:val="17"/>
          <w:color w:val="auto"/>
        </w:rPr>
        <w:t>This Agreement will be binding</w:t>
      </w:r>
      <w:r>
        <w:rPr>
          <w:rFonts w:ascii="Arial" w:cs="Arial" w:eastAsia="Arial" w:hAnsi="Arial"/>
          <w:sz w:val="17"/>
          <w:szCs w:val="17"/>
          <w:b w:val="1"/>
          <w:bCs w:val="1"/>
          <w:color w:val="auto"/>
        </w:rPr>
        <w:t xml:space="preserve"> </w:t>
      </w:r>
      <w:r>
        <w:rPr>
          <w:rFonts w:ascii="Arial" w:cs="Arial" w:eastAsia="Arial" w:hAnsi="Arial"/>
          <w:sz w:val="17"/>
          <w:szCs w:val="17"/>
          <w:color w:val="auto"/>
        </w:rPr>
        <w:t>upon my heirs, executors, administrators and other legal representatives and will be for the benefit of the Company, its successors, and its assigns. I hereby consent that my personal obligations under this Agreement may be assigned by the Company.</w:t>
      </w:r>
    </w:p>
    <w:p>
      <w:pPr>
        <w:spacing w:after="0" w:line="455" w:lineRule="exact"/>
        <w:rPr>
          <w:sz w:val="20"/>
          <w:szCs w:val="20"/>
          <w:color w:val="auto"/>
        </w:rPr>
      </w:pPr>
    </w:p>
    <w:p>
      <w:pPr>
        <w:sectPr>
          <w:pgSz w:w="11900" w:h="16838" w:orient="portrait"/>
          <w:cols w:equalWidth="0" w:num="2">
            <w:col w:w="5440" w:space="240"/>
            <w:col w:w="5300"/>
          </w:cols>
          <w:pgMar w:left="360" w:top="1002" w:right="55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auto"/>
        </w:rPr>
        <w:t>Sema4 PIIA – Page 4</w:t>
      </w:r>
    </w:p>
    <w:p>
      <w:pPr>
        <w:sectPr>
          <w:pgSz w:w="11900" w:h="16838" w:orient="portrait"/>
          <w:cols w:equalWidth="0" w:num="1">
            <w:col w:w="10980"/>
          </w:cols>
          <w:pgMar w:left="360" w:top="1002" w:right="559" w:bottom="1440" w:gutter="0" w:footer="0" w:header="0"/>
          <w:type w:val="continuous"/>
        </w:sectPr>
      </w:pPr>
    </w:p>
    <w:bookmarkStart w:id="206" w:name="page207"/>
    <w:bookmarkEnd w:id="206"/>
    <w:p>
      <w:pPr>
        <w:spacing w:after="0" w:line="53" w:lineRule="exact"/>
        <w:rPr>
          <w:sz w:val="20"/>
          <w:szCs w:val="20"/>
          <w:color w:val="auto"/>
        </w:rPr>
      </w:pPr>
    </w:p>
    <w:p>
      <w:pPr>
        <w:jc w:val="both"/>
        <w:ind w:left="120" w:firstLine="636"/>
        <w:spacing w:after="0" w:line="316" w:lineRule="auto"/>
        <w:rPr>
          <w:sz w:val="20"/>
          <w:szCs w:val="20"/>
          <w:color w:val="auto"/>
        </w:rPr>
      </w:pPr>
      <w:r>
        <w:rPr>
          <w:rFonts w:ascii="Arial" w:cs="Arial" w:eastAsia="Arial" w:hAnsi="Arial"/>
          <w:sz w:val="15"/>
          <w:szCs w:val="15"/>
          <w:b w:val="1"/>
          <w:bCs w:val="1"/>
          <w:color w:val="auto"/>
        </w:rPr>
        <w:t xml:space="preserve">10.1 Survival. </w:t>
      </w:r>
      <w:r>
        <w:rPr>
          <w:rFonts w:ascii="Arial" w:cs="Arial" w:eastAsia="Arial" w:hAnsi="Arial"/>
          <w:sz w:val="15"/>
          <w:szCs w:val="15"/>
          <w:color w:val="auto"/>
        </w:rPr>
        <w:t>The provisions of this Agreement shall survive</w:t>
      </w:r>
      <w:r>
        <w:rPr>
          <w:rFonts w:ascii="Arial" w:cs="Arial" w:eastAsia="Arial" w:hAnsi="Arial"/>
          <w:sz w:val="15"/>
          <w:szCs w:val="15"/>
          <w:b w:val="1"/>
          <w:bCs w:val="1"/>
          <w:color w:val="auto"/>
        </w:rPr>
        <w:t xml:space="preserve"> </w:t>
      </w:r>
      <w:r>
        <w:rPr>
          <w:rFonts w:ascii="Arial" w:cs="Arial" w:eastAsia="Arial" w:hAnsi="Arial"/>
          <w:sz w:val="15"/>
          <w:szCs w:val="15"/>
          <w:color w:val="auto"/>
        </w:rPr>
        <w:t>the termination of my Employment and the assignment of this Agreement by the Company to any successor in interest or other assignee.</w:t>
      </w:r>
    </w:p>
    <w:p>
      <w:pPr>
        <w:spacing w:after="0" w:line="167" w:lineRule="exact"/>
        <w:rPr>
          <w:sz w:val="20"/>
          <w:szCs w:val="20"/>
          <w:color w:val="auto"/>
        </w:rPr>
      </w:pPr>
    </w:p>
    <w:p>
      <w:pPr>
        <w:jc w:val="both"/>
        <w:ind w:left="120" w:firstLine="636"/>
        <w:spacing w:after="0" w:line="237" w:lineRule="auto"/>
        <w:rPr>
          <w:sz w:val="20"/>
          <w:szCs w:val="20"/>
          <w:color w:val="auto"/>
        </w:rPr>
      </w:pPr>
      <w:r>
        <w:rPr>
          <w:rFonts w:ascii="Arial" w:cs="Arial" w:eastAsia="Arial" w:hAnsi="Arial"/>
          <w:sz w:val="18"/>
          <w:szCs w:val="18"/>
          <w:b w:val="1"/>
          <w:bCs w:val="1"/>
          <w:color w:val="auto"/>
        </w:rPr>
        <w:t xml:space="preserve">10.2 Terms of Employment. </w:t>
      </w:r>
      <w:r>
        <w:rPr>
          <w:rFonts w:ascii="Arial" w:cs="Arial" w:eastAsia="Arial" w:hAnsi="Arial"/>
          <w:sz w:val="18"/>
          <w:szCs w:val="18"/>
          <w:color w:val="auto"/>
        </w:rPr>
        <w:t>I agree and understand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confer upon me any right with respect to continuation of Employment by the Company, nor shall it interfere in any way with my right or the Company's right to terminate my Employment at any time, with or without cause.</w:t>
      </w:r>
    </w:p>
    <w:p>
      <w:pPr>
        <w:spacing w:after="0" w:line="210" w:lineRule="exact"/>
        <w:rPr>
          <w:sz w:val="20"/>
          <w:szCs w:val="20"/>
          <w:color w:val="auto"/>
        </w:rPr>
      </w:pPr>
    </w:p>
    <w:p>
      <w:pPr>
        <w:jc w:val="both"/>
        <w:ind w:left="120" w:firstLine="635"/>
        <w:spacing w:after="0" w:line="237" w:lineRule="auto"/>
        <w:rPr>
          <w:sz w:val="20"/>
          <w:szCs w:val="20"/>
          <w:color w:val="auto"/>
        </w:rPr>
      </w:pPr>
      <w:r>
        <w:rPr>
          <w:rFonts w:ascii="Arial" w:cs="Arial" w:eastAsia="Arial" w:hAnsi="Arial"/>
          <w:sz w:val="18"/>
          <w:szCs w:val="18"/>
          <w:b w:val="1"/>
          <w:bCs w:val="1"/>
          <w:color w:val="auto"/>
        </w:rPr>
        <w:t xml:space="preserve">10.3 Waiver. </w:t>
      </w:r>
      <w:r>
        <w:rPr>
          <w:rFonts w:ascii="Arial" w:cs="Arial" w:eastAsia="Arial" w:hAnsi="Arial"/>
          <w:sz w:val="18"/>
          <w:szCs w:val="18"/>
          <w:color w:val="auto"/>
        </w:rPr>
        <w:t>The failure of a party to insist on strict adherence</w:t>
      </w:r>
      <w:r>
        <w:rPr>
          <w:rFonts w:ascii="Arial" w:cs="Arial" w:eastAsia="Arial" w:hAnsi="Arial"/>
          <w:sz w:val="18"/>
          <w:szCs w:val="18"/>
          <w:b w:val="1"/>
          <w:bCs w:val="1"/>
          <w:color w:val="auto"/>
        </w:rPr>
        <w:t xml:space="preserve"> </w:t>
      </w:r>
      <w:r>
        <w:rPr>
          <w:rFonts w:ascii="Arial" w:cs="Arial" w:eastAsia="Arial" w:hAnsi="Arial"/>
          <w:sz w:val="18"/>
          <w:szCs w:val="18"/>
          <w:color w:val="auto"/>
        </w:rPr>
        <w:t>to any term of this Agreement on any occasion will not be considered a waiver of such party’s rights or deprive such party of the right thereafter to insist upon strict adherence to that term or any other term of this Agreement.</w:t>
      </w:r>
    </w:p>
    <w:p>
      <w:pPr>
        <w:spacing w:after="0" w:line="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10.4</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Arial" w:cs="Arial" w:eastAsia="Arial" w:hAnsi="Arial"/>
          <w:sz w:val="17"/>
          <w:szCs w:val="17"/>
          <w:b w:val="1"/>
          <w:bCs w:val="1"/>
          <w:color w:val="auto"/>
        </w:rPr>
        <w:t xml:space="preserve">10.5 Entire Agreement. </w:t>
      </w:r>
      <w:r>
        <w:rPr>
          <w:rFonts w:ascii="Arial" w:cs="Arial" w:eastAsia="Arial" w:hAnsi="Arial"/>
          <w:sz w:val="17"/>
          <w:szCs w:val="17"/>
          <w:color w:val="auto"/>
        </w:rPr>
        <w:t>The obligations pursuant to Sections 1 and 2</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shall apply to any time during my previous or future Employment by the Company as a consultant or otherwise if no other agreement governs nondisclosure and assignment of inventions during such period. This Agreement is the final, complete and exclusive agreement of the parties with respect to the subject matter hereof and supersedes and merges all prior discussions between us.</w:t>
      </w:r>
    </w:p>
    <w:p>
      <w:pPr>
        <w:spacing w:after="0" w:line="218"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17"/>
          <w:szCs w:val="17"/>
          <w:b w:val="1"/>
          <w:bCs w:val="1"/>
          <w:color w:val="auto"/>
        </w:rPr>
        <w:t xml:space="preserve">10.6 Amendments. </w:t>
      </w:r>
      <w:r>
        <w:rPr>
          <w:rFonts w:ascii="Arial" w:cs="Arial" w:eastAsia="Arial" w:hAnsi="Arial"/>
          <w:sz w:val="17"/>
          <w:szCs w:val="17"/>
          <w:color w:val="auto"/>
        </w:rPr>
        <w:t>No modification of or amendment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nor any waiver of any rights under this Agreement, will be effective unless in writing and signed by the party to be charged. Any subsequent change or changes in my duties, salary or compensation will not affect the validity or scope of this Agreement.</w:t>
      </w:r>
    </w:p>
    <w:p>
      <w:pPr>
        <w:spacing w:after="0" w:line="909" w:lineRule="exact"/>
        <w:rPr>
          <w:sz w:val="20"/>
          <w:szCs w:val="20"/>
          <w:color w:val="auto"/>
        </w:rPr>
      </w:pPr>
    </w:p>
    <w:p>
      <w:pPr>
        <w:sectPr>
          <w:pgSz w:w="11900" w:h="16838" w:orient="portrait"/>
          <w:cols w:equalWidth="0" w:num="2">
            <w:col w:w="5480" w:space="240"/>
            <w:col w:w="5300"/>
          </w:cols>
          <w:pgMar w:left="320" w:top="1022"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hanging="109"/>
        <w:spacing w:after="0"/>
        <w:tabs>
          <w:tab w:leader="none" w:pos="220" w:val="left"/>
        </w:tabs>
        <w:numPr>
          <w:ilvl w:val="0"/>
          <w:numId w:val="129"/>
        </w:numPr>
        <w:rPr>
          <w:rFonts w:ascii="Arial" w:cs="Arial" w:eastAsia="Arial" w:hAnsi="Arial"/>
          <w:sz w:val="18"/>
          <w:szCs w:val="18"/>
          <w:b w:val="1"/>
          <w:bCs w:val="1"/>
          <w:color w:val="auto"/>
        </w:rPr>
      </w:pPr>
      <w:r>
        <w:rPr>
          <w:rFonts w:ascii="Arial" w:cs="Arial" w:eastAsia="Arial" w:hAnsi="Arial"/>
          <w:sz w:val="14"/>
          <w:szCs w:val="14"/>
          <w:b w:val="1"/>
          <w:bCs w:val="1"/>
          <w:color w:val="auto"/>
        </w:rPr>
        <w:t>HAVE READ THIS AGREEMENT CAREFULLY AND</w:t>
      </w:r>
    </w:p>
    <w:p>
      <w:pPr>
        <w:ind w:left="120" w:right="4420"/>
        <w:spacing w:after="0" w:line="261" w:lineRule="auto"/>
        <w:rPr>
          <w:sz w:val="20"/>
          <w:szCs w:val="20"/>
          <w:color w:val="auto"/>
        </w:rPr>
      </w:pPr>
      <w:r>
        <w:rPr>
          <w:rFonts w:ascii="Arial" w:cs="Arial" w:eastAsia="Arial" w:hAnsi="Arial"/>
          <w:sz w:val="14"/>
          <w:szCs w:val="14"/>
          <w:b w:val="1"/>
          <w:bCs w:val="1"/>
          <w:color w:val="auto"/>
        </w:rPr>
        <w:t>UNDERSTAND AGREE TO ITS TERMS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17"/>
          <w:szCs w:val="17"/>
          <w:color w:val="auto"/>
        </w:rPr>
        <w:t>This Agreement shall be effective as of the first day of</w:t>
      </w:r>
      <w:r>
        <w:rPr>
          <w:rFonts w:ascii="Arial" w:cs="Arial" w:eastAsia="Arial" w:hAnsi="Arial"/>
          <w:sz w:val="14"/>
          <w:szCs w:val="14"/>
          <w:b w:val="1"/>
          <w:bCs w:val="1"/>
          <w:color w:val="auto"/>
        </w:rPr>
        <w:t xml:space="preserve"> </w:t>
      </w:r>
      <w:r>
        <w:rPr>
          <w:rFonts w:ascii="Arial" w:cs="Arial" w:eastAsia="Arial" w:hAnsi="Arial"/>
          <w:sz w:val="17"/>
          <w:szCs w:val="17"/>
          <w:color w:val="auto"/>
        </w:rPr>
        <w:t>my Employment with the Company.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Jason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26587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8">
                      <a:extLst>
                        <a:ext uri="{28A0092B-C50C-407E-A947-70E740481C1C}"/>
                      </a:extLst>
                    </a:blip>
                    <a:srcRect/>
                    <a:stretch>
                      <a:fillRect/>
                    </a:stretch>
                  </pic:blipFill>
                  <pic:spPr bwMode="auto">
                    <a:xfrm>
                      <a:off x="0" y="0"/>
                      <a:ext cx="2658745" cy="8255"/>
                    </a:xfrm>
                    <a:prstGeom prst="rect">
                      <a:avLst/>
                    </a:prstGeom>
                    <a:noFill/>
                  </pic:spPr>
                </pic:pic>
              </a:graphicData>
            </a:graphic>
          </wp:anchor>
        </w:drawing>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w:t>
      </w:r>
    </w:p>
    <w:p>
      <w:pPr>
        <w:spacing w:after="0"/>
        <w:rPr>
          <w:sz w:val="20"/>
          <w:szCs w:val="20"/>
          <w:color w:val="auto"/>
        </w:rPr>
      </w:pPr>
      <w:r>
        <w:rPr>
          <w:rFonts w:ascii="Arial" w:cs="Arial" w:eastAsia="Arial" w:hAnsi="Arial"/>
          <w:sz w:val="18"/>
          <w:szCs w:val="18"/>
          <w:color w:val="auto"/>
        </w:rPr>
        <w:t>Jason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26587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2658745" cy="8255"/>
                    </a:xfrm>
                    <a:prstGeom prst="rect">
                      <a:avLst/>
                    </a:prstGeom>
                    <a:noFill/>
                  </pic:spPr>
                </pic:pic>
              </a:graphicData>
            </a:graphic>
          </wp:anchor>
        </w:drawing>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(Printed Name)</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CCEPTED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w:t>
      </w:r>
    </w:p>
    <w:p>
      <w:pPr>
        <w:ind w:left="120"/>
        <w:spacing w:after="0"/>
        <w:rPr>
          <w:sz w:val="20"/>
          <w:szCs w:val="20"/>
          <w:color w:val="auto"/>
        </w:rPr>
      </w:pPr>
      <w:r>
        <w:rPr>
          <w:rFonts w:ascii="Arial" w:cs="Arial" w:eastAsia="Arial" w:hAnsi="Arial"/>
          <w:sz w:val="18"/>
          <w:szCs w:val="18"/>
          <w:b w:val="1"/>
          <w:bCs w:val="1"/>
          <w:color w:val="auto"/>
        </w:rPr>
        <w:t>SEMA4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2112010" cy="6223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0">
                      <a:extLst>
                        <a:ext uri="{28A0092B-C50C-407E-A947-70E740481C1C}"/>
                      </a:extLst>
                    </a:blip>
                    <a:srcRect/>
                    <a:stretch>
                      <a:fillRect/>
                    </a:stretch>
                  </pic:blipFill>
                  <pic:spPr bwMode="auto">
                    <a:xfrm>
                      <a:off x="0" y="0"/>
                      <a:ext cx="2112010" cy="62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8"/>
          <w:szCs w:val="18"/>
          <w:color w:val="auto"/>
        </w:rPr>
        <w:t>By:</w:t>
        <w:tab/>
        <w:t>Name: Eric Schadt,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-8890</wp:posOffset>
            </wp:positionV>
            <wp:extent cx="1123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1">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Title: Chief Executive Officer</w:t>
      </w: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Sema4 PIIA – Page 5</w:t>
      </w:r>
    </w:p>
    <w:p>
      <w:pPr>
        <w:sectPr>
          <w:pgSz w:w="11900" w:h="16838" w:orient="portrait"/>
          <w:cols w:equalWidth="0" w:num="1">
            <w:col w:w="11020"/>
          </w:cols>
          <w:pgMar w:left="320" w:top="1022" w:right="559" w:bottom="1440" w:gutter="0" w:footer="0" w:header="0"/>
          <w:type w:val="continuous"/>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21.1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20" w:type="dxa"/>
            <w:vAlign w:val="bottom"/>
          </w:tcPr>
          <w:p>
            <w:pPr>
              <w:spacing w:after="0"/>
              <w:rPr>
                <w:sz w:val="19"/>
                <w:szCs w:val="19"/>
                <w:color w:val="auto"/>
              </w:rPr>
            </w:pPr>
          </w:p>
        </w:tc>
        <w:tc>
          <w:tcPr>
            <w:tcW w:w="8680" w:type="dxa"/>
            <w:vAlign w:val="bottom"/>
          </w:tcPr>
          <w:p>
            <w:pPr>
              <w:ind w:left="1180"/>
              <w:spacing w:after="0"/>
              <w:rPr>
                <w:sz w:val="20"/>
                <w:szCs w:val="20"/>
                <w:color w:val="auto"/>
              </w:rPr>
            </w:pPr>
            <w:r>
              <w:rPr>
                <w:rFonts w:ascii="Arial" w:cs="Arial" w:eastAsia="Arial" w:hAnsi="Arial"/>
                <w:sz w:val="18"/>
                <w:szCs w:val="18"/>
                <w:b w:val="1"/>
                <w:bCs w:val="1"/>
                <w:color w:val="auto"/>
              </w:rPr>
              <w:t>SUBSIDIARIES OF SEMA HOLDINGS CORP. *</w:t>
            </w:r>
          </w:p>
        </w:tc>
      </w:tr>
      <w:tr>
        <w:trPr>
          <w:trHeight w:val="194"/>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Subsidiary name</w:t>
            </w:r>
          </w:p>
        </w:tc>
        <w:tc>
          <w:tcPr>
            <w:tcW w:w="868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Jurisdiction of incorporation</w:t>
            </w:r>
          </w:p>
        </w:tc>
      </w:tr>
      <w:tr>
        <w:trPr>
          <w:trHeight w:val="223"/>
        </w:trPr>
        <w:tc>
          <w:tcPr>
            <w:tcW w:w="2520" w:type="dxa"/>
            <w:vAlign w:val="bottom"/>
          </w:tcPr>
          <w:p>
            <w:pPr>
              <w:ind w:left="20"/>
              <w:spacing w:after="0"/>
              <w:rPr>
                <w:sz w:val="20"/>
                <w:szCs w:val="20"/>
                <w:color w:val="auto"/>
              </w:rPr>
            </w:pPr>
            <w:r>
              <w:rPr>
                <w:rFonts w:ascii="Arial" w:cs="Arial" w:eastAsia="Arial" w:hAnsi="Arial"/>
                <w:sz w:val="18"/>
                <w:szCs w:val="18"/>
                <w:color w:val="auto"/>
              </w:rPr>
              <w:t>Sema4 OpCo, Inc.</w:t>
            </w:r>
          </w:p>
        </w:tc>
        <w:tc>
          <w:tcPr>
            <w:tcW w:w="8680" w:type="dxa"/>
            <w:vAlign w:val="bottom"/>
          </w:tcPr>
          <w:p>
            <w:pPr>
              <w:ind w:left="2660"/>
              <w:spacing w:after="0"/>
              <w:rPr>
                <w:sz w:val="20"/>
                <w:szCs w:val="20"/>
                <w:color w:val="auto"/>
              </w:rPr>
            </w:pPr>
            <w:r>
              <w:rPr>
                <w:rFonts w:ascii="Arial" w:cs="Arial" w:eastAsia="Arial" w:hAnsi="Arial"/>
                <w:sz w:val="18"/>
                <w:szCs w:val="18"/>
                <w:color w:val="auto"/>
              </w:rPr>
              <w:t>Delaware, United States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177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2">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ind w:left="440" w:right="400" w:hanging="419"/>
        <w:spacing w:after="0" w:line="229" w:lineRule="auto"/>
        <w:tabs>
          <w:tab w:leader="none" w:pos="4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Pursuant to Item 601(b)(21)(ii) of Regulation S-K, the names of other subsidiaries of Sema4 Holdings Corp. are omitted because, considered in the aggregate, they would not constitute a significant subsidiary as of the end of the year covered by this report.</w:t>
      </w:r>
    </w:p>
    <w:p>
      <w:pPr>
        <w:sectPr>
          <w:pgSz w:w="11900" w:h="16838" w:orient="portrait"/>
          <w:cols w:equalWidth="0" w:num="1">
            <w:col w:w="11220"/>
          </w:cols>
          <w:pgMar w:left="340" w:top="1380"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140"/>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333333"/>
        </w:rPr>
        <w:t>We consent to the incorporation by reference in the following Registration Statements:</w:t>
      </w:r>
    </w:p>
    <w:p>
      <w:pPr>
        <w:spacing w:after="0" w:line="179" w:lineRule="exact"/>
        <w:rPr>
          <w:sz w:val="20"/>
          <w:szCs w:val="20"/>
          <w:color w:val="auto"/>
        </w:rPr>
      </w:pPr>
    </w:p>
    <w:p>
      <w:pPr>
        <w:ind w:left="640" w:right="100" w:hanging="316"/>
        <w:spacing w:after="0" w:line="226" w:lineRule="auto"/>
        <w:tabs>
          <w:tab w:leader="none" w:pos="676" w:val="left"/>
        </w:tabs>
        <w:numPr>
          <w:ilvl w:val="0"/>
          <w:numId w:val="131"/>
        </w:numPr>
        <w:rPr>
          <w:rFonts w:ascii="Arial" w:cs="Arial" w:eastAsia="Arial" w:hAnsi="Arial"/>
          <w:sz w:val="19"/>
          <w:szCs w:val="19"/>
          <w:color w:val="333333"/>
        </w:rPr>
      </w:pPr>
      <w:r>
        <w:rPr>
          <w:rFonts w:ascii="Arial" w:cs="Arial" w:eastAsia="Arial" w:hAnsi="Arial"/>
          <w:sz w:val="19"/>
          <w:szCs w:val="19"/>
          <w:color w:val="333333"/>
        </w:rPr>
        <w:t>Registration Statement (Form S-8 No. 333-259815) pertaining to the Sema4 Holdings Corp. 2021 Equity Incentive Plan, Sema4 Holdings Corp. 2021 Employee Stock Purchase Plan, the outstanding stock options under the Mount Sinai Genomics, Inc. d/b/a Sema4 2017 Equity Incentive Plan and Sema4 Holdings Corp. Earn-out RSU Awards</w:t>
      </w:r>
    </w:p>
    <w:p>
      <w:pPr>
        <w:spacing w:after="0" w:line="151" w:lineRule="exact"/>
        <w:rPr>
          <w:rFonts w:ascii="Arial" w:cs="Arial" w:eastAsia="Arial" w:hAnsi="Arial"/>
          <w:sz w:val="19"/>
          <w:szCs w:val="19"/>
          <w:color w:val="333333"/>
        </w:rPr>
      </w:pPr>
    </w:p>
    <w:p>
      <w:pPr>
        <w:ind w:left="620" w:hanging="296"/>
        <w:spacing w:after="0"/>
        <w:tabs>
          <w:tab w:leader="none" w:pos="620" w:val="left"/>
        </w:tabs>
        <w:numPr>
          <w:ilvl w:val="0"/>
          <w:numId w:val="131"/>
        </w:numPr>
        <w:rPr>
          <w:rFonts w:ascii="Arial" w:cs="Arial" w:eastAsia="Arial" w:hAnsi="Arial"/>
          <w:sz w:val="19"/>
          <w:szCs w:val="19"/>
          <w:color w:val="333333"/>
        </w:rPr>
      </w:pPr>
      <w:r>
        <w:rPr>
          <w:rFonts w:ascii="Arial" w:cs="Arial" w:eastAsia="Arial" w:hAnsi="Arial"/>
          <w:sz w:val="19"/>
          <w:szCs w:val="19"/>
          <w:color w:val="333333"/>
        </w:rPr>
        <w:t>Registration Statement (Form S-8 No. 333-260481) pertaining to the Sema4 Holdings Corp. Earn-out RSU Awards, and</w:t>
      </w:r>
    </w:p>
    <w:p>
      <w:pPr>
        <w:spacing w:after="0" w:line="179" w:lineRule="exact"/>
        <w:rPr>
          <w:rFonts w:ascii="Arial" w:cs="Arial" w:eastAsia="Arial" w:hAnsi="Arial"/>
          <w:sz w:val="19"/>
          <w:szCs w:val="19"/>
          <w:color w:val="333333"/>
        </w:rPr>
      </w:pPr>
    </w:p>
    <w:p>
      <w:pPr>
        <w:ind w:left="640" w:right="380" w:hanging="316"/>
        <w:spacing w:after="0" w:line="237" w:lineRule="auto"/>
        <w:tabs>
          <w:tab w:leader="none" w:pos="628" w:val="left"/>
        </w:tabs>
        <w:numPr>
          <w:ilvl w:val="0"/>
          <w:numId w:val="131"/>
        </w:numPr>
        <w:rPr>
          <w:rFonts w:ascii="Arial" w:cs="Arial" w:eastAsia="Arial" w:hAnsi="Arial"/>
          <w:sz w:val="19"/>
          <w:szCs w:val="19"/>
          <w:color w:val="333333"/>
        </w:rPr>
      </w:pPr>
      <w:r>
        <w:rPr>
          <w:rFonts w:ascii="Arial" w:cs="Arial" w:eastAsia="Arial" w:hAnsi="Arial"/>
          <w:sz w:val="19"/>
          <w:szCs w:val="19"/>
          <w:color w:val="333333"/>
        </w:rPr>
        <w:t>Registration Statement (Form S-8 No. 333-262338) pertaining to the Sema4 Holdings Corp. 2021 Equity Incentive Plan and Sema4 Holdings Corp. 2021 Employee Stock Purchase Plan</w:t>
      </w:r>
    </w:p>
    <w:p>
      <w:pPr>
        <w:spacing w:after="0" w:line="151" w:lineRule="exact"/>
        <w:rPr>
          <w:sz w:val="20"/>
          <w:szCs w:val="20"/>
          <w:color w:val="auto"/>
        </w:rPr>
      </w:pPr>
    </w:p>
    <w:p>
      <w:pPr>
        <w:ind w:right="440"/>
        <w:spacing w:after="0" w:line="237" w:lineRule="auto"/>
        <w:rPr>
          <w:sz w:val="20"/>
          <w:szCs w:val="20"/>
          <w:color w:val="auto"/>
        </w:rPr>
      </w:pPr>
      <w:r>
        <w:rPr>
          <w:rFonts w:ascii="Arial" w:cs="Arial" w:eastAsia="Arial" w:hAnsi="Arial"/>
          <w:sz w:val="19"/>
          <w:szCs w:val="19"/>
          <w:color w:val="333333"/>
        </w:rPr>
        <w:t>of our report dated March 14, 2022, with respect to the consolidated financial statements of Sema4 Holdings Corp. included in this Annual Report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color w:val="auto"/>
        </w:rPr>
        <w:t>March 14, 2022</w:t>
      </w:r>
    </w:p>
    <w:p>
      <w:pPr>
        <w:sectPr>
          <w:pgSz w:w="11900" w:h="16838" w:orient="portrait"/>
          <w:cols w:equalWidth="0" w:num="1">
            <w:col w:w="11240"/>
          </w:cols>
          <w:pgMar w:left="320" w:top="104"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31.1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RULES 13a-14(a) AND 15d-14(a)</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UNDER THE SECURITIES EXCHANGE ACT OF 1934, AS ADOPTED PURSUANT TO</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302 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I, Eric Schadt, certify that:</w:t>
      </w:r>
    </w:p>
    <w:p>
      <w:pPr>
        <w:spacing w:after="0" w:line="209" w:lineRule="exact"/>
        <w:rPr>
          <w:sz w:val="20"/>
          <w:szCs w:val="20"/>
          <w:color w:val="auto"/>
        </w:rPr>
      </w:pPr>
    </w:p>
    <w:p>
      <w:pPr>
        <w:ind w:left="320" w:hanging="314"/>
        <w:spacing w:after="0"/>
        <w:tabs>
          <w:tab w:leader="none" w:pos="32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I have reviewed this annual report on Form 10-K of Sema4 Holdings Corp. (the “registrant”);</w:t>
      </w:r>
    </w:p>
    <w:p>
      <w:pPr>
        <w:spacing w:after="0" w:line="209" w:lineRule="exact"/>
        <w:rPr>
          <w:rFonts w:ascii="Arial" w:cs="Arial" w:eastAsia="Arial" w:hAnsi="Arial"/>
          <w:sz w:val="21"/>
          <w:szCs w:val="21"/>
          <w:color w:val="auto"/>
        </w:rPr>
      </w:pPr>
    </w:p>
    <w:p>
      <w:pPr>
        <w:ind w:left="320" w:right="240" w:hanging="314"/>
        <w:spacing w:after="0" w:line="230" w:lineRule="auto"/>
        <w:tabs>
          <w:tab w:leader="none" w:pos="32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21"/>
          <w:szCs w:val="21"/>
          <w:color w:val="auto"/>
        </w:rPr>
      </w:pPr>
    </w:p>
    <w:p>
      <w:pPr>
        <w:ind w:left="320" w:right="340" w:hanging="314"/>
        <w:spacing w:after="0" w:line="230" w:lineRule="auto"/>
        <w:tabs>
          <w:tab w:leader="none" w:pos="32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21"/>
          <w:szCs w:val="21"/>
          <w:color w:val="auto"/>
        </w:rPr>
      </w:pPr>
    </w:p>
    <w:p>
      <w:pPr>
        <w:ind w:left="320" w:right="20" w:hanging="314"/>
        <w:spacing w:after="0" w:line="239" w:lineRule="auto"/>
        <w:tabs>
          <w:tab w:leader="none" w:pos="32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for the registrant and have:</w:t>
      </w:r>
    </w:p>
    <w:p>
      <w:pPr>
        <w:spacing w:after="0" w:line="181" w:lineRule="exact"/>
        <w:rPr>
          <w:rFonts w:ascii="Arial" w:cs="Arial" w:eastAsia="Arial" w:hAnsi="Arial"/>
          <w:sz w:val="21"/>
          <w:szCs w:val="21"/>
          <w:color w:val="auto"/>
        </w:rPr>
      </w:pPr>
    </w:p>
    <w:p>
      <w:pPr>
        <w:ind w:left="640" w:right="220" w:hanging="316"/>
        <w:spacing w:after="0" w:line="230" w:lineRule="auto"/>
        <w:tabs>
          <w:tab w:leader="none" w:pos="628" w:val="left"/>
        </w:tabs>
        <w:numPr>
          <w:ilvl w:val="1"/>
          <w:numId w:val="132"/>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0" w:lineRule="exact"/>
        <w:rPr>
          <w:rFonts w:ascii="Arial" w:cs="Arial" w:eastAsia="Arial" w:hAnsi="Arial"/>
          <w:sz w:val="21"/>
          <w:szCs w:val="21"/>
          <w:color w:val="auto"/>
        </w:rPr>
      </w:pPr>
    </w:p>
    <w:p>
      <w:pPr>
        <w:ind w:left="640" w:hanging="316"/>
        <w:spacing w:after="0" w:line="230" w:lineRule="auto"/>
        <w:tabs>
          <w:tab w:leader="none" w:pos="640" w:val="left"/>
        </w:tabs>
        <w:numPr>
          <w:ilvl w:val="1"/>
          <w:numId w:val="132"/>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21"/>
          <w:szCs w:val="21"/>
          <w:color w:val="auto"/>
        </w:rPr>
      </w:pPr>
    </w:p>
    <w:p>
      <w:pPr>
        <w:ind w:left="640" w:right="40" w:hanging="316"/>
        <w:spacing w:after="0" w:line="261" w:lineRule="auto"/>
        <w:tabs>
          <w:tab w:leader="none" w:pos="628" w:val="left"/>
        </w:tabs>
        <w:numPr>
          <w:ilvl w:val="1"/>
          <w:numId w:val="132"/>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9"/>
          <w:szCs w:val="19"/>
          <w:color w:val="auto"/>
        </w:rPr>
      </w:pPr>
    </w:p>
    <w:p>
      <w:pPr>
        <w:ind w:left="320" w:right="660" w:hanging="314"/>
        <w:spacing w:after="0" w:line="230" w:lineRule="auto"/>
        <w:tabs>
          <w:tab w:leader="none" w:pos="32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21"/>
          <w:szCs w:val="21"/>
          <w:color w:val="auto"/>
        </w:rPr>
      </w:pPr>
    </w:p>
    <w:p>
      <w:pPr>
        <w:ind w:left="640" w:right="320" w:hanging="316"/>
        <w:spacing w:after="0" w:line="230" w:lineRule="auto"/>
        <w:tabs>
          <w:tab w:leader="none" w:pos="628" w:val="left"/>
        </w:tabs>
        <w:numPr>
          <w:ilvl w:val="1"/>
          <w:numId w:val="132"/>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21"/>
          <w:szCs w:val="21"/>
          <w:color w:val="auto"/>
        </w:rPr>
      </w:pPr>
    </w:p>
    <w:p>
      <w:pPr>
        <w:ind w:left="640" w:right="760" w:hanging="316"/>
        <w:spacing w:after="0" w:line="239" w:lineRule="auto"/>
        <w:tabs>
          <w:tab w:leader="none" w:pos="640" w:val="left"/>
        </w:tabs>
        <w:numPr>
          <w:ilvl w:val="1"/>
          <w:numId w:val="132"/>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06" w:right="339" w:bottom="1440" w:gutter="0" w:footer="0" w:header="0"/>
        </w:sectPr>
      </w:pPr>
    </w:p>
    <w:bookmarkStart w:id="210" w:name="page211"/>
    <w:bookmarkEnd w:id="210"/>
    <w:p>
      <w:pPr>
        <w:ind w:left="5020" w:right="2299" w:hanging="6584"/>
        <w:spacing w:after="0" w:line="311" w:lineRule="auto"/>
        <w:tabs>
          <w:tab w:leader="none" w:pos="5000" w:val="left"/>
        </w:tabs>
        <w:rPr>
          <w:sz w:val="20"/>
          <w:szCs w:val="20"/>
          <w:color w:val="auto"/>
        </w:rPr>
      </w:pPr>
      <w:r>
        <w:rPr>
          <w:rFonts w:ascii="Arial" w:cs="Arial" w:eastAsia="Arial" w:hAnsi="Arial"/>
          <w:sz w:val="21"/>
          <w:szCs w:val="21"/>
          <w:color w:val="auto"/>
        </w:rPr>
        <w:t>Date: March 14, 2022</w:t>
      </w:r>
      <w:r>
        <w:rPr>
          <w:sz w:val="20"/>
          <w:szCs w:val="20"/>
          <w:color w:val="auto"/>
        </w:rPr>
        <w:tab/>
      </w:r>
      <w:r>
        <w:rPr>
          <w:rFonts w:ascii="Arial" w:cs="Arial" w:eastAsia="Arial" w:hAnsi="Arial"/>
          <w:sz w:val="20"/>
          <w:szCs w:val="20"/>
          <w:color w:val="auto"/>
        </w:rPr>
        <w:t>By: /s/ Eric Schadt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-36195</wp:posOffset>
            </wp:positionV>
            <wp:extent cx="29533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3">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ind w:left="5480"/>
        <w:spacing w:after="0" w:line="228" w:lineRule="auto"/>
        <w:rPr>
          <w:sz w:val="20"/>
          <w:szCs w:val="20"/>
          <w:color w:val="auto"/>
        </w:rPr>
      </w:pPr>
      <w:r>
        <w:rPr>
          <w:rFonts w:ascii="Arial" w:cs="Arial" w:eastAsia="Arial" w:hAnsi="Arial"/>
          <w:sz w:val="21"/>
          <w:szCs w:val="21"/>
          <w:color w:val="auto"/>
        </w:rPr>
        <w:t>Chief Executive Officer</w:t>
      </w:r>
    </w:p>
    <w:p>
      <w:pPr>
        <w:spacing w:after="0" w:line="1"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9019"/>
          </w:cols>
          <w:pgMar w:left="1440" w:top="1430" w:right="1440"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31.2</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RULES 13a-14(a) AND 15d-14(a)</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UNDER THE SECURITIES EXCHANGE ACT OF 1934, AS ADOPTED PURSUANT TO</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302 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I, Isaac Ro, certify that:</w:t>
      </w:r>
    </w:p>
    <w:p>
      <w:pPr>
        <w:spacing w:after="0" w:line="209" w:lineRule="exact"/>
        <w:rPr>
          <w:sz w:val="20"/>
          <w:szCs w:val="20"/>
          <w:color w:val="auto"/>
        </w:rPr>
      </w:pPr>
    </w:p>
    <w:p>
      <w:pPr>
        <w:ind w:left="320" w:hanging="314"/>
        <w:spacing w:after="0"/>
        <w:tabs>
          <w:tab w:leader="none" w:pos="32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I have reviewed this annual report on Form 10-K of Sema4 Holdings Corp. (the “registrant”);</w:t>
      </w:r>
    </w:p>
    <w:p>
      <w:pPr>
        <w:spacing w:after="0" w:line="209" w:lineRule="exact"/>
        <w:rPr>
          <w:rFonts w:ascii="Arial" w:cs="Arial" w:eastAsia="Arial" w:hAnsi="Arial"/>
          <w:sz w:val="21"/>
          <w:szCs w:val="21"/>
          <w:color w:val="auto"/>
        </w:rPr>
      </w:pPr>
    </w:p>
    <w:p>
      <w:pPr>
        <w:ind w:left="320" w:right="240" w:hanging="314"/>
        <w:spacing w:after="0" w:line="230" w:lineRule="auto"/>
        <w:tabs>
          <w:tab w:leader="none" w:pos="32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21"/>
          <w:szCs w:val="21"/>
          <w:color w:val="auto"/>
        </w:rPr>
      </w:pPr>
    </w:p>
    <w:p>
      <w:pPr>
        <w:ind w:left="320" w:right="340" w:hanging="314"/>
        <w:spacing w:after="0" w:line="230" w:lineRule="auto"/>
        <w:tabs>
          <w:tab w:leader="none" w:pos="32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21"/>
          <w:szCs w:val="21"/>
          <w:color w:val="auto"/>
        </w:rPr>
      </w:pPr>
    </w:p>
    <w:p>
      <w:pPr>
        <w:ind w:left="320" w:right="20" w:hanging="314"/>
        <w:spacing w:after="0" w:line="239" w:lineRule="auto"/>
        <w:tabs>
          <w:tab w:leader="none" w:pos="32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for the registrant and have:</w:t>
      </w:r>
    </w:p>
    <w:p>
      <w:pPr>
        <w:spacing w:after="0" w:line="181" w:lineRule="exact"/>
        <w:rPr>
          <w:rFonts w:ascii="Arial" w:cs="Arial" w:eastAsia="Arial" w:hAnsi="Arial"/>
          <w:sz w:val="21"/>
          <w:szCs w:val="21"/>
          <w:color w:val="auto"/>
        </w:rPr>
      </w:pPr>
    </w:p>
    <w:p>
      <w:pPr>
        <w:ind w:left="640" w:right="220" w:hanging="316"/>
        <w:spacing w:after="0" w:line="230" w:lineRule="auto"/>
        <w:tabs>
          <w:tab w:leader="none" w:pos="628" w:val="left"/>
        </w:tabs>
        <w:numPr>
          <w:ilvl w:val="1"/>
          <w:numId w:val="133"/>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0" w:lineRule="exact"/>
        <w:rPr>
          <w:rFonts w:ascii="Arial" w:cs="Arial" w:eastAsia="Arial" w:hAnsi="Arial"/>
          <w:sz w:val="21"/>
          <w:szCs w:val="21"/>
          <w:color w:val="auto"/>
        </w:rPr>
      </w:pPr>
    </w:p>
    <w:p>
      <w:pPr>
        <w:ind w:left="640" w:hanging="316"/>
        <w:spacing w:after="0" w:line="230" w:lineRule="auto"/>
        <w:tabs>
          <w:tab w:leader="none" w:pos="64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21"/>
          <w:szCs w:val="21"/>
          <w:color w:val="auto"/>
        </w:rPr>
      </w:pPr>
    </w:p>
    <w:p>
      <w:pPr>
        <w:ind w:left="640" w:right="40" w:hanging="316"/>
        <w:spacing w:after="0" w:line="261" w:lineRule="auto"/>
        <w:tabs>
          <w:tab w:leader="none" w:pos="628" w:val="left"/>
        </w:tabs>
        <w:numPr>
          <w:ilvl w:val="1"/>
          <w:numId w:val="133"/>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9"/>
          <w:szCs w:val="19"/>
          <w:color w:val="auto"/>
        </w:rPr>
      </w:pPr>
    </w:p>
    <w:p>
      <w:pPr>
        <w:ind w:left="320" w:right="660" w:hanging="314"/>
        <w:spacing w:after="0" w:line="230" w:lineRule="auto"/>
        <w:tabs>
          <w:tab w:leader="none" w:pos="32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21"/>
          <w:szCs w:val="21"/>
          <w:color w:val="auto"/>
        </w:rPr>
      </w:pPr>
    </w:p>
    <w:p>
      <w:pPr>
        <w:ind w:left="640" w:right="320" w:hanging="316"/>
        <w:spacing w:after="0" w:line="230" w:lineRule="auto"/>
        <w:tabs>
          <w:tab w:leader="none" w:pos="628" w:val="left"/>
        </w:tabs>
        <w:numPr>
          <w:ilvl w:val="1"/>
          <w:numId w:val="133"/>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21"/>
          <w:szCs w:val="21"/>
          <w:color w:val="auto"/>
        </w:rPr>
      </w:pPr>
    </w:p>
    <w:p>
      <w:pPr>
        <w:ind w:left="640" w:right="760" w:hanging="316"/>
        <w:spacing w:after="0" w:line="239" w:lineRule="auto"/>
        <w:tabs>
          <w:tab w:leader="none" w:pos="64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06" w:right="339" w:bottom="1440" w:gutter="0" w:footer="0" w:header="0"/>
        </w:sectPr>
      </w:pPr>
    </w:p>
    <w:bookmarkStart w:id="212" w:name="page213"/>
    <w:bookmarkEnd w:id="212"/>
    <w:p>
      <w:pPr>
        <w:ind w:left="5020" w:right="2539" w:hanging="6584"/>
        <w:spacing w:after="0" w:line="292" w:lineRule="auto"/>
        <w:tabs>
          <w:tab w:leader="none" w:pos="5000" w:val="left"/>
        </w:tabs>
        <w:rPr>
          <w:sz w:val="20"/>
          <w:szCs w:val="20"/>
          <w:color w:val="auto"/>
        </w:rPr>
      </w:pPr>
      <w:r>
        <w:rPr>
          <w:rFonts w:ascii="Arial" w:cs="Arial" w:eastAsia="Arial" w:hAnsi="Arial"/>
          <w:sz w:val="21"/>
          <w:szCs w:val="21"/>
          <w:color w:val="auto"/>
        </w:rPr>
        <w:t>Date: March 14, 2022</w:t>
      </w:r>
      <w:r>
        <w:rPr>
          <w:sz w:val="20"/>
          <w:szCs w:val="20"/>
          <w:color w:val="auto"/>
        </w:rPr>
        <w:tab/>
      </w:r>
      <w:r>
        <w:rPr>
          <w:rFonts w:ascii="Arial" w:cs="Arial" w:eastAsia="Arial" w:hAnsi="Arial"/>
          <w:sz w:val="21"/>
          <w:szCs w:val="21"/>
          <w:color w:val="auto"/>
        </w:rPr>
        <w:t>By: /s/ Isaac Ro Isaac 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-30480</wp:posOffset>
            </wp:positionV>
            <wp:extent cx="29533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ind w:left="5480"/>
        <w:spacing w:after="0" w:line="237" w:lineRule="auto"/>
        <w:rPr>
          <w:sz w:val="20"/>
          <w:szCs w:val="20"/>
          <w:color w:val="auto"/>
        </w:rPr>
      </w:pPr>
      <w:r>
        <w:rPr>
          <w:rFonts w:ascii="Arial" w:cs="Arial" w:eastAsia="Arial" w:hAnsi="Arial"/>
          <w:sz w:val="21"/>
          <w:szCs w:val="21"/>
          <w:color w:val="auto"/>
        </w:rPr>
        <w:t>Chief Financial Officer</w:t>
      </w:r>
    </w:p>
    <w:p>
      <w:pPr>
        <w:ind w:left="548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9019"/>
          </w:cols>
          <w:pgMar w:left="1440" w:top="1430" w:right="1440" w:bottom="1440" w:gutter="0" w:footer="0" w:header="0"/>
        </w:sectPr>
      </w:pPr>
    </w:p>
    <w:bookmarkStart w:id="213" w:name="page214"/>
    <w:bookmarkEnd w:id="213"/>
    <w:p>
      <w:pPr>
        <w:jc w:val="right"/>
        <w:spacing w:after="0"/>
        <w:rPr>
          <w:sz w:val="20"/>
          <w:szCs w:val="20"/>
          <w:color w:val="auto"/>
        </w:rPr>
      </w:pPr>
      <w:r>
        <w:rPr>
          <w:rFonts w:ascii="Arial" w:cs="Arial" w:eastAsia="Arial" w:hAnsi="Arial"/>
          <w:sz w:val="21"/>
          <w:szCs w:val="21"/>
          <w:b w:val="1"/>
          <w:bCs w:val="1"/>
          <w:color w:val="auto"/>
        </w:rPr>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18 U.S.C. SECTION 1350,</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ADDED BY</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906 OF THE SARBANES-OXLEY ACT OF 2002</w:t>
      </w:r>
    </w:p>
    <w:p>
      <w:pPr>
        <w:spacing w:after="0" w:line="281"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In connection with the Annual Report of Sema4 Holdings Corp. (the “registrant”) on Form 10-K for the fiscal year ended December 31, 2021, as filed with the Securities and Exchange Commission (the “Report”), I, Eric Schadt, Chief Executive Officer of the registrant, certify, pursuant to 18 U.S.C. §1350, as added by §906 of the Sarbanes-Oxley Act of 2002, that:</w:t>
      </w:r>
    </w:p>
    <w:p>
      <w:pPr>
        <w:spacing w:after="0" w:line="2" w:lineRule="exact"/>
        <w:rPr>
          <w:sz w:val="20"/>
          <w:szCs w:val="20"/>
          <w:color w:val="auto"/>
        </w:rPr>
      </w:pPr>
    </w:p>
    <w:p>
      <w:pPr>
        <w:ind w:left="640" w:hanging="316"/>
        <w:spacing w:after="0"/>
        <w:tabs>
          <w:tab w:leader="none" w:pos="640" w:val="left"/>
        </w:tabs>
        <w:numPr>
          <w:ilvl w:val="0"/>
          <w:numId w:val="134"/>
        </w:numPr>
        <w:rPr>
          <w:rFonts w:ascii="Arial" w:cs="Arial" w:eastAsia="Arial" w:hAnsi="Arial"/>
          <w:sz w:val="17"/>
          <w:szCs w:val="17"/>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67" w:lineRule="exact"/>
        <w:rPr>
          <w:rFonts w:ascii="Arial" w:cs="Arial" w:eastAsia="Arial" w:hAnsi="Arial"/>
          <w:sz w:val="17"/>
          <w:szCs w:val="17"/>
          <w:color w:val="auto"/>
        </w:rPr>
      </w:pPr>
    </w:p>
    <w:p>
      <w:pPr>
        <w:ind w:left="640" w:right="320" w:hanging="316"/>
        <w:spacing w:after="0" w:line="292" w:lineRule="auto"/>
        <w:tabs>
          <w:tab w:leader="none" w:pos="640" w:val="left"/>
        </w:tabs>
        <w:numPr>
          <w:ilvl w:val="0"/>
          <w:numId w:val="134"/>
        </w:numPr>
        <w:rPr>
          <w:rFonts w:ascii="Arial" w:cs="Arial" w:eastAsia="Arial" w:hAnsi="Arial"/>
          <w:sz w:val="18"/>
          <w:szCs w:val="18"/>
          <w:color w:val="auto"/>
        </w:rPr>
      </w:pPr>
      <w:r>
        <w:rPr>
          <w:rFonts w:ascii="Arial" w:cs="Arial" w:eastAsia="Arial" w:hAnsi="Arial"/>
          <w:sz w:val="21"/>
          <w:szCs w:val="21"/>
          <w:color w:val="auto"/>
        </w:rPr>
        <w:t>To my knowledge, the information contained in the Report fairly presents, in all material respects, the financial condition and results of operations of the registrant as of and for the period covered by the Report.</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265"/>
        </w:trPr>
        <w:tc>
          <w:tcPr>
            <w:tcW w:w="3880" w:type="dxa"/>
            <w:vAlign w:val="bottom"/>
          </w:tcPr>
          <w:p>
            <w:pPr>
              <w:spacing w:after="0"/>
              <w:rPr>
                <w:sz w:val="20"/>
                <w:szCs w:val="20"/>
                <w:color w:val="auto"/>
              </w:rPr>
            </w:pPr>
            <w:r>
              <w:rPr>
                <w:rFonts w:ascii="Arial" w:cs="Arial" w:eastAsia="Arial" w:hAnsi="Arial"/>
                <w:sz w:val="21"/>
                <w:szCs w:val="21"/>
                <w:color w:val="auto"/>
              </w:rPr>
              <w:t>Date: March 14, 2022</w:t>
            </w:r>
          </w:p>
        </w:tc>
        <w:tc>
          <w:tcPr>
            <w:tcW w:w="6920" w:type="dxa"/>
            <w:vAlign w:val="bottom"/>
            <w:gridSpan w:val="2"/>
          </w:tcPr>
          <w:p>
            <w:pPr>
              <w:ind w:left="2000"/>
              <w:spacing w:after="0"/>
              <w:rPr>
                <w:sz w:val="20"/>
                <w:szCs w:val="20"/>
                <w:color w:val="auto"/>
              </w:rPr>
            </w:pPr>
            <w:r>
              <w:rPr>
                <w:rFonts w:ascii="Arial" w:cs="Arial" w:eastAsia="Arial" w:hAnsi="Arial"/>
                <w:sz w:val="21"/>
                <w:szCs w:val="21"/>
                <w:color w:val="auto"/>
              </w:rPr>
              <w:t>By:  /s/ Eric Schadt</w:t>
            </w:r>
          </w:p>
        </w:tc>
      </w:tr>
      <w:tr>
        <w:trPr>
          <w:trHeight w:val="272"/>
        </w:trPr>
        <w:tc>
          <w:tcPr>
            <w:tcW w:w="38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Eric Schadt</w:t>
            </w:r>
          </w:p>
        </w:tc>
      </w:tr>
      <w:tr>
        <w:trPr>
          <w:trHeight w:val="251"/>
        </w:trPr>
        <w:tc>
          <w:tcPr>
            <w:tcW w:w="38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Chief Executive Officer</w:t>
            </w:r>
          </w:p>
        </w:tc>
      </w:tr>
      <w:tr>
        <w:trPr>
          <w:trHeight w:val="271"/>
        </w:trPr>
        <w:tc>
          <w:tcPr>
            <w:tcW w:w="38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(Principal Executive Officer)</w:t>
            </w:r>
          </w:p>
        </w:tc>
      </w:tr>
    </w:tbl>
    <w:p>
      <w:pPr>
        <w:sectPr>
          <w:pgSz w:w="11900" w:h="16838" w:orient="portrait"/>
          <w:cols w:equalWidth="0" w:num="1">
            <w:col w:w="11240"/>
          </w:cols>
          <w:pgMar w:left="320" w:top="934"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21"/>
          <w:szCs w:val="21"/>
          <w:b w:val="1"/>
          <w:bCs w:val="1"/>
          <w:color w:val="auto"/>
        </w:rPr>
        <w:t>Exhibit 32.2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18 U.S.C. SECTION 1350,</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ADDED BY</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906 OF THE SARBANES-OXLEY ACT OF 2002</w:t>
      </w:r>
    </w:p>
    <w:p>
      <w:pPr>
        <w:spacing w:after="0" w:line="281"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In connection with the Annual Report of Sema4 Holdings Corp. (the “registrant”) on Form 10-K for the fiscal year ended December 31, 2021, as filed with the Securities and Exchange Commission (the “Report”), I, Isaac Ro, Chief Financial Officer of the registrant, certify, pursuant to 18 U.S.C. §1350, as added by §906 of the Sarbanes-Oxley Act of 2002, that:</w:t>
      </w:r>
    </w:p>
    <w:p>
      <w:pPr>
        <w:ind w:left="640" w:hanging="316"/>
        <w:spacing w:after="0"/>
        <w:tabs>
          <w:tab w:leader="none" w:pos="640" w:val="left"/>
        </w:tabs>
        <w:numPr>
          <w:ilvl w:val="0"/>
          <w:numId w:val="135"/>
        </w:numPr>
        <w:rPr>
          <w:rFonts w:ascii="Arial" w:cs="Arial" w:eastAsia="Arial" w:hAnsi="Arial"/>
          <w:sz w:val="17"/>
          <w:szCs w:val="17"/>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67" w:lineRule="exact"/>
        <w:rPr>
          <w:rFonts w:ascii="Arial" w:cs="Arial" w:eastAsia="Arial" w:hAnsi="Arial"/>
          <w:sz w:val="17"/>
          <w:szCs w:val="17"/>
          <w:color w:val="auto"/>
        </w:rPr>
      </w:pPr>
    </w:p>
    <w:p>
      <w:pPr>
        <w:ind w:left="640" w:right="320" w:hanging="316"/>
        <w:spacing w:after="0" w:line="292" w:lineRule="auto"/>
        <w:tabs>
          <w:tab w:leader="none" w:pos="640" w:val="left"/>
        </w:tabs>
        <w:numPr>
          <w:ilvl w:val="0"/>
          <w:numId w:val="135"/>
        </w:numPr>
        <w:rPr>
          <w:rFonts w:ascii="Arial" w:cs="Arial" w:eastAsia="Arial" w:hAnsi="Arial"/>
          <w:sz w:val="18"/>
          <w:szCs w:val="18"/>
          <w:color w:val="auto"/>
        </w:rPr>
      </w:pPr>
      <w:r>
        <w:rPr>
          <w:rFonts w:ascii="Arial" w:cs="Arial" w:eastAsia="Arial" w:hAnsi="Arial"/>
          <w:sz w:val="21"/>
          <w:szCs w:val="21"/>
          <w:color w:val="auto"/>
        </w:rPr>
        <w:t>To my knowledge, the information contained in the Report fairly presents, in all material respects, the financial condition and results of operations of the registrant as of and for the period covered by the Report.</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265"/>
        </w:trPr>
        <w:tc>
          <w:tcPr>
            <w:tcW w:w="3880" w:type="dxa"/>
            <w:vAlign w:val="bottom"/>
          </w:tcPr>
          <w:p>
            <w:pPr>
              <w:spacing w:after="0"/>
              <w:rPr>
                <w:sz w:val="20"/>
                <w:szCs w:val="20"/>
                <w:color w:val="auto"/>
              </w:rPr>
            </w:pPr>
            <w:r>
              <w:rPr>
                <w:rFonts w:ascii="Arial" w:cs="Arial" w:eastAsia="Arial" w:hAnsi="Arial"/>
                <w:sz w:val="21"/>
                <w:szCs w:val="21"/>
                <w:color w:val="auto"/>
              </w:rPr>
              <w:t>Date: March 14, 2022</w:t>
            </w:r>
          </w:p>
        </w:tc>
        <w:tc>
          <w:tcPr>
            <w:tcW w:w="6920" w:type="dxa"/>
            <w:vAlign w:val="bottom"/>
            <w:gridSpan w:val="2"/>
          </w:tcPr>
          <w:p>
            <w:pPr>
              <w:ind w:left="2000"/>
              <w:spacing w:after="0"/>
              <w:rPr>
                <w:sz w:val="20"/>
                <w:szCs w:val="20"/>
                <w:color w:val="auto"/>
              </w:rPr>
            </w:pPr>
            <w:r>
              <w:rPr>
                <w:rFonts w:ascii="Arial" w:cs="Arial" w:eastAsia="Arial" w:hAnsi="Arial"/>
                <w:sz w:val="21"/>
                <w:szCs w:val="21"/>
                <w:color w:val="auto"/>
              </w:rPr>
              <w:t>By:  /s/ Isaac Ro</w:t>
            </w:r>
          </w:p>
        </w:tc>
      </w:tr>
      <w:tr>
        <w:trPr>
          <w:trHeight w:val="272"/>
        </w:trPr>
        <w:tc>
          <w:tcPr>
            <w:tcW w:w="38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Isaac Ro</w:t>
            </w:r>
          </w:p>
        </w:tc>
      </w:tr>
      <w:tr>
        <w:trPr>
          <w:trHeight w:val="251"/>
        </w:trPr>
        <w:tc>
          <w:tcPr>
            <w:tcW w:w="38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Chief Financial Officer</w:t>
            </w:r>
          </w:p>
        </w:tc>
      </w:tr>
      <w:tr>
        <w:trPr>
          <w:trHeight w:val="271"/>
        </w:trPr>
        <w:tc>
          <w:tcPr>
            <w:tcW w:w="38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B70AE5"/>
    <w:multiLevelType w:val="hybridMultilevel"/>
    <w:lvl w:ilvl="0">
      <w:lvlJc w:val="left"/>
      <w:lvlText w:val="x"/>
      <w:numFmt w:val="bullet"/>
      <w:start w:val="1"/>
    </w:lvl>
  </w:abstractNum>
  <w:abstractNum w:abstractNumId="1">
    <w:nsid w:val="100F8FCA"/>
    <w:multiLevelType w:val="hybridMultilevel"/>
    <w:lvl w:ilvl="0">
      <w:lvlJc w:val="left"/>
      <w:lvlText w:val="o"/>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1)"/>
      <w:numFmt w:val="decimal"/>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1)"/>
      <w:numFmt w:val="lowerRoman"/>
      <w:start w:val="4"/>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1)"/>
      <w:numFmt w:val="decimal"/>
      <w:start w:val="1"/>
    </w:lvl>
  </w:abstractNum>
  <w:abstractNum w:abstractNumId="41">
    <w:nsid w:val="14E17E33"/>
    <w:multiLevelType w:val="hybridMultilevel"/>
    <w:lvl w:ilvl="0">
      <w:lvlJc w:val="left"/>
      <w:lvlText w:val="(%1)"/>
      <w:numFmt w:val="decimal"/>
      <w:start w:val="1"/>
    </w:lvl>
  </w:abstractNum>
  <w:abstractNum w:abstractNumId="42">
    <w:nsid w:val="3222E7CD"/>
    <w:multiLevelType w:val="hybridMultilevel"/>
    <w:lvl w:ilvl="0">
      <w:lvlJc w:val="left"/>
      <w:lvlText w:val="(%1)"/>
      <w:numFmt w:val="decimal"/>
      <w:start w:val="1"/>
    </w:lvl>
  </w:abstractNum>
  <w:abstractNum w:abstractNumId="43">
    <w:nsid w:val="74DE0EE3"/>
    <w:multiLevelType w:val="hybridMultilevel"/>
    <w:lvl w:ilvl="0">
      <w:lvlJc w:val="left"/>
      <w:lvlText w:val="*"/>
      <w:numFmt w:val="bullet"/>
      <w:start w:val="1"/>
    </w:lvl>
  </w:abstractNum>
  <w:abstractNum w:abstractNumId="44">
    <w:nsid w:val="68EBC550"/>
    <w:multiLevelType w:val="hybridMultilevel"/>
    <w:lvl w:ilvl="0">
      <w:lvlJc w:val="left"/>
      <w:lvlText w:val="•"/>
      <w:numFmt w:val="bullet"/>
      <w:start w:val="1"/>
    </w:lvl>
  </w:abstractNum>
  <w:abstractNum w:abstractNumId="45">
    <w:nsid w:val="2DF6D648"/>
    <w:multiLevelType w:val="hybridMultilevel"/>
    <w:lvl w:ilvl="0">
      <w:lvlJc w:val="left"/>
      <w:lvlText w:val="•"/>
      <w:numFmt w:val="bullet"/>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
      <w:numFmt w:val="bullet"/>
      <w:start w:val="1"/>
    </w:lvl>
  </w:abstractNum>
  <w:abstractNum w:abstractNumId="48">
    <w:nsid w:val="39EE015C"/>
    <w:multiLevelType w:val="hybridMultilevel"/>
    <w:lvl w:ilvl="0">
      <w:lvlJc w:val="left"/>
      <w:lvlText w:val="%1."/>
      <w:numFmt w:val="decimal"/>
      <w:start w:val="5"/>
    </w:lvl>
  </w:abstractNum>
  <w:abstractNum w:abstractNumId="49">
    <w:nsid w:val="57FC4FBB"/>
    <w:multiLevelType w:val="hybridMultilevel"/>
    <w:lvl w:ilvl="0">
      <w:lvlJc w:val="left"/>
      <w:lvlText w:val="%1."/>
      <w:numFmt w:val="decimal"/>
      <w:start w:val="6"/>
    </w:lvl>
  </w:abstractNum>
  <w:abstractNum w:abstractNumId="50">
    <w:nsid w:val="CC1016F"/>
    <w:multiLevelType w:val="hybridMultilevel"/>
    <w:lvl w:ilvl="0">
      <w:lvlJc w:val="left"/>
      <w:lvlText w:val="(%1)"/>
      <w:numFmt w:val="lowerRoman"/>
      <w:start w:val="1"/>
    </w:lvl>
  </w:abstractNum>
  <w:abstractNum w:abstractNumId="51">
    <w:nsid w:val="43F18422"/>
    <w:multiLevelType w:val="hybridMultilevel"/>
    <w:lvl w:ilvl="0">
      <w:lvlJc w:val="left"/>
      <w:lvlText w:val="\endash "/>
      <w:numFmt w:val="bullet"/>
      <w:start w:val="1"/>
    </w:lvl>
  </w:abstractNum>
  <w:abstractNum w:abstractNumId="52">
    <w:nsid w:val="60EF0119"/>
    <w:multiLevelType w:val="hybridMultilevel"/>
    <w:lvl w:ilvl="0">
      <w:lvlJc w:val="left"/>
      <w:lvlText w:val="•"/>
      <w:numFmt w:val="bullet"/>
      <w:start w:val="1"/>
    </w:lvl>
  </w:abstractNum>
  <w:abstractNum w:abstractNumId="53">
    <w:nsid w:val="26F324BA"/>
    <w:multiLevelType w:val="hybridMultilevel"/>
    <w:lvl w:ilvl="0">
      <w:lvlJc w:val="left"/>
      <w:lvlText w:val="•"/>
      <w:numFmt w:val="bullet"/>
      <w:start w:val="1"/>
    </w:lvl>
  </w:abstractNum>
  <w:abstractNum w:abstractNumId="54">
    <w:nsid w:val="7F01579B"/>
    <w:multiLevelType w:val="hybridMultilevel"/>
    <w:lvl w:ilvl="0">
      <w:lvlJc w:val="left"/>
      <w:lvlText w:val="•"/>
      <w:numFmt w:val="bullet"/>
      <w:start w:val="1"/>
    </w:lvl>
  </w:abstractNum>
  <w:abstractNum w:abstractNumId="55">
    <w:nsid w:val="49DA307D"/>
    <w:multiLevelType w:val="hybridMultilevel"/>
    <w:lvl w:ilvl="0">
      <w:lvlJc w:val="left"/>
      <w:lvlText w:val="•"/>
      <w:numFmt w:val="bullet"/>
      <w:start w:val="1"/>
    </w:lvl>
  </w:abstractNum>
  <w:abstractNum w:abstractNumId="56">
    <w:nsid w:val="7055A5F5"/>
    <w:multiLevelType w:val="hybridMultilevel"/>
    <w:lvl w:ilvl="0">
      <w:lvlJc w:val="left"/>
      <w:lvlText w:val="(%1)"/>
      <w:numFmt w:val="decimal"/>
      <w:start w:val="1"/>
    </w:lvl>
  </w:abstractNum>
  <w:abstractNum w:abstractNumId="57">
    <w:nsid w:val="5FB8370B"/>
    <w:multiLevelType w:val="hybridMultilevel"/>
    <w:lvl w:ilvl="0">
      <w:lvlJc w:val="left"/>
      <w:lvlText w:val="•"/>
      <w:numFmt w:val="bullet"/>
      <w:start w:val="1"/>
    </w:lvl>
  </w:abstractNum>
  <w:abstractNum w:abstractNumId="58">
    <w:nsid w:val="50801EE1"/>
    <w:multiLevelType w:val="hybridMultilevel"/>
    <w:lvl w:ilvl="0">
      <w:lvlJc w:val="left"/>
      <w:lvlText w:val="•"/>
      <w:numFmt w:val="bullet"/>
      <w:start w:val="1"/>
    </w:lvl>
  </w:abstractNum>
  <w:abstractNum w:abstractNumId="59">
    <w:nsid w:val="488AC1A"/>
    <w:multiLevelType w:val="hybridMultilevel"/>
    <w:lvl w:ilvl="0">
      <w:lvlJc w:val="left"/>
      <w:lvlText w:val="•"/>
      <w:numFmt w:val="bullet"/>
      <w:start w:val="1"/>
    </w:lvl>
  </w:abstractNum>
  <w:abstractNum w:abstractNumId="60">
    <w:nsid w:val="5FB8011C"/>
    <w:multiLevelType w:val="hybridMultilevel"/>
    <w:lvl w:ilvl="0">
      <w:lvlJc w:val="left"/>
      <w:lvlText w:val="•"/>
      <w:numFmt w:val="bullet"/>
      <w:start w:val="1"/>
    </w:lvl>
  </w:abstractNum>
  <w:abstractNum w:abstractNumId="61">
    <w:nsid w:val="6AA78F7F"/>
    <w:multiLevelType w:val="hybridMultilevel"/>
    <w:lvl w:ilvl="0">
      <w:lvlJc w:val="left"/>
      <w:lvlText w:val="•"/>
      <w:numFmt w:val="bullet"/>
      <w:start w:val="1"/>
    </w:lvl>
  </w:abstractNum>
  <w:abstractNum w:abstractNumId="62">
    <w:nsid w:val="7672BD23"/>
    <w:multiLevelType w:val="hybridMultilevel"/>
    <w:lvl w:ilvl="0">
      <w:lvlJc w:val="left"/>
      <w:lvlText w:val="•"/>
      <w:numFmt w:val="bullet"/>
      <w:start w:val="1"/>
    </w:lvl>
  </w:abstractNum>
  <w:abstractNum w:abstractNumId="63">
    <w:nsid w:val="6FC75AF8"/>
    <w:multiLevelType w:val="hybridMultilevel"/>
    <w:lvl w:ilvl="0">
      <w:lvlJc w:val="left"/>
      <w:lvlText w:val="•"/>
      <w:numFmt w:val="bullet"/>
      <w:start w:val="1"/>
    </w:lvl>
  </w:abstractNum>
  <w:abstractNum w:abstractNumId="64">
    <w:nsid w:val="6A5F7029"/>
    <w:multiLevelType w:val="hybridMultilevel"/>
    <w:lvl w:ilvl="0">
      <w:lvlJc w:val="left"/>
      <w:lvlText w:val="(%1)"/>
      <w:numFmt w:val="decimal"/>
      <w:start w:val="1"/>
    </w:lvl>
  </w:abstractNum>
  <w:abstractNum w:abstractNumId="65">
    <w:nsid w:val="7D5E18F8"/>
    <w:multiLevelType w:val="hybridMultilevel"/>
    <w:lvl w:ilvl="0">
      <w:lvlJc w:val="left"/>
      <w:lvlText w:val="(*)"/>
      <w:numFmt w:val="bullet"/>
      <w:start w:val="1"/>
    </w:lvl>
  </w:abstractNum>
  <w:abstractNum w:abstractNumId="66">
    <w:nsid w:val="5F3534A4"/>
    <w:multiLevelType w:val="hybridMultilevel"/>
    <w:lvl w:ilvl="0">
      <w:lvlJc w:val="left"/>
      <w:lvlText w:val="(%1)"/>
      <w:numFmt w:val="decimal"/>
      <w:start w:val="1"/>
    </w:lvl>
  </w:abstractNum>
  <w:abstractNum w:abstractNumId="67">
    <w:nsid w:val="73A1821B"/>
    <w:multiLevelType w:val="hybridMultilevel"/>
    <w:lvl w:ilvl="0">
      <w:lvlJc w:val="left"/>
      <w:lvlText w:val="(%1)"/>
      <w:numFmt w:val="decimal"/>
      <w:start w:val="8"/>
    </w:lvl>
  </w:abstractNum>
  <w:abstractNum w:abstractNumId="68">
    <w:nsid w:val="7DE67713"/>
    <w:multiLevelType w:val="hybridMultilevel"/>
    <w:lvl w:ilvl="0">
      <w:lvlJc w:val="left"/>
      <w:lvlText w:val="•"/>
      <w:numFmt w:val="bullet"/>
      <w:start w:val="1"/>
    </w:lvl>
  </w:abstractNum>
  <w:abstractNum w:abstractNumId="69">
    <w:nsid w:val="555C55B5"/>
    <w:multiLevelType w:val="hybridMultilevel"/>
    <w:lvl w:ilvl="0">
      <w:lvlJc w:val="left"/>
      <w:lvlText w:val="•"/>
      <w:numFmt w:val="bullet"/>
      <w:start w:val="1"/>
    </w:lvl>
  </w:abstractNum>
  <w:abstractNum w:abstractNumId="70">
    <w:nsid w:val="3FA62ACA"/>
    <w:multiLevelType w:val="hybridMultilevel"/>
    <w:lvl w:ilvl="0">
      <w:lvlJc w:val="left"/>
      <w:lvlText w:val="•"/>
      <w:numFmt w:val="bullet"/>
      <w:start w:val="1"/>
    </w:lvl>
  </w:abstractNum>
  <w:abstractNum w:abstractNumId="71">
    <w:nsid w:val="14FCE74E"/>
    <w:multiLevelType w:val="hybridMultilevel"/>
    <w:lvl w:ilvl="0">
      <w:lvlJc w:val="left"/>
      <w:lvlText w:val="(%1)"/>
      <w:numFmt w:val="lowerRoman"/>
      <w:start w:val="4"/>
    </w:lvl>
  </w:abstractNum>
  <w:abstractNum w:abstractNumId="72">
    <w:nsid w:val="6A3DD3E8"/>
    <w:multiLevelType w:val="hybridMultilevel"/>
    <w:lvl w:ilvl="0">
      <w:lvlJc w:val="left"/>
      <w:lvlText w:val="(%1)"/>
      <w:numFmt w:val="decimal"/>
      <w:start w:val="1"/>
    </w:lvl>
  </w:abstractNum>
  <w:abstractNum w:abstractNumId="73">
    <w:nsid w:val="71C91298"/>
    <w:multiLevelType w:val="hybridMultilevel"/>
    <w:lvl w:ilvl="0">
      <w:lvlJc w:val="left"/>
      <w:lvlText w:val="(%1)"/>
      <w:numFmt w:val="decimal"/>
      <w:start w:val="1"/>
    </w:lvl>
  </w:abstractNum>
  <w:abstractNum w:abstractNumId="74">
    <w:nsid w:val="9DAF632"/>
    <w:multiLevelType w:val="hybridMultilevel"/>
    <w:lvl w:ilvl="0">
      <w:lvlJc w:val="left"/>
      <w:lvlText w:val="(%1)"/>
      <w:numFmt w:val="decimal"/>
      <w:start w:val="1"/>
    </w:lvl>
  </w:abstractNum>
  <w:abstractNum w:abstractNumId="75">
    <w:nsid w:val="53299938"/>
    <w:multiLevelType w:val="hybridMultilevel"/>
    <w:lvl w:ilvl="0">
      <w:lvlJc w:val="left"/>
      <w:lvlText w:val="•"/>
      <w:numFmt w:val="bullet"/>
      <w:start w:val="1"/>
    </w:lvl>
  </w:abstractNum>
  <w:abstractNum w:abstractNumId="76">
    <w:nsid w:val="1FBFE8E0"/>
    <w:multiLevelType w:val="hybridMultilevel"/>
    <w:lvl w:ilvl="0">
      <w:lvlJc w:val="left"/>
      <w:lvlText w:val="*"/>
      <w:numFmt w:val="bullet"/>
      <w:start w:val="1"/>
    </w:lvl>
  </w:abstractNum>
  <w:abstractNum w:abstractNumId="77">
    <w:nsid w:val="5092CA79"/>
    <w:multiLevelType w:val="hybridMultilevel"/>
    <w:lvl w:ilvl="0">
      <w:lvlJc w:val="left"/>
      <w:lvlText w:val="(%1)"/>
      <w:numFmt w:val="decimal"/>
      <w:start w:val="1"/>
    </w:lvl>
  </w:abstractNum>
  <w:abstractNum w:abstractNumId="78">
    <w:nsid w:val="1D545C4D"/>
    <w:multiLevelType w:val="hybridMultilevel"/>
    <w:lvl w:ilvl="0">
      <w:lvlJc w:val="left"/>
      <w:lvlText w:val="(%1)"/>
      <w:numFmt w:val="decimal"/>
      <w:start w:val="3"/>
    </w:lvl>
  </w:abstractNum>
  <w:abstractNum w:abstractNumId="79">
    <w:nsid w:val="59ADEA3D"/>
    <w:multiLevelType w:val="hybridMultilevel"/>
    <w:lvl w:ilvl="0">
      <w:lvlJc w:val="left"/>
      <w:lvlText w:val="%1."/>
      <w:numFmt w:val="lowerLetter"/>
      <w:start w:val="1"/>
    </w:lvl>
  </w:abstractNum>
  <w:abstractNum w:abstractNumId="80">
    <w:nsid w:val="288F1A34"/>
    <w:multiLevelType w:val="hybridMultilevel"/>
    <w:lvl w:ilvl="0">
      <w:lvlJc w:val="left"/>
      <w:lvlText w:val="%1."/>
      <w:numFmt w:val="lowerLetter"/>
      <w:start w:val="3"/>
    </w:lvl>
  </w:abstractNum>
  <w:abstractNum w:abstractNumId="81">
    <w:nsid w:val="2A155DBC"/>
    <w:multiLevelType w:val="hybridMultilevel"/>
    <w:lvl w:ilvl="0">
      <w:lvlJc w:val="left"/>
      <w:lvlText w:val="(%1)"/>
      <w:numFmt w:val="decimal"/>
      <w:start w:val="1"/>
    </w:lvl>
  </w:abstractNum>
  <w:abstractNum w:abstractNumId="82">
    <w:nsid w:val="1D9F6E5F"/>
    <w:multiLevelType w:val="hybridMultilevel"/>
    <w:lvl w:ilvl="0">
      <w:lvlJc w:val="left"/>
      <w:lvlText w:val="(%1)"/>
      <w:numFmt w:val="decimal"/>
      <w:start w:val="1"/>
    </w:lvl>
  </w:abstractNum>
  <w:abstractNum w:abstractNumId="83">
    <w:nsid w:val="97E1B4E"/>
    <w:multiLevelType w:val="hybridMultilevel"/>
    <w:lvl w:ilvl="0">
      <w:lvlJc w:val="left"/>
      <w:lvlText w:val="(%1)"/>
      <w:numFmt w:val="decimal"/>
      <w:start w:val="1"/>
    </w:lvl>
  </w:abstractNum>
  <w:abstractNum w:abstractNumId="84">
    <w:nsid w:val="51088277"/>
    <w:multiLevelType w:val="hybridMultilevel"/>
    <w:lvl w:ilvl="0">
      <w:lvlJc w:val="left"/>
      <w:lvlText w:val="(%1)"/>
      <w:numFmt w:val="decimal"/>
      <w:start w:val="1"/>
    </w:lvl>
  </w:abstractNum>
  <w:abstractNum w:abstractNumId="85">
    <w:nsid w:val="1CA0C5FA"/>
    <w:multiLevelType w:val="hybridMultilevel"/>
    <w:lvl w:ilvl="0">
      <w:lvlJc w:val="left"/>
      <w:lvlText w:val="%1)"/>
      <w:numFmt w:val="lowerLetter"/>
      <w:start w:val="1"/>
    </w:lvl>
    <w:lvl w:ilvl="1">
      <w:lvlJc w:val="left"/>
      <w:lvlText w:val="%2."/>
      <w:numFmt w:val="decimal"/>
      <w:start w:val="1"/>
    </w:lvl>
  </w:abstractNum>
  <w:abstractNum w:abstractNumId="86">
    <w:nsid w:val="53584BCB"/>
    <w:multiLevelType w:val="hybridMultilevel"/>
    <w:lvl w:ilvl="0">
      <w:lvlJc w:val="left"/>
      <w:lvlText w:val="*"/>
      <w:numFmt w:val="bullet"/>
      <w:start w:val="1"/>
    </w:lvl>
  </w:abstractNum>
  <w:abstractNum w:abstractNumId="87">
    <w:nsid w:val="415E286C"/>
    <w:multiLevelType w:val="hybridMultilevel"/>
    <w:lvl w:ilvl="0">
      <w:lvlJc w:val="left"/>
      <w:lvlText w:val="+"/>
      <w:numFmt w:val="bullet"/>
      <w:start w:val="1"/>
    </w:lvl>
  </w:abstractNum>
  <w:abstractNum w:abstractNumId="88">
    <w:nsid w:val="7C58FD05"/>
    <w:multiLevelType w:val="hybridMultilevel"/>
    <w:lvl w:ilvl="0">
      <w:lvlJc w:val="left"/>
      <w:lvlText w:val="#"/>
      <w:numFmt w:val="bullet"/>
      <w:start w:val="1"/>
    </w:lvl>
  </w:abstractNum>
  <w:abstractNum w:abstractNumId="89">
    <w:nsid w:val="23D86AAC"/>
    <w:multiLevelType w:val="hybridMultilevel"/>
    <w:lvl w:ilvl="0">
      <w:lvlJc w:val="left"/>
      <w:lvlText w:val="•"/>
      <w:numFmt w:val="bullet"/>
      <w:start w:val="1"/>
    </w:lvl>
  </w:abstractNum>
  <w:abstractNum w:abstractNumId="90">
    <w:nsid w:val="45E6D486"/>
    <w:multiLevelType w:val="hybridMultilevel"/>
    <w:lvl w:ilvl="0">
      <w:lvlJc w:val="left"/>
      <w:lvlText w:val="•"/>
      <w:numFmt w:val="bullet"/>
      <w:start w:val="1"/>
    </w:lvl>
  </w:abstractNum>
  <w:abstractNum w:abstractNumId="91">
    <w:nsid w:val="5C10FE21"/>
    <w:multiLevelType w:val="hybridMultilevel"/>
    <w:lvl w:ilvl="0">
      <w:lvlJc w:val="left"/>
      <w:lvlText w:val="•"/>
      <w:numFmt w:val="bullet"/>
      <w:start w:val="1"/>
    </w:lvl>
  </w:abstractNum>
  <w:abstractNum w:abstractNumId="92">
    <w:nsid w:val="E7FFA2B"/>
    <w:multiLevelType w:val="hybridMultilevel"/>
    <w:lvl w:ilvl="0">
      <w:lvlJc w:val="left"/>
      <w:lvlText w:val="•"/>
      <w:numFmt w:val="bullet"/>
      <w:start w:val="1"/>
    </w:lvl>
  </w:abstractNum>
  <w:abstractNum w:abstractNumId="93">
    <w:nsid w:val="3C5991AA"/>
    <w:multiLevelType w:val="hybridMultilevel"/>
    <w:lvl w:ilvl="0">
      <w:lvlJc w:val="left"/>
      <w:lvlText w:val="•"/>
      <w:numFmt w:val="bullet"/>
      <w:start w:val="1"/>
    </w:lvl>
  </w:abstractNum>
  <w:abstractNum w:abstractNumId="94">
    <w:nsid w:val="4BD8591A"/>
    <w:multiLevelType w:val="hybridMultilevel"/>
    <w:lvl w:ilvl="0">
      <w:lvlJc w:val="left"/>
      <w:lvlText w:val="•"/>
      <w:numFmt w:val="bullet"/>
      <w:start w:val="1"/>
    </w:lvl>
  </w:abstractNum>
  <w:abstractNum w:abstractNumId="95">
    <w:nsid w:val="78DF6A55"/>
    <w:multiLevelType w:val="hybridMultilevel"/>
    <w:lvl w:ilvl="0">
      <w:lvlJc w:val="left"/>
      <w:lvlText w:val="%1."/>
      <w:numFmt w:val="decimal"/>
      <w:start w:val="1"/>
    </w:lvl>
    <w:lvl w:ilvl="1">
      <w:lvlJc w:val="left"/>
      <w:lvlText w:val="%2."/>
      <w:numFmt w:val="upperLetter"/>
      <w:start w:val="1"/>
    </w:lvl>
  </w:abstractNum>
  <w:abstractNum w:abstractNumId="96">
    <w:nsid w:val="39B7AAA2"/>
    <w:multiLevelType w:val="hybridMultilevel"/>
    <w:lvl w:ilvl="0">
      <w:lvlJc w:val="left"/>
      <w:lvlText w:val="%1."/>
      <w:numFmt w:val="decimal"/>
      <w:start w:val="3"/>
    </w:lvl>
    <w:lvl w:ilvl="1">
      <w:lvlJc w:val="left"/>
      <w:lvlText w:val="%2"/>
      <w:numFmt w:val="upperLetter"/>
      <w:start w:val="1"/>
    </w:lvl>
  </w:abstractNum>
  <w:abstractNum w:abstractNumId="97">
    <w:nsid w:val="2B0D8DBE"/>
    <w:multiLevelType w:val="hybridMultilevel"/>
    <w:lvl w:ilvl="0">
      <w:lvlJc w:val="left"/>
      <w:lvlText w:val="%1"/>
      <w:numFmt w:val="decimal"/>
      <w:start w:val="1"/>
    </w:lvl>
    <w:lvl w:ilvl="1">
      <w:lvlJc w:val="left"/>
      <w:lvlText w:val="%2."/>
      <w:numFmt w:val="upperLetter"/>
      <w:start w:val="2"/>
    </w:lvl>
  </w:abstractNum>
  <w:abstractNum w:abstractNumId="98">
    <w:nsid w:val="6C80EC70"/>
    <w:multiLevelType w:val="hybridMultilevel"/>
    <w:lvl w:ilvl="0">
      <w:lvlJc w:val="left"/>
      <w:lvlText w:val="%1."/>
      <w:numFmt w:val="decimal"/>
      <w:start w:val="4"/>
    </w:lvl>
    <w:lvl w:ilvl="1">
      <w:lvlJc w:val="left"/>
      <w:lvlText w:val="%2."/>
      <w:numFmt w:val="upperLetter"/>
      <w:start w:val="1"/>
    </w:lvl>
  </w:abstractNum>
  <w:abstractNum w:abstractNumId="99">
    <w:nsid w:val="379E21B5"/>
    <w:multiLevelType w:val="hybridMultilevel"/>
    <w:lvl w:ilvl="0">
      <w:lvlJc w:val="left"/>
      <w:lvlText w:val="%1"/>
      <w:numFmt w:val="lowerRoman"/>
      <w:start w:val="1"/>
    </w:lvl>
    <w:lvl w:ilvl="1">
      <w:lvlJc w:val="left"/>
      <w:lvlText w:val="(%2)"/>
      <w:numFmt w:val="decimal"/>
      <w:start w:val="1"/>
    </w:lvl>
  </w:abstractNum>
  <w:abstractNum w:abstractNumId="100">
    <w:nsid w:val="69E373"/>
    <w:multiLevelType w:val="hybridMultilevel"/>
    <w:lvl w:ilvl="0">
      <w:lvlJc w:val="left"/>
      <w:lvlText w:val="(%1)"/>
      <w:numFmt w:val="lowerRoman"/>
      <w:start w:val="2"/>
    </w:lvl>
    <w:lvl w:ilvl="1">
      <w:lvlJc w:val="left"/>
      <w:lvlText w:val="(%2)"/>
      <w:numFmt w:val="decimal"/>
      <w:start w:val="4"/>
    </w:lvl>
  </w:abstractNum>
  <w:abstractNum w:abstractNumId="101">
    <w:nsid w:val="2C27173B"/>
    <w:multiLevelType w:val="hybridMultilevel"/>
    <w:lvl w:ilvl="0">
      <w:lvlJc w:val="left"/>
      <w:lvlText w:val="%1."/>
      <w:numFmt w:val="decimal"/>
      <w:start w:val="5"/>
    </w:lvl>
  </w:abstractNum>
  <w:abstractNum w:abstractNumId="102">
    <w:nsid w:val="4C9B0904"/>
    <w:multiLevelType w:val="hybridMultilevel"/>
    <w:lvl w:ilvl="0">
      <w:lvlJc w:val="left"/>
      <w:lvlText w:val="(%1)"/>
      <w:numFmt w:val="decimal"/>
      <w:start w:val="365"/>
    </w:lvl>
  </w:abstractNum>
  <w:abstractNum w:abstractNumId="103">
    <w:nsid w:val="6AA7B75C"/>
    <w:multiLevelType w:val="hybridMultilevel"/>
    <w:lvl w:ilvl="0">
      <w:lvlJc w:val="left"/>
      <w:lvlText w:val="%1."/>
      <w:numFmt w:val="upperLetter"/>
      <w:start w:val="2"/>
    </w:lvl>
    <w:lvl w:ilvl="1">
      <w:lvlJc w:val="left"/>
      <w:lvlText w:val="(%2)"/>
      <w:numFmt w:val="lowerRoman"/>
      <w:start w:val="1"/>
    </w:lvl>
  </w:abstractNum>
  <w:abstractNum w:abstractNumId="104">
    <w:nsid w:val="1DF029D3"/>
    <w:multiLevelType w:val="hybridMultilevel"/>
    <w:lvl w:ilvl="0">
      <w:lvlJc w:val="left"/>
      <w:lvlText w:val="%1"/>
      <w:numFmt w:val="upperLetter"/>
      <w:start w:val="1"/>
    </w:lvl>
    <w:lvl w:ilvl="1">
      <w:lvlJc w:val="left"/>
      <w:lvlText w:val="(%2)"/>
      <w:numFmt w:val="lowerRoman"/>
      <w:start w:val="2"/>
    </w:lvl>
  </w:abstractNum>
  <w:abstractNum w:abstractNumId="105">
    <w:nsid w:val="5675FF36"/>
    <w:multiLevelType w:val="hybridMultilevel"/>
    <w:lvl w:ilvl="0">
      <w:lvlJc w:val="left"/>
      <w:lvlText w:val="%1."/>
      <w:numFmt w:val="upperLetter"/>
      <w:start w:val="3"/>
    </w:lvl>
    <w:lvl w:ilvl="1">
      <w:lvlJc w:val="left"/>
      <w:lvlText w:val="(%2)"/>
      <w:numFmt w:val="lowerRoman"/>
      <w:start w:val="1"/>
    </w:lvl>
  </w:abstractNum>
  <w:abstractNum w:abstractNumId="106">
    <w:nsid w:val="3DD1509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3"/>
    </w:lvl>
  </w:abstractNum>
  <w:abstractNum w:abstractNumId="107">
    <w:nsid w:val="3DB012B3"/>
    <w:multiLevelType w:val="hybridMultilevel"/>
    <w:lvl w:ilvl="0">
      <w:lvlJc w:val="left"/>
      <w:lvlText w:val="%1"/>
      <w:numFmt w:val="decimal"/>
      <w:start w:val="1"/>
    </w:lvl>
    <w:lvl w:ilvl="1">
      <w:lvlJc w:val="left"/>
      <w:lvlText w:val="%2."/>
      <w:numFmt w:val="upperLetter"/>
      <w:start w:val="5"/>
    </w:lvl>
    <w:lvl w:ilvl="2">
      <w:lvlJc w:val="left"/>
      <w:lvlText w:val="%3"/>
      <w:numFmt w:val="lowerRoman"/>
      <w:start w:val="1"/>
    </w:lvl>
  </w:abstractNum>
  <w:abstractNum w:abstractNumId="108">
    <w:nsid w:val="2708C9AF"/>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109">
    <w:nsid w:val="5B25ACE2"/>
    <w:multiLevelType w:val="hybridMultilevel"/>
    <w:lvl w:ilvl="0">
      <w:lvlJc w:val="left"/>
      <w:lvlText w:val="%1."/>
      <w:numFmt w:val="decimal"/>
      <w:start w:val="7"/>
    </w:lvl>
  </w:abstractNum>
  <w:abstractNum w:abstractNumId="110">
    <w:nsid w:val="175DFCF0"/>
    <w:multiLevelType w:val="hybridMultilevel"/>
    <w:lvl w:ilvl="0">
      <w:lvlJc w:val="left"/>
      <w:lvlText w:val="%1."/>
      <w:numFmt w:val="decimal"/>
      <w:start w:val="8"/>
    </w:lvl>
  </w:abstractNum>
  <w:abstractNum w:abstractNumId="111">
    <w:nsid w:val="4F97E3E4"/>
    <w:multiLevelType w:val="hybridMultilevel"/>
    <w:lvl w:ilvl="0">
      <w:lvlJc w:val="left"/>
      <w:lvlText w:val="%1."/>
      <w:numFmt w:val="decimal"/>
      <w:start w:val="9"/>
    </w:lvl>
    <w:lvl w:ilvl="1">
      <w:lvlJc w:val="left"/>
      <w:lvlText w:val="%2."/>
      <w:numFmt w:val="upperLetter"/>
      <w:start w:val="1"/>
    </w:lvl>
  </w:abstractNum>
  <w:abstractNum w:abstractNumId="112">
    <w:nsid w:val="53B0A9E"/>
    <w:multiLevelType w:val="hybridMultilevel"/>
    <w:lvl w:ilvl="0">
      <w:lvlJc w:val="left"/>
      <w:lvlText w:val="%1."/>
      <w:numFmt w:val="decimal"/>
      <w:start w:val="11"/>
    </w:lvl>
  </w:abstractNum>
  <w:abstractNum w:abstractNumId="113">
    <w:nsid w:val="34FD6B4F"/>
    <w:multiLevelType w:val="hybridMultilevel"/>
    <w:lvl w:ilvl="0">
      <w:lvlJc w:val="left"/>
      <w:lvlText w:val="(%1)"/>
      <w:numFmt w:val="lowerRoman"/>
      <w:start w:val="1"/>
    </w:lvl>
  </w:abstractNum>
  <w:abstractNum w:abstractNumId="114">
    <w:nsid w:val="5915FF32"/>
    <w:multiLevelType w:val="hybridMultilevel"/>
    <w:lvl w:ilvl="0">
      <w:lvlJc w:val="left"/>
      <w:lvlText w:val="%1."/>
      <w:numFmt w:val="decimal"/>
      <w:start w:val="12"/>
    </w:lvl>
  </w:abstractNum>
  <w:abstractNum w:abstractNumId="115">
    <w:nsid w:val="56438D15"/>
    <w:multiLevelType w:val="hybridMultilevel"/>
    <w:lvl w:ilvl="0">
      <w:lvlJc w:val="left"/>
      <w:lvlText w:val="%1."/>
      <w:numFmt w:val="decimal"/>
      <w:start w:val="13"/>
    </w:lvl>
  </w:abstractNum>
  <w:abstractNum w:abstractNumId="116">
    <w:nsid w:val="519E3149"/>
    <w:multiLevelType w:val="hybridMultilevel"/>
    <w:lvl w:ilvl="0">
      <w:lvlJc w:val="left"/>
      <w:lvlText w:val="%1."/>
      <w:numFmt w:val="decimal"/>
      <w:start w:val="14"/>
    </w:lvl>
    <w:lvl w:ilvl="1">
      <w:lvlJc w:val="left"/>
      <w:lvlText w:val="%2."/>
      <w:numFmt w:val="upperLetter"/>
      <w:start w:val="1"/>
    </w:lvl>
  </w:abstractNum>
  <w:abstractNum w:abstractNumId="117">
    <w:nsid w:val="2C6E4AFD"/>
    <w:multiLevelType w:val="hybridMultilevel"/>
    <w:lvl w:ilvl="0">
      <w:lvlJc w:val="left"/>
      <w:lvlText w:val="%1."/>
      <w:numFmt w:val="upperLetter"/>
      <w:start w:val="5"/>
    </w:lvl>
  </w:abstractNum>
  <w:abstractNum w:abstractNumId="118">
    <w:nsid w:val="17A1B582"/>
    <w:multiLevelType w:val="hybridMultilevel"/>
    <w:lvl w:ilvl="0">
      <w:lvlJc w:val="left"/>
      <w:lvlText w:val="%1."/>
      <w:numFmt w:val="decimal"/>
      <w:start w:val="1"/>
    </w:lvl>
  </w:abstractNum>
  <w:abstractNum w:abstractNumId="119">
    <w:nsid w:val="4DF72E4E"/>
    <w:multiLevelType w:val="hybridMultilevel"/>
    <w:lvl w:ilvl="0">
      <w:lvlJc w:val="left"/>
      <w:lvlText w:val="%1."/>
      <w:numFmt w:val="decimal"/>
      <w:start w:val="2"/>
    </w:lvl>
  </w:abstractNum>
  <w:abstractNum w:abstractNumId="120">
    <w:nsid w:val="5046B5A9"/>
    <w:multiLevelType w:val="hybridMultilevel"/>
    <w:lvl w:ilvl="0">
      <w:lvlJc w:val="left"/>
      <w:lvlText w:val="%1."/>
      <w:numFmt w:val="decimal"/>
      <w:start w:val="3"/>
    </w:lvl>
  </w:abstractNum>
  <w:abstractNum w:abstractNumId="121">
    <w:nsid w:val="5D888A08"/>
    <w:multiLevelType w:val="hybridMultilevel"/>
    <w:lvl w:ilvl="0">
      <w:lvlJc w:val="left"/>
      <w:lvlText w:val="(%1)"/>
      <w:numFmt w:val="lowerRoman"/>
      <w:start w:val="1"/>
    </w:lvl>
  </w:abstractNum>
  <w:abstractNum w:abstractNumId="122">
    <w:nsid w:val="2A082C70"/>
    <w:multiLevelType w:val="hybridMultilevel"/>
    <w:lvl w:ilvl="0">
      <w:lvlJc w:val="left"/>
      <w:lvlText w:val="%1."/>
      <w:numFmt w:val="decimal"/>
      <w:start w:val="6"/>
    </w:lvl>
  </w:abstractNum>
  <w:abstractNum w:abstractNumId="123">
    <w:nsid w:val="5EC6AFD4"/>
    <w:multiLevelType w:val="hybridMultilevel"/>
    <w:lvl w:ilvl="0">
      <w:lvlJc w:val="left"/>
      <w:lvlText w:val="%1."/>
      <w:numFmt w:val="decimal"/>
      <w:start w:val="7"/>
    </w:lvl>
  </w:abstractNum>
  <w:abstractNum w:abstractNumId="124">
    <w:nsid w:val="19E21BB2"/>
    <w:multiLevelType w:val="hybridMultilevel"/>
    <w:lvl w:ilvl="0">
      <w:lvlJc w:val="left"/>
      <w:lvlText w:val="%1."/>
      <w:numFmt w:val="decimal"/>
      <w:start w:val="8"/>
    </w:lvl>
  </w:abstractNum>
  <w:abstractNum w:abstractNumId="125">
    <w:nsid w:val="75E0858A"/>
    <w:multiLevelType w:val="hybridMultilevel"/>
    <w:lvl w:ilvl="0">
      <w:lvlJc w:val="left"/>
      <w:lvlText w:val="(%1)"/>
      <w:numFmt w:val="lowerLetter"/>
      <w:start w:val="2"/>
    </w:lvl>
  </w:abstractNum>
  <w:abstractNum w:abstractNumId="126">
    <w:nsid w:val="57A61A29"/>
    <w:multiLevelType w:val="hybridMultilevel"/>
    <w:lvl w:ilvl="0">
      <w:lvlJc w:val="left"/>
      <w:lvlText w:val="%1."/>
      <w:numFmt w:val="decimal"/>
      <w:start w:val="9"/>
    </w:lvl>
  </w:abstractNum>
  <w:abstractNum w:abstractNumId="127">
    <w:nsid w:val="5399C654"/>
    <w:multiLevelType w:val="hybridMultilevel"/>
    <w:lvl w:ilvl="0">
      <w:lvlJc w:val="left"/>
      <w:lvlText w:val="%1."/>
      <w:numFmt w:val="decimal"/>
      <w:start w:val="10"/>
    </w:lvl>
  </w:abstractNum>
  <w:abstractNum w:abstractNumId="128">
    <w:nsid w:val="20EE1348"/>
    <w:multiLevelType w:val="hybridMultilevel"/>
    <w:lvl w:ilvl="0">
      <w:lvlJc w:val="left"/>
      <w:lvlText w:val="I"/>
      <w:numFmt w:val="bullet"/>
      <w:start w:val="1"/>
    </w:lvl>
  </w:abstractNum>
  <w:abstractNum w:abstractNumId="129">
    <w:nsid w:val="4427069A"/>
    <w:multiLevelType w:val="hybridMultilevel"/>
    <w:lvl w:ilvl="0">
      <w:lvlJc w:val="left"/>
      <w:lvlText w:val="*"/>
      <w:numFmt w:val="bullet"/>
      <w:start w:val="1"/>
    </w:lvl>
  </w:abstractNum>
  <w:abstractNum w:abstractNumId="130">
    <w:nsid w:val="B37E80A"/>
    <w:multiLevelType w:val="hybridMultilevel"/>
    <w:lvl w:ilvl="0">
      <w:lvlJc w:val="left"/>
      <w:lvlText w:val="(%1)"/>
      <w:numFmt w:val="decimal"/>
      <w:start w:val="1"/>
    </w:lvl>
  </w:abstractNum>
  <w:abstractNum w:abstractNumId="131">
    <w:nsid w:val="2157F6BC"/>
    <w:multiLevelType w:val="hybridMultilevel"/>
    <w:lvl w:ilvl="0">
      <w:lvlJc w:val="left"/>
      <w:lvlText w:val="%1."/>
      <w:numFmt w:val="decimal"/>
      <w:start w:val="1"/>
    </w:lvl>
    <w:lvl w:ilvl="1">
      <w:lvlJc w:val="left"/>
      <w:lvlText w:val="%2."/>
      <w:numFmt w:val="lowerLetter"/>
      <w:start w:val="1"/>
    </w:lvl>
  </w:abstractNum>
  <w:abstractNum w:abstractNumId="132">
    <w:nsid w:val="704E1DD5"/>
    <w:multiLevelType w:val="hybridMultilevel"/>
    <w:lvl w:ilvl="0">
      <w:lvlJc w:val="left"/>
      <w:lvlText w:val="%1."/>
      <w:numFmt w:val="decimal"/>
      <w:start w:val="1"/>
    </w:lvl>
    <w:lvl w:ilvl="1">
      <w:lvlJc w:val="left"/>
      <w:lvlText w:val="%2."/>
      <w:numFmt w:val="lowerLetter"/>
      <w:start w:val="1"/>
    </w:lvl>
  </w:abstractNum>
  <w:abstractNum w:abstractNumId="133">
    <w:nsid w:val="57D2F10E"/>
    <w:multiLevelType w:val="hybridMultilevel"/>
    <w:lvl w:ilvl="0">
      <w:lvlJc w:val="left"/>
      <w:lvlText w:val="%1."/>
      <w:numFmt w:val="decimal"/>
      <w:start w:val="1"/>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209" Type="http://schemas.openxmlformats.org/officeDocument/2006/relationships/image" Target="media/image187.png"/><Relationship Id="rId227" Type="http://schemas.openxmlformats.org/officeDocument/2006/relationships/image" Target="media/image188.png"/><Relationship Id="rId232" Type="http://schemas.openxmlformats.org/officeDocument/2006/relationships/image" Target="media/image189.png"/><Relationship Id="rId233" Type="http://schemas.openxmlformats.org/officeDocument/2006/relationships/image" Target="media/image190.png"/><Relationship Id="rId234" Type="http://schemas.openxmlformats.org/officeDocument/2006/relationships/image" Target="media/image191.png"/><Relationship Id="rId235" Type="http://schemas.openxmlformats.org/officeDocument/2006/relationships/image" Target="media/image192.png"/><Relationship Id="rId236" Type="http://schemas.openxmlformats.org/officeDocument/2006/relationships/image" Target="media/image193.png"/><Relationship Id="rId237" Type="http://schemas.openxmlformats.org/officeDocument/2006/relationships/image" Target="media/image194.png"/><Relationship Id="rId238" Type="http://schemas.openxmlformats.org/officeDocument/2006/relationships/image" Target="media/image195.jpeg"/><Relationship Id="rId239" Type="http://schemas.openxmlformats.org/officeDocument/2006/relationships/image" Target="media/image196.jpeg"/><Relationship Id="rId240" Type="http://schemas.openxmlformats.org/officeDocument/2006/relationships/image" Target="media/image197.jpeg"/><Relationship Id="rId241" Type="http://schemas.openxmlformats.org/officeDocument/2006/relationships/image" Target="media/image198.png"/><Relationship Id="rId242" Type="http://schemas.openxmlformats.org/officeDocument/2006/relationships/image" Target="media/image199.png"/><Relationship Id="rId243" Type="http://schemas.openxmlformats.org/officeDocument/2006/relationships/image" Target="media/image200.png"/><Relationship Id="rId244" Type="http://schemas.openxmlformats.org/officeDocument/2006/relationships/image" Target="media/image201.png"/><Relationship Id="rId194" Type="http://schemas.openxmlformats.org/officeDocument/2006/relationships/hyperlink" Target="https://www.sec.gov/Archives/edgar/data/0001818331/000162828021013404/sema4proxy.htm#i8b8880c1ddfa423593153735d1fc233d_1878" TargetMode="External"/><Relationship Id="rId195" Type="http://schemas.openxmlformats.org/officeDocument/2006/relationships/hyperlink" Target="https://www.sec.gov/Archives/edgar/data/0001818331/000181833122000010/exhibit21-mergeragreement2.htm" TargetMode="External"/><Relationship Id="rId196" Type="http://schemas.openxmlformats.org/officeDocument/2006/relationships/hyperlink" Target="https://www.sec.gov/Archives/edgar/data/0001818331/000162828021014760/exhibit31-super8xk.htm" TargetMode="External"/><Relationship Id="rId197" Type="http://schemas.openxmlformats.org/officeDocument/2006/relationships/hyperlink" Target="https://www.sec.gov/Archives/edgar/data/0001818331/000162828021014760/exhibit32-super8xk.htm" TargetMode="External"/><Relationship Id="rId198" Type="http://schemas.openxmlformats.org/officeDocument/2006/relationships/hyperlink" Target="https://www.sec.gov/Archives/edgar/data/0001818331/000121390020023383/fs12020a1ex4-2_cmlifesci.htm" TargetMode="External"/><Relationship Id="rId199" Type="http://schemas.openxmlformats.org/officeDocument/2006/relationships/hyperlink" Target="https://www.sec.gov/Archives/edgar/data/0001818331/000121390020023383/fs12020a1ex4-3_cmlifesci.htm" TargetMode="External"/><Relationship Id="rId200" Type="http://schemas.openxmlformats.org/officeDocument/2006/relationships/hyperlink" Target="https://www.sec.gov/Archives/edgar/data/0001818331/000121390020025454/ea126481ex10-1_cmlife.htm" TargetMode="External"/><Relationship Id="rId201" Type="http://schemas.openxmlformats.org/officeDocument/2006/relationships/hyperlink" Target="https://www.sec.gov/Archives/edgar/data/0001818331/000162828021014760/exhibit102-super8xk.htm" TargetMode="External"/><Relationship Id="rId202" Type="http://schemas.openxmlformats.org/officeDocument/2006/relationships/hyperlink" Target="https://www.sec.gov/Archives/edgar/data/0001818331/000162828021014760/exhibit104-super8xk.htm" TargetMode="External"/><Relationship Id="rId203" Type="http://schemas.openxmlformats.org/officeDocument/2006/relationships/hyperlink" Target="https://www.sec.gov/Archives/edgar/data/0001818331/000162828021014760/exhibit105-super8xk.htm" TargetMode="External"/><Relationship Id="rId204" Type="http://schemas.openxmlformats.org/officeDocument/2006/relationships/hyperlink" Target="https://www.sec.gov/Archives/edgar/data/0001818331/000162828021014760/exhibit106-super8xk.htm" TargetMode="External"/><Relationship Id="rId205" Type="http://schemas.openxmlformats.org/officeDocument/2006/relationships/hyperlink" Target="https://www.sec.gov/Archives/edgar/data/0001818331/000162828021014760/exhibit107-super8xk.htm" TargetMode="External"/><Relationship Id="rId206" Type="http://schemas.openxmlformats.org/officeDocument/2006/relationships/hyperlink" Target="https://www.sec.gov/Archives/edgar/data/0001818331/000162828021014760/exhibit108-super8xk.htm" TargetMode="External"/><Relationship Id="rId207" Type="http://schemas.openxmlformats.org/officeDocument/2006/relationships/hyperlink" Target="https://www.sec.gov/Archives/edgar/data/0001818331/000162828021014760/exhibit109-super8xk.htm" TargetMode="External"/><Relationship Id="rId208" Type="http://schemas.openxmlformats.org/officeDocument/2006/relationships/hyperlink" Target="https://www.sec.gov/Archives/edgar/data/0001818331/000162828021014760/exhibit1010-super8xk.htm" TargetMode="External"/><Relationship Id="rId210" Type="http://schemas.openxmlformats.org/officeDocument/2006/relationships/hyperlink" Target="https://www.sec.gov/Archives/edgar/data/0001818331/000162828021014760/exhibit1011-super8xk.htm" TargetMode="External"/><Relationship Id="rId211" Type="http://schemas.openxmlformats.org/officeDocument/2006/relationships/hyperlink" Target="https://www.sec.gov/Archives/edgar/data/0001818331/000162828021014760/exhibit1013-super8xk.htm" TargetMode="External"/><Relationship Id="rId212" Type="http://schemas.openxmlformats.org/officeDocument/2006/relationships/hyperlink" Target="https://www.sec.gov/Archives/edgar/data/0001818331/000162828021014760/exhibit1017-super8xk.htm" TargetMode="External"/><Relationship Id="rId213" Type="http://schemas.openxmlformats.org/officeDocument/2006/relationships/hyperlink" Target="https://www.sec.gov/Archives/edgar/data/0001818331/000162828021014760/exhibit1018-super8xk.htm" TargetMode="External"/><Relationship Id="rId214" Type="http://schemas.openxmlformats.org/officeDocument/2006/relationships/hyperlink" Target="https://www.sec.gov/Archives/edgar/data/0001818331/000162828021014760/exhibit1019-super8xk.htm" TargetMode="External"/><Relationship Id="rId215" Type="http://schemas.openxmlformats.org/officeDocument/2006/relationships/hyperlink" Target="https://www.sec.gov/Archives/edgar/data/0001818331/000162828021014760/exhibit1020-super8xk.htm" TargetMode="External"/><Relationship Id="rId216" Type="http://schemas.openxmlformats.org/officeDocument/2006/relationships/hyperlink" Target="https://www.sec.gov/Archives/edgar/data/0001818331/000162828021014760/exhibit1021-super8xk.htm" TargetMode="External"/><Relationship Id="rId217" Type="http://schemas.openxmlformats.org/officeDocument/2006/relationships/hyperlink" Target="https://www.sec.gov/Archives/edgar/data/0001818331/000162828021014760/exhibit1022-super8xk.htm" TargetMode="External"/><Relationship Id="rId218" Type="http://schemas.openxmlformats.org/officeDocument/2006/relationships/hyperlink" Target="https://www.sec.gov/Archives/edgar/data/0001818331/000162828021014760/exhibit1023-super8xk.htm" TargetMode="External"/><Relationship Id="rId219" Type="http://schemas.openxmlformats.org/officeDocument/2006/relationships/hyperlink" Target="https://www.sec.gov/Archives/edgar/data/0001818331/000162828021014760/exhibit1024-super8xk.htm" TargetMode="External"/><Relationship Id="rId220" Type="http://schemas.openxmlformats.org/officeDocument/2006/relationships/hyperlink" Target="https://www.sec.gov/Archives/edgar/data/0001818331/000162828021014760/exhibit1025-super8xk.htm" TargetMode="External"/><Relationship Id="rId221" Type="http://schemas.openxmlformats.org/officeDocument/2006/relationships/hyperlink" Target="https://www.sec.gov/Archives/edgar/data/0001818331/000162828021014760/exhibit1026-super8xk.htm" TargetMode="External"/><Relationship Id="rId222" Type="http://schemas.openxmlformats.org/officeDocument/2006/relationships/hyperlink" Target="https://www.sec.gov/Archives/edgar/data/0001818331/000162828021014760/exhibit1027-super8xk.htm" TargetMode="External"/><Relationship Id="rId223" Type="http://schemas.openxmlformats.org/officeDocument/2006/relationships/hyperlink" Target="https://www.sec.gov/Archives/edgar/data/0001818331/000162828021019193/exhibit996-sx8.htm" TargetMode="External"/><Relationship Id="rId224" Type="http://schemas.openxmlformats.org/officeDocument/2006/relationships/hyperlink" Target="https://www.sec.gov/Archives/edgar/data/0001818331/000181833121000012/sema4-svbxxloanandsecurity.htm" TargetMode="External"/><Relationship Id="rId225" Type="http://schemas.openxmlformats.org/officeDocument/2006/relationships/hyperlink" Target="https://www.sec.gov/Archives/edgar/data/0001818331/000121390021008253/ea135116ex10-2_cmlife.htm" TargetMode="External"/><Relationship Id="rId226" Type="http://schemas.openxmlformats.org/officeDocument/2006/relationships/hyperlink" Target="https://www.sec.gov/Archives/edgar/data/0001818331/000121390021008253/ea135116ex10-1_cmlife.htm" TargetMode="External"/><Relationship Id="rId228" Type="http://schemas.openxmlformats.org/officeDocument/2006/relationships/hyperlink" Target="https://www.sec.gov/Archives/edgar/data/1818331/000181833122000010/exhibit102-formofsharehold.htm" TargetMode="External"/><Relationship Id="rId229" Type="http://schemas.openxmlformats.org/officeDocument/2006/relationships/hyperlink" Target="https://www.sec.gov/Archives/edgar/data/1818331/000181833122000010/exhibit103-formofstockhold.htm" TargetMode="External"/><Relationship Id="rId230" Type="http://schemas.openxmlformats.org/officeDocument/2006/relationships/hyperlink" Target="https://www.sec.gov/Archives/edgar/data/1818331/000181833122000010/exhibit104-formofpipeinves.htm" TargetMode="External"/><Relationship Id="rId231" Type="http://schemas.openxmlformats.org/officeDocument/2006/relationships/hyperlink" Target="https://www.sec.gov/Archives/edgar/data/1818331/000181833122000022/sema4-separatio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2022-03-14T15:44:02Z</dcterms:created>
  <dcterms:modified xsi:type="dcterms:W3CDTF">2022-03-14T15:44:02Z</dcterms:modified>
</cp:coreProperties>
</file>