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6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-231140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-607695</wp:posOffset>
            </wp:positionV>
            <wp:extent cx="57150" cy="6210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3933190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19685</wp:posOffset>
            </wp:positionV>
            <wp:extent cx="7048500" cy="4369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369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14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Stueland Katherine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GENEDX HOLDINGS CORP.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333 LUDLOW ST., NORTH TOWER, 6TH FLOOR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STAMFORD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06902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0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GeneDx Holdings Corp.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04/26/2023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10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Form filed by More than One Reporting Person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20" w:right="3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560" w:space="280"/>
            <w:col w:w="7240"/>
          </w:cols>
          <w:pgMar w:left="460" w:top="214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9,900,000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8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04/26/2023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9,900,000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9,900,000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1 share of the Issuer's Class A Common Stock upon settlement for no consideration.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6.25% vest in quarterly installments over the four-year period commencing on March 16, 2023 until fully vested, subject to the Reporting Person's continued service to the Issuer on each vesting date.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/s/ Bridget Brown,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04/27/2023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Fact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9575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2023-04-27T19:49:16Z</dcterms:created>
  <dcterms:modified xsi:type="dcterms:W3CDTF">2023-04-27T19:49:16Z</dcterms:modified>
</cp:coreProperties>
</file>