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 Casdin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CM Life Sciences,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Corvex Management LP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667 Madison Avenue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10065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CM Life Sciences,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Proxy Statement on Schedule PREM14A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June 28, 2021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001-39482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Casdin: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filing and have the following comment.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Preliminary Proxy Statement on Schedule PREM14A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Related Agreements, page 31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768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disclosure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section that the summary disclosure of the Related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is qualified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its entirety by reference to the complete text of each of the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Agreements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forms of the Forfeiture Agreement, Shareholder Lock-up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Letter, Sponsor Support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Agreement, and Subscription Agreement are attached hereto as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Annexes C, D, and E,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respectively. However, we do not see that you have included</w:t>
      </w:r>
    </w:p>
    <w:p>
      <w:pPr>
        <w:jc w:val="right"/>
        <w:ind w:right="275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Forfeiture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right"/>
        <w:ind w:right="2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Agreement, Shareholder Lock-up Letter and Sponsor Support Agreement as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ind w:right="2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annexes in your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ind w:right="2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preliminary proxy statement. Please include those agreements as annexes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proxy statement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revise this section to refer to the correct annexes, or revise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as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97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 Casdin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CM Life Sciences,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30,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97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Jenn Do at 202-551-3743 or Terence O'Brien at 202-551-3355 if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Ada D. Sarmento at 202-551-3798 or Tim Buchmiller at 202-551-3635 with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LastNameEli Casdin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NameCM Life Sciences, Inc.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30, 2021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75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Colin J. Diamond,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2021-08-03T23:04:35Z</dcterms:created>
  <dcterms:modified xsi:type="dcterms:W3CDTF">2021-08-03T23:04:35Z</dcterms:modified>
</cp:coreProperties>
</file>