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gridSpan w:val="2"/>
          </w:tcPr>
          <w:p>
            <w:pPr>
              <w:jc w:val="right"/>
              <w:ind w:right="200"/>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880" w:type="dxa"/>
            <w:vAlign w:val="bottom"/>
            <w:vMerge w:val="restart"/>
          </w:tcPr>
          <w:p>
            <w:pPr>
              <w:spacing w:after="0" w:line="256" w:lineRule="exact"/>
              <w:rPr>
                <w:rFonts w:ascii="Arial" w:cs="Arial" w:eastAsia="Arial" w:hAnsi="Arial"/>
                <w:sz w:val="24"/>
                <w:szCs w:val="24"/>
                <w:color w:val="0000EE"/>
                <w:w w:val="89"/>
              </w:rPr>
            </w:pPr>
            <w:hyperlink r:id="rId10">
              <w:r>
                <w:rPr>
                  <w:rFonts w:ascii="Arial" w:cs="Arial" w:eastAsia="Arial" w:hAnsi="Arial"/>
                  <w:sz w:val="24"/>
                  <w:szCs w:val="24"/>
                  <w:color w:val="0000EE"/>
                  <w:w w:val="89"/>
                </w:rPr>
                <w:t>Blackstone Tactical</w:t>
              </w:r>
            </w:hyperlink>
          </w:p>
        </w:tc>
        <w:tc>
          <w:tcPr>
            <w:tcW w:w="900" w:type="dxa"/>
            <w:vAlign w:val="bottom"/>
            <w:vMerge w:val="restart"/>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880" w:type="dxa"/>
            <w:vAlign w:val="bottom"/>
            <w:tcBorders>
              <w:bottom w:val="single" w:sz="8" w:color="0000EE"/>
            </w:tcBorders>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820" w:type="dxa"/>
            <w:vAlign w:val="bottom"/>
            <w:tcBorders>
              <w:bottom w:val="single" w:sz="8" w:color="0000EE"/>
            </w:tcBorders>
            <w:gridSpan w:val="3"/>
          </w:tcPr>
          <w:p>
            <w:pPr>
              <w:spacing w:after="0" w:line="250" w:lineRule="exact"/>
              <w:rPr>
                <w:rFonts w:ascii="Arial" w:cs="Arial" w:eastAsia="Arial" w:hAnsi="Arial"/>
                <w:sz w:val="24"/>
                <w:szCs w:val="24"/>
                <w:color w:val="0000EE"/>
                <w:w w:val="91"/>
              </w:rPr>
            </w:pPr>
            <w:hyperlink r:id="rId10">
              <w:r>
                <w:rPr>
                  <w:rFonts w:ascii="Arial" w:cs="Arial" w:eastAsia="Arial" w:hAnsi="Arial"/>
                  <w:sz w:val="24"/>
                  <w:szCs w:val="24"/>
                  <w:color w:val="0000EE"/>
                  <w:w w:val="91"/>
                </w:rPr>
                <w:t>Opportunities Fund - FD L.P.</w:t>
              </w:r>
            </w:hyperlink>
          </w:p>
        </w:tc>
        <w:tc>
          <w:tcPr>
            <w:tcW w:w="20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Arial" w:cs="Arial" w:eastAsia="Arial" w:hAnsi="Arial"/>
                <w:sz w:val="20"/>
                <w:szCs w:val="20"/>
                <w:color w:val="0000FF"/>
              </w:rPr>
              <w:t>07/22/2021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0"/>
          <w:szCs w:val="20"/>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Sema4 Holdings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SMFR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85" w:lineRule="exact"/>
        <w:rPr>
          <w:sz w:val="20"/>
          <w:szCs w:val="20"/>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40"/>
              <w:spacing w:after="0"/>
              <w:rPr>
                <w:sz w:val="20"/>
                <w:szCs w:val="20"/>
                <w:color w:val="auto"/>
              </w:rPr>
            </w:pPr>
            <w:r>
              <w:rPr>
                <w:rFonts w:ascii="Arial" w:cs="Arial" w:eastAsia="Arial" w:hAnsi="Arial"/>
                <w:sz w:val="15"/>
                <w:szCs w:val="15"/>
                <w:color w:val="auto"/>
              </w:rPr>
              <w:t>(First)</w:t>
            </w:r>
          </w:p>
        </w:tc>
        <w:tc>
          <w:tcPr>
            <w:tcW w:w="1200" w:type="dxa"/>
            <w:vAlign w:val="bottom"/>
          </w:tcPr>
          <w:p>
            <w:pPr>
              <w:ind w:left="2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BLACKSTONE INC.</w:t>
            </w:r>
          </w:p>
        </w:tc>
        <w:tc>
          <w:tcPr>
            <w:tcW w:w="0" w:type="dxa"/>
            <w:vAlign w:val="bottom"/>
          </w:tcPr>
          <w:p>
            <w:pPr>
              <w:spacing w:after="0"/>
              <w:rPr>
                <w:sz w:val="1"/>
                <w:szCs w:val="1"/>
                <w:color w:val="auto"/>
              </w:rPr>
            </w:pPr>
          </w:p>
        </w:tc>
      </w:tr>
      <w:tr>
        <w:trPr>
          <w:trHeight w:val="300"/>
        </w:trPr>
        <w:tc>
          <w:tcPr>
            <w:tcW w:w="1900" w:type="dxa"/>
            <w:vAlign w:val="bottom"/>
            <w:gridSpan w:val="2"/>
          </w:tcPr>
          <w:p>
            <w:pPr>
              <w:ind w:left="40"/>
              <w:spacing w:after="0"/>
              <w:rPr>
                <w:sz w:val="20"/>
                <w:szCs w:val="20"/>
                <w:color w:val="auto"/>
              </w:rPr>
            </w:pPr>
            <w:r>
              <w:rPr>
                <w:rFonts w:ascii="Arial" w:cs="Arial" w:eastAsia="Arial" w:hAnsi="Arial"/>
                <w:sz w:val="20"/>
                <w:szCs w:val="20"/>
                <w:color w:val="0000FF"/>
              </w:rPr>
              <w:t>345 PARK AVENUE</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108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200" w:type="dxa"/>
            <w:vAlign w:val="bottom"/>
            <w:vMerge w:val="restart"/>
          </w:tcPr>
          <w:p>
            <w:pPr>
              <w:ind w:left="200"/>
              <w:spacing w:after="0"/>
              <w:rPr>
                <w:sz w:val="20"/>
                <w:szCs w:val="20"/>
                <w:color w:val="auto"/>
              </w:rPr>
            </w:pPr>
            <w:r>
              <w:rPr>
                <w:rFonts w:ascii="Arial" w:cs="Arial" w:eastAsia="Arial" w:hAnsi="Arial"/>
                <w:sz w:val="20"/>
                <w:szCs w:val="20"/>
                <w:color w:val="0000FF"/>
              </w:rPr>
              <w:t>10154</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108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0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395" w:lineRule="exact"/>
        <w:rPr>
          <w:sz w:val="20"/>
          <w:szCs w:val="20"/>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6"/>
        </w:trPr>
        <w:tc>
          <w:tcPr>
            <w:tcW w:w="20" w:type="dxa"/>
            <w:vAlign w:val="bottom"/>
          </w:tcPr>
          <w:p>
            <w:pPr>
              <w:spacing w:after="0"/>
              <w:rPr>
                <w:sz w:val="4"/>
                <w:szCs w:val="4"/>
                <w:color w:val="auto"/>
              </w:rPr>
            </w:pPr>
          </w:p>
        </w:tc>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400" w:type="dxa"/>
            <w:vAlign w:val="bottom"/>
            <w:tcBorders>
              <w:bottom w:val="single" w:sz="8" w:color="2C2C2C"/>
            </w:tcBorders>
          </w:tcPr>
          <w:p>
            <w:pPr>
              <w:jc w:val="center"/>
              <w:ind w:left="1352"/>
              <w:spacing w:after="0"/>
              <w:rPr>
                <w:sz w:val="20"/>
                <w:szCs w:val="20"/>
                <w:color w:val="auto"/>
              </w:rPr>
            </w:pPr>
            <w:r>
              <w:rPr>
                <w:rFonts w:ascii="Arial" w:cs="Arial" w:eastAsia="Arial" w:hAnsi="Arial"/>
                <w:sz w:val="20"/>
                <w:szCs w:val="20"/>
                <w:color w:val="0000FF"/>
                <w:w w:val="87"/>
              </w:rPr>
              <w:t>24,404,324</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line="359" w:lineRule="exact"/>
              <w:rPr>
                <w:sz w:val="20"/>
                <w:szCs w:val="20"/>
                <w:color w:val="auto"/>
              </w:rPr>
            </w:pPr>
            <w:r>
              <w:rPr>
                <w:rFonts w:ascii="Arial" w:cs="Arial" w:eastAsia="Arial" w:hAnsi="Arial"/>
                <w:sz w:val="39"/>
                <w:szCs w:val="39"/>
                <w:color w:val="0000FF"/>
                <w:w w:val="95"/>
                <w:vertAlign w:val="subscript"/>
              </w:rPr>
              <w:t>See Footnotes</w:t>
            </w:r>
            <w:r>
              <w:rPr>
                <w:rFonts w:ascii="Arial" w:cs="Arial" w:eastAsia="Arial" w:hAnsi="Arial"/>
                <w:sz w:val="13"/>
                <w:szCs w:val="13"/>
                <w:color w:val="008000"/>
                <w:w w:val="95"/>
              </w:rPr>
              <w:t>(1)(5)(7)(10)(11)(12)</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400" w:type="dxa"/>
            <w:vAlign w:val="bottom"/>
            <w:tcBorders>
              <w:bottom w:val="single" w:sz="8" w:color="2C2C2C"/>
            </w:tcBorders>
          </w:tcPr>
          <w:p>
            <w:pPr>
              <w:jc w:val="center"/>
              <w:ind w:left="1352"/>
              <w:spacing w:after="0"/>
              <w:rPr>
                <w:sz w:val="20"/>
                <w:szCs w:val="20"/>
                <w:color w:val="auto"/>
              </w:rPr>
            </w:pPr>
            <w:r>
              <w:rPr>
                <w:rFonts w:ascii="Arial" w:cs="Arial" w:eastAsia="Arial" w:hAnsi="Arial"/>
                <w:sz w:val="20"/>
                <w:szCs w:val="20"/>
                <w:color w:val="0000FF"/>
                <w:w w:val="88"/>
              </w:rPr>
              <w:t>505,095</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line="359" w:lineRule="exact"/>
              <w:rPr>
                <w:sz w:val="20"/>
                <w:szCs w:val="20"/>
                <w:color w:val="auto"/>
              </w:rPr>
            </w:pPr>
            <w:r>
              <w:rPr>
                <w:rFonts w:ascii="Arial" w:cs="Arial" w:eastAsia="Arial" w:hAnsi="Arial"/>
                <w:sz w:val="39"/>
                <w:szCs w:val="39"/>
                <w:color w:val="0000FF"/>
                <w:w w:val="95"/>
                <w:vertAlign w:val="subscript"/>
              </w:rPr>
              <w:t>See Footnotes</w:t>
            </w:r>
            <w:r>
              <w:rPr>
                <w:rFonts w:ascii="Arial" w:cs="Arial" w:eastAsia="Arial" w:hAnsi="Arial"/>
                <w:sz w:val="13"/>
                <w:szCs w:val="13"/>
                <w:color w:val="008000"/>
                <w:w w:val="95"/>
              </w:rPr>
              <w:t>(2)(6)(7)(10)(11)(12)</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400" w:type="dxa"/>
            <w:vAlign w:val="bottom"/>
            <w:tcBorders>
              <w:bottom w:val="single" w:sz="8" w:color="2C2C2C"/>
            </w:tcBorders>
          </w:tcPr>
          <w:p>
            <w:pPr>
              <w:jc w:val="center"/>
              <w:ind w:left="1352"/>
              <w:spacing w:after="0"/>
              <w:rPr>
                <w:sz w:val="20"/>
                <w:szCs w:val="20"/>
                <w:color w:val="auto"/>
              </w:rPr>
            </w:pPr>
            <w:r>
              <w:rPr>
                <w:rFonts w:ascii="Arial" w:cs="Arial" w:eastAsia="Arial" w:hAnsi="Arial"/>
                <w:sz w:val="20"/>
                <w:szCs w:val="20"/>
                <w:color w:val="0000FF"/>
                <w:w w:val="88"/>
              </w:rPr>
              <w:t>147,574</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line="359" w:lineRule="exact"/>
              <w:rPr>
                <w:sz w:val="20"/>
                <w:szCs w:val="20"/>
                <w:color w:val="auto"/>
              </w:rPr>
            </w:pPr>
            <w:r>
              <w:rPr>
                <w:rFonts w:ascii="Arial" w:cs="Arial" w:eastAsia="Arial" w:hAnsi="Arial"/>
                <w:sz w:val="39"/>
                <w:szCs w:val="39"/>
                <w:color w:val="0000FF"/>
                <w:w w:val="95"/>
                <w:vertAlign w:val="subscript"/>
              </w:rPr>
              <w:t>See Footnotes</w:t>
            </w:r>
            <w:r>
              <w:rPr>
                <w:rFonts w:ascii="Arial" w:cs="Arial" w:eastAsia="Arial" w:hAnsi="Arial"/>
                <w:sz w:val="13"/>
                <w:szCs w:val="13"/>
                <w:color w:val="008000"/>
                <w:w w:val="95"/>
              </w:rPr>
              <w:t>(3)(5)(7)(10)(11)(12)</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400" w:type="dxa"/>
            <w:vAlign w:val="bottom"/>
            <w:tcBorders>
              <w:bottom w:val="single" w:sz="8" w:color="2C2C2C"/>
            </w:tcBorders>
          </w:tcPr>
          <w:p>
            <w:pPr>
              <w:jc w:val="center"/>
              <w:ind w:left="1352"/>
              <w:spacing w:after="0"/>
              <w:rPr>
                <w:sz w:val="20"/>
                <w:szCs w:val="20"/>
                <w:color w:val="auto"/>
              </w:rPr>
            </w:pPr>
            <w:r>
              <w:rPr>
                <w:rFonts w:ascii="Arial" w:cs="Arial" w:eastAsia="Arial" w:hAnsi="Arial"/>
                <w:sz w:val="20"/>
                <w:szCs w:val="20"/>
                <w:color w:val="0000FF"/>
                <w:w w:val="88"/>
              </w:rPr>
              <w:t>100,000</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line="359" w:lineRule="exact"/>
              <w:rPr>
                <w:sz w:val="20"/>
                <w:szCs w:val="20"/>
                <w:color w:val="auto"/>
              </w:rPr>
            </w:pPr>
            <w:r>
              <w:rPr>
                <w:rFonts w:ascii="Arial" w:cs="Arial" w:eastAsia="Arial" w:hAnsi="Arial"/>
                <w:sz w:val="39"/>
                <w:szCs w:val="39"/>
                <w:color w:val="0000FF"/>
                <w:w w:val="95"/>
                <w:vertAlign w:val="subscript"/>
              </w:rPr>
              <w:t>See Footnotes</w:t>
            </w:r>
            <w:r>
              <w:rPr>
                <w:rFonts w:ascii="Arial" w:cs="Arial" w:eastAsia="Arial" w:hAnsi="Arial"/>
                <w:sz w:val="13"/>
                <w:szCs w:val="13"/>
                <w:color w:val="008000"/>
                <w:w w:val="95"/>
              </w:rPr>
              <w:t>(4)(6)(7)(10)(11)(12)</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3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980" w:type="dxa"/>
            <w:vAlign w:val="bottom"/>
          </w:tcPr>
          <w:p>
            <w:pPr>
              <w:ind w:left="80"/>
              <w:spacing w:after="0"/>
              <w:rPr>
                <w:sz w:val="20"/>
                <w:szCs w:val="20"/>
                <w:color w:val="auto"/>
              </w:rPr>
            </w:pPr>
            <w:r>
              <w:rPr>
                <w:rFonts w:ascii="Arial" w:cs="Arial" w:eastAsia="Arial" w:hAnsi="Arial"/>
                <w:sz w:val="15"/>
                <w:szCs w:val="15"/>
                <w:b w:val="1"/>
                <w:bCs w:val="1"/>
                <w:color w:val="auto"/>
              </w:rPr>
              <w:t>6. Nature of Indirect</w:t>
            </w:r>
          </w:p>
        </w:tc>
        <w:tc>
          <w:tcPr>
            <w:tcW w:w="0" w:type="dxa"/>
            <w:vAlign w:val="bottom"/>
          </w:tcPr>
          <w:p>
            <w:pPr>
              <w:spacing w:after="0"/>
              <w:rPr>
                <w:sz w:val="1"/>
                <w:szCs w:val="1"/>
                <w:color w:val="auto"/>
              </w:rPr>
            </w:pPr>
          </w:p>
        </w:tc>
      </w:tr>
      <w:tr>
        <w:trPr>
          <w:trHeight w:val="165"/>
        </w:trPr>
        <w:tc>
          <w:tcPr>
            <w:tcW w:w="2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 Ownership</w:t>
            </w: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1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6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5)</w:t>
            </w:r>
          </w:p>
        </w:tc>
        <w:tc>
          <w:tcPr>
            <w:tcW w:w="0" w:type="dxa"/>
            <w:vAlign w:val="bottom"/>
          </w:tcPr>
          <w:p>
            <w:pPr>
              <w:spacing w:after="0"/>
              <w:rPr>
                <w:sz w:val="1"/>
                <w:szCs w:val="1"/>
                <w:color w:val="auto"/>
              </w:rPr>
            </w:pPr>
          </w:p>
        </w:tc>
      </w:tr>
      <w:tr>
        <w:trPr>
          <w:trHeight w:val="89"/>
        </w:trPr>
        <w:tc>
          <w:tcPr>
            <w:tcW w:w="2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40" w:type="dxa"/>
            <w:vAlign w:val="bottom"/>
            <w:vMerge w:val="restart"/>
          </w:tcPr>
          <w:p>
            <w:pPr>
              <w:ind w:left="4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1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640" w:type="dxa"/>
            <w:vAlign w:val="bottom"/>
          </w:tcPr>
          <w:p>
            <w:pPr>
              <w:ind w:left="4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3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140" w:type="dxa"/>
            <w:vAlign w:val="bottom"/>
            <w:vMerge w:val="continue"/>
          </w:tcPr>
          <w:p>
            <w:pPr>
              <w:spacing w:after="0"/>
              <w:rPr>
                <w:sz w:val="17"/>
                <w:szCs w:val="17"/>
                <w:color w:val="auto"/>
              </w:rPr>
            </w:pPr>
          </w:p>
        </w:tc>
        <w:tc>
          <w:tcPr>
            <w:tcW w:w="1640" w:type="dxa"/>
            <w:vAlign w:val="bottom"/>
          </w:tcPr>
          <w:p>
            <w:pPr>
              <w:ind w:left="4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20" w:type="dxa"/>
            <w:vAlign w:val="bottom"/>
          </w:tcPr>
          <w:p>
            <w:pPr>
              <w:spacing w:after="0"/>
              <w:rPr>
                <w:sz w:val="24"/>
                <w:szCs w:val="24"/>
                <w:color w:val="auto"/>
              </w:rPr>
            </w:pPr>
          </w:p>
        </w:tc>
        <w:tc>
          <w:tcPr>
            <w:tcW w:w="2340" w:type="dxa"/>
            <w:vAlign w:val="bottom"/>
          </w:tcPr>
          <w:p>
            <w:pPr>
              <w:ind w:left="80"/>
              <w:spacing w:after="0"/>
              <w:rPr>
                <w:sz w:val="20"/>
                <w:szCs w:val="20"/>
                <w:color w:val="auto"/>
              </w:rPr>
            </w:pPr>
            <w:r>
              <w:rPr>
                <w:rFonts w:ascii="Arial" w:cs="Arial" w:eastAsia="Arial" w:hAnsi="Arial"/>
                <w:sz w:val="20"/>
                <w:szCs w:val="20"/>
                <w:color w:val="0000FF"/>
                <w:w w:val="90"/>
              </w:rPr>
              <w:t>Warrants to purchase Class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gridSpan w:val="2"/>
            <w:vMerge w:val="restart"/>
          </w:tcPr>
          <w:p>
            <w:pPr>
              <w:jc w:val="center"/>
              <w:spacing w:after="0"/>
              <w:rPr>
                <w:sz w:val="20"/>
                <w:szCs w:val="20"/>
                <w:color w:val="auto"/>
              </w:rPr>
            </w:pPr>
            <w:r>
              <w:rPr>
                <w:rFonts w:ascii="Arial" w:cs="Arial" w:eastAsia="Arial" w:hAnsi="Arial"/>
                <w:sz w:val="20"/>
                <w:szCs w:val="20"/>
                <w:color w:val="0000FF"/>
                <w:w w:val="89"/>
              </w:rPr>
              <w:t>Class A Common</w:t>
            </w: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60" w:type="dxa"/>
            <w:vAlign w:val="bottom"/>
            <w:vMerge w:val="restart"/>
          </w:tcPr>
          <w:p>
            <w:pPr>
              <w:ind w:left="260"/>
              <w:spacing w:after="0" w:line="410" w:lineRule="exact"/>
              <w:rPr>
                <w:sz w:val="20"/>
                <w:szCs w:val="20"/>
                <w:color w:val="auto"/>
              </w:rPr>
            </w:pPr>
            <w:r>
              <w:rPr>
                <w:rFonts w:ascii="Arial" w:cs="Arial" w:eastAsia="Arial" w:hAnsi="Arial"/>
                <w:sz w:val="39"/>
                <w:szCs w:val="39"/>
                <w:color w:val="0000FF"/>
                <w:w w:val="78"/>
                <w:vertAlign w:val="subscript"/>
              </w:rPr>
              <w:t>See Footnotes</w:t>
            </w:r>
            <w:r>
              <w:rPr>
                <w:rFonts w:ascii="Arial" w:cs="Arial" w:eastAsia="Arial" w:hAnsi="Arial"/>
                <w:sz w:val="13"/>
                <w:szCs w:val="13"/>
                <w:color w:val="008000"/>
                <w:w w:val="78"/>
              </w:rPr>
              <w:t>(4)(6)(7)(10)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40" w:type="dxa"/>
            <w:vAlign w:val="bottom"/>
            <w:vMerge w:val="restart"/>
          </w:tcPr>
          <w:p>
            <w:pPr>
              <w:ind w:left="80"/>
              <w:spacing w:after="0"/>
              <w:rPr>
                <w:sz w:val="20"/>
                <w:szCs w:val="20"/>
                <w:color w:val="auto"/>
              </w:rPr>
            </w:pPr>
            <w:r>
              <w:rPr>
                <w:rFonts w:ascii="Arial" w:cs="Arial" w:eastAsia="Arial" w:hAnsi="Arial"/>
                <w:sz w:val="20"/>
                <w:szCs w:val="20"/>
                <w:color w:val="0000FF"/>
                <w:w w:val="97"/>
              </w:rPr>
              <w:t>A Common Stock (right to</w:t>
            </w:r>
          </w:p>
        </w:tc>
        <w:tc>
          <w:tcPr>
            <w:tcW w:w="980" w:type="dxa"/>
            <w:vAlign w:val="bottom"/>
            <w:vMerge w:val="restart"/>
          </w:tcPr>
          <w:p>
            <w:pPr>
              <w:jc w:val="center"/>
              <w:spacing w:after="0"/>
              <w:rPr>
                <w:sz w:val="20"/>
                <w:szCs w:val="20"/>
                <w:color w:val="auto"/>
              </w:rPr>
            </w:pPr>
            <w:r>
              <w:rPr>
                <w:rFonts w:ascii="Arial" w:cs="Arial" w:eastAsia="Arial" w:hAnsi="Arial"/>
                <w:sz w:val="15"/>
                <w:szCs w:val="15"/>
                <w:color w:val="0000FF"/>
                <w:w w:val="90"/>
              </w:rPr>
              <w:t>09/05/2021</w:t>
            </w:r>
          </w:p>
        </w:tc>
        <w:tc>
          <w:tcPr>
            <w:tcW w:w="900" w:type="dxa"/>
            <w:vAlign w:val="bottom"/>
            <w:vMerge w:val="restart"/>
          </w:tcPr>
          <w:p>
            <w:pPr>
              <w:jc w:val="right"/>
              <w:ind w:right="25"/>
              <w:spacing w:after="0"/>
              <w:rPr>
                <w:sz w:val="20"/>
                <w:szCs w:val="20"/>
                <w:color w:val="auto"/>
              </w:rPr>
            </w:pPr>
            <w:r>
              <w:rPr>
                <w:rFonts w:ascii="Arial" w:cs="Arial" w:eastAsia="Arial" w:hAnsi="Arial"/>
                <w:sz w:val="15"/>
                <w:szCs w:val="15"/>
                <w:color w:val="0000FF"/>
              </w:rPr>
              <w:t>09/05/2027</w:t>
            </w:r>
          </w:p>
        </w:tc>
        <w:tc>
          <w:tcPr>
            <w:tcW w:w="1560" w:type="dxa"/>
            <w:vAlign w:val="bottom"/>
            <w:gridSpan w:val="2"/>
            <w:vMerge w:val="continue"/>
          </w:tcPr>
          <w:p>
            <w:pPr>
              <w:spacing w:after="0"/>
              <w:rPr>
                <w:sz w:val="10"/>
                <w:szCs w:val="10"/>
                <w:color w:val="auto"/>
              </w:rPr>
            </w:pPr>
          </w:p>
        </w:tc>
        <w:tc>
          <w:tcPr>
            <w:tcW w:w="1340" w:type="dxa"/>
            <w:vAlign w:val="bottom"/>
            <w:vMerge w:val="restart"/>
          </w:tcPr>
          <w:p>
            <w:pPr>
              <w:jc w:val="center"/>
              <w:ind w:right="31"/>
              <w:spacing w:after="0"/>
              <w:rPr>
                <w:sz w:val="20"/>
                <w:szCs w:val="20"/>
                <w:color w:val="auto"/>
              </w:rPr>
            </w:pPr>
            <w:r>
              <w:rPr>
                <w:rFonts w:ascii="Arial" w:cs="Arial" w:eastAsia="Arial" w:hAnsi="Arial"/>
                <w:sz w:val="20"/>
                <w:szCs w:val="20"/>
                <w:color w:val="0000FF"/>
                <w:w w:val="85"/>
              </w:rPr>
              <w:t>709,509</w:t>
            </w:r>
          </w:p>
        </w:tc>
        <w:tc>
          <w:tcPr>
            <w:tcW w:w="920" w:type="dxa"/>
            <w:vAlign w:val="bottom"/>
            <w:vMerge w:val="restart"/>
          </w:tcPr>
          <w:p>
            <w:pPr>
              <w:jc w:val="center"/>
              <w:ind w:right="89"/>
              <w:spacing w:after="0"/>
              <w:rPr>
                <w:sz w:val="20"/>
                <w:szCs w:val="20"/>
                <w:color w:val="auto"/>
              </w:rPr>
            </w:pPr>
            <w:r>
              <w:rPr>
                <w:rFonts w:ascii="Arial" w:cs="Arial" w:eastAsia="Arial" w:hAnsi="Arial"/>
                <w:sz w:val="20"/>
                <w:szCs w:val="20"/>
                <w:color w:val="0000FF"/>
                <w:w w:val="82"/>
              </w:rPr>
              <w:t>11.5</w:t>
            </w:r>
          </w:p>
        </w:tc>
        <w:tc>
          <w:tcPr>
            <w:tcW w:w="700" w:type="dxa"/>
            <w:vAlign w:val="bottom"/>
            <w:vMerge w:val="restart"/>
          </w:tcPr>
          <w:p>
            <w:pPr>
              <w:ind w:left="380"/>
              <w:spacing w:after="0"/>
              <w:rPr>
                <w:sz w:val="20"/>
                <w:szCs w:val="20"/>
                <w:color w:val="auto"/>
              </w:rPr>
            </w:pPr>
            <w:r>
              <w:rPr>
                <w:rFonts w:ascii="Arial" w:cs="Arial" w:eastAsia="Arial" w:hAnsi="Arial"/>
                <w:sz w:val="20"/>
                <w:szCs w:val="20"/>
                <w:color w:val="0000FF"/>
              </w:rPr>
              <w:t>I</w:t>
            </w:r>
          </w:p>
        </w:tc>
        <w:tc>
          <w:tcPr>
            <w:tcW w:w="21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vMerge w:val="restart"/>
          </w:tcPr>
          <w:p>
            <w:pPr>
              <w:jc w:val="center"/>
              <w:ind w:right="22"/>
              <w:spacing w:after="0"/>
              <w:rPr>
                <w:sz w:val="20"/>
                <w:szCs w:val="20"/>
                <w:color w:val="auto"/>
              </w:rPr>
            </w:pPr>
            <w:r>
              <w:rPr>
                <w:rFonts w:ascii="Arial" w:cs="Arial" w:eastAsia="Arial" w:hAnsi="Arial"/>
                <w:sz w:val="20"/>
                <w:szCs w:val="20"/>
                <w:color w:val="0000FF"/>
                <w:w w:val="87"/>
              </w:rPr>
              <w:t>Stock</w:t>
            </w:r>
          </w:p>
        </w:tc>
        <w:tc>
          <w:tcPr>
            <w:tcW w:w="13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160" w:type="dxa"/>
            <w:vAlign w:val="bottom"/>
            <w:vMerge w:val="restart"/>
          </w:tcPr>
          <w:p>
            <w:pPr>
              <w:ind w:left="260"/>
              <w:spacing w:after="0"/>
              <w:rPr>
                <w:sz w:val="20"/>
                <w:szCs w:val="20"/>
                <w:color w:val="auto"/>
              </w:rPr>
            </w:pPr>
            <w:r>
              <w:rPr>
                <w:rFonts w:ascii="Arial" w:cs="Arial" w:eastAsia="Arial" w:hAnsi="Arial"/>
                <w:sz w:val="13"/>
                <w:szCs w:val="13"/>
                <w:color w:val="008000"/>
              </w:rPr>
              <w:t>(11)(12)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4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3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340" w:type="dxa"/>
            <w:vAlign w:val="bottom"/>
            <w:vMerge w:val="restart"/>
          </w:tcPr>
          <w:p>
            <w:pPr>
              <w:ind w:left="80"/>
              <w:spacing w:after="0"/>
              <w:rPr>
                <w:sz w:val="20"/>
                <w:szCs w:val="20"/>
                <w:color w:val="auto"/>
              </w:rPr>
            </w:pPr>
            <w:r>
              <w:rPr>
                <w:rFonts w:ascii="Arial" w:cs="Arial" w:eastAsia="Arial" w:hAnsi="Arial"/>
                <w:sz w:val="20"/>
                <w:szCs w:val="20"/>
                <w:color w:val="0000FF"/>
              </w:rPr>
              <w:t>Earnout Rights</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008000"/>
                <w:w w:val="94"/>
              </w:rPr>
              <w:t>(8)(9)</w:t>
            </w:r>
          </w:p>
        </w:tc>
        <w:tc>
          <w:tcPr>
            <w:tcW w:w="900" w:type="dxa"/>
            <w:vAlign w:val="bottom"/>
            <w:vMerge w:val="restart"/>
          </w:tcPr>
          <w:p>
            <w:pPr>
              <w:jc w:val="right"/>
              <w:ind w:right="25"/>
              <w:spacing w:after="0"/>
              <w:rPr>
                <w:sz w:val="20"/>
                <w:szCs w:val="20"/>
                <w:color w:val="auto"/>
              </w:rPr>
            </w:pPr>
            <w:r>
              <w:rPr>
                <w:rFonts w:ascii="Arial" w:cs="Arial" w:eastAsia="Arial" w:hAnsi="Arial"/>
                <w:sz w:val="15"/>
                <w:szCs w:val="15"/>
                <w:color w:val="0000FF"/>
              </w:rPr>
              <w:t>07/22/2023</w:t>
            </w:r>
          </w:p>
        </w:tc>
        <w:tc>
          <w:tcPr>
            <w:tcW w:w="1560" w:type="dxa"/>
            <w:vAlign w:val="bottom"/>
            <w:gridSpan w:val="2"/>
          </w:tcPr>
          <w:p>
            <w:pPr>
              <w:jc w:val="center"/>
              <w:spacing w:after="0"/>
              <w:rPr>
                <w:sz w:val="20"/>
                <w:szCs w:val="20"/>
                <w:color w:val="auto"/>
              </w:rPr>
            </w:pPr>
            <w:r>
              <w:rPr>
                <w:rFonts w:ascii="Arial" w:cs="Arial" w:eastAsia="Arial" w:hAnsi="Arial"/>
                <w:sz w:val="20"/>
                <w:szCs w:val="20"/>
                <w:color w:val="0000FF"/>
                <w:w w:val="89"/>
              </w:rPr>
              <w:t>Class A Common</w:t>
            </w:r>
          </w:p>
        </w:tc>
        <w:tc>
          <w:tcPr>
            <w:tcW w:w="1340" w:type="dxa"/>
            <w:vAlign w:val="bottom"/>
            <w:vMerge w:val="restart"/>
          </w:tcPr>
          <w:p>
            <w:pPr>
              <w:jc w:val="center"/>
              <w:ind w:right="31"/>
              <w:spacing w:after="0"/>
              <w:rPr>
                <w:sz w:val="20"/>
                <w:szCs w:val="20"/>
                <w:color w:val="auto"/>
              </w:rPr>
            </w:pPr>
            <w:r>
              <w:rPr>
                <w:rFonts w:ascii="Arial" w:cs="Arial" w:eastAsia="Arial" w:hAnsi="Arial"/>
                <w:sz w:val="20"/>
                <w:szCs w:val="20"/>
                <w:color w:val="0000FF"/>
                <w:w w:val="81"/>
              </w:rPr>
              <w:t>2,750,264</w:t>
            </w:r>
            <w:r>
              <w:rPr>
                <w:rFonts w:ascii="Arial" w:cs="Arial" w:eastAsia="Arial" w:hAnsi="Arial"/>
                <w:sz w:val="25"/>
                <w:szCs w:val="25"/>
                <w:color w:val="008000"/>
                <w:w w:val="81"/>
                <w:vertAlign w:val="superscript"/>
              </w:rPr>
              <w:t>(8)(9)</w:t>
            </w:r>
          </w:p>
        </w:tc>
        <w:tc>
          <w:tcPr>
            <w:tcW w:w="920" w:type="dxa"/>
            <w:vAlign w:val="bottom"/>
            <w:vMerge w:val="restart"/>
          </w:tcPr>
          <w:p>
            <w:pPr>
              <w:jc w:val="center"/>
              <w:ind w:right="89"/>
              <w:spacing w:after="0"/>
              <w:rPr>
                <w:sz w:val="20"/>
                <w:szCs w:val="20"/>
                <w:color w:val="auto"/>
              </w:rPr>
            </w:pPr>
            <w:r>
              <w:rPr>
                <w:rFonts w:ascii="Arial" w:cs="Arial" w:eastAsia="Arial" w:hAnsi="Arial"/>
                <w:sz w:val="13"/>
                <w:szCs w:val="13"/>
                <w:color w:val="008000"/>
                <w:w w:val="87"/>
              </w:rPr>
              <w:t>(8)(9)</w:t>
            </w:r>
          </w:p>
        </w:tc>
        <w:tc>
          <w:tcPr>
            <w:tcW w:w="700" w:type="dxa"/>
            <w:vAlign w:val="bottom"/>
            <w:vMerge w:val="restart"/>
          </w:tcPr>
          <w:p>
            <w:pPr>
              <w:ind w:left="380"/>
              <w:spacing w:after="0"/>
              <w:rPr>
                <w:sz w:val="20"/>
                <w:szCs w:val="20"/>
                <w:color w:val="auto"/>
              </w:rPr>
            </w:pPr>
            <w:r>
              <w:rPr>
                <w:rFonts w:ascii="Arial" w:cs="Arial" w:eastAsia="Arial" w:hAnsi="Arial"/>
                <w:sz w:val="20"/>
                <w:szCs w:val="20"/>
                <w:color w:val="0000FF"/>
              </w:rPr>
              <w:t>I</w:t>
            </w:r>
          </w:p>
        </w:tc>
        <w:tc>
          <w:tcPr>
            <w:tcW w:w="2160" w:type="dxa"/>
            <w:vAlign w:val="bottom"/>
          </w:tcPr>
          <w:p>
            <w:pPr>
              <w:ind w:left="260"/>
              <w:spacing w:after="0" w:line="290" w:lineRule="exact"/>
              <w:rPr>
                <w:sz w:val="20"/>
                <w:szCs w:val="20"/>
                <w:color w:val="auto"/>
              </w:rPr>
            </w:pPr>
            <w:r>
              <w:rPr>
                <w:rFonts w:ascii="Arial" w:cs="Arial" w:eastAsia="Arial" w:hAnsi="Arial"/>
                <w:sz w:val="33"/>
                <w:szCs w:val="33"/>
                <w:color w:val="0000FF"/>
                <w:w w:val="90"/>
                <w:vertAlign w:val="subscript"/>
              </w:rPr>
              <w:t>See Footnotes</w:t>
            </w:r>
            <w:r>
              <w:rPr>
                <w:rFonts w:ascii="Arial" w:cs="Arial" w:eastAsia="Arial" w:hAnsi="Arial"/>
                <w:sz w:val="12"/>
                <w:szCs w:val="12"/>
                <w:color w:val="008000"/>
                <w:w w:val="90"/>
              </w:rPr>
              <w:t>(1)(5)(7)(10)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vMerge w:val="restart"/>
          </w:tcPr>
          <w:p>
            <w:pPr>
              <w:jc w:val="center"/>
              <w:ind w:right="22"/>
              <w:spacing w:after="0"/>
              <w:rPr>
                <w:sz w:val="20"/>
                <w:szCs w:val="20"/>
                <w:color w:val="auto"/>
              </w:rPr>
            </w:pPr>
            <w:r>
              <w:rPr>
                <w:rFonts w:ascii="Arial" w:cs="Arial" w:eastAsia="Arial" w:hAnsi="Arial"/>
                <w:sz w:val="20"/>
                <w:szCs w:val="20"/>
                <w:color w:val="0000FF"/>
                <w:w w:val="87"/>
              </w:rPr>
              <w:t>Stock</w:t>
            </w:r>
          </w:p>
        </w:tc>
        <w:tc>
          <w:tcPr>
            <w:tcW w:w="13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160" w:type="dxa"/>
            <w:vAlign w:val="bottom"/>
            <w:vMerge w:val="restart"/>
          </w:tcPr>
          <w:p>
            <w:pPr>
              <w:ind w:left="260"/>
              <w:spacing w:after="0"/>
              <w:rPr>
                <w:sz w:val="20"/>
                <w:szCs w:val="20"/>
                <w:color w:val="auto"/>
              </w:rPr>
            </w:pPr>
            <w:r>
              <w:rPr>
                <w:rFonts w:ascii="Arial" w:cs="Arial" w:eastAsia="Arial" w:hAnsi="Arial"/>
                <w:sz w:val="13"/>
                <w:szCs w:val="13"/>
                <w:color w:val="008000"/>
              </w:rPr>
              <w:t>(11)(12)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34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1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3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340" w:type="dxa"/>
            <w:vAlign w:val="bottom"/>
            <w:vMerge w:val="restart"/>
          </w:tcPr>
          <w:p>
            <w:pPr>
              <w:ind w:left="80"/>
              <w:spacing w:after="0"/>
              <w:rPr>
                <w:sz w:val="20"/>
                <w:szCs w:val="20"/>
                <w:color w:val="auto"/>
              </w:rPr>
            </w:pPr>
            <w:r>
              <w:rPr>
                <w:rFonts w:ascii="Arial" w:cs="Arial" w:eastAsia="Arial" w:hAnsi="Arial"/>
                <w:sz w:val="20"/>
                <w:szCs w:val="20"/>
                <w:color w:val="0000FF"/>
              </w:rPr>
              <w:t>Earnout Rights</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008000"/>
                <w:w w:val="94"/>
              </w:rPr>
              <w:t>(8)(9)</w:t>
            </w:r>
          </w:p>
        </w:tc>
        <w:tc>
          <w:tcPr>
            <w:tcW w:w="900" w:type="dxa"/>
            <w:vAlign w:val="bottom"/>
            <w:vMerge w:val="restart"/>
          </w:tcPr>
          <w:p>
            <w:pPr>
              <w:jc w:val="right"/>
              <w:ind w:right="25"/>
              <w:spacing w:after="0"/>
              <w:rPr>
                <w:sz w:val="20"/>
                <w:szCs w:val="20"/>
                <w:color w:val="auto"/>
              </w:rPr>
            </w:pPr>
            <w:r>
              <w:rPr>
                <w:rFonts w:ascii="Arial" w:cs="Arial" w:eastAsia="Arial" w:hAnsi="Arial"/>
                <w:sz w:val="15"/>
                <w:szCs w:val="15"/>
                <w:color w:val="0000FF"/>
              </w:rPr>
              <w:t>07/22/2023</w:t>
            </w:r>
          </w:p>
        </w:tc>
        <w:tc>
          <w:tcPr>
            <w:tcW w:w="1560" w:type="dxa"/>
            <w:vAlign w:val="bottom"/>
            <w:gridSpan w:val="2"/>
          </w:tcPr>
          <w:p>
            <w:pPr>
              <w:jc w:val="center"/>
              <w:spacing w:after="0"/>
              <w:rPr>
                <w:sz w:val="20"/>
                <w:szCs w:val="20"/>
                <w:color w:val="auto"/>
              </w:rPr>
            </w:pPr>
            <w:r>
              <w:rPr>
                <w:rFonts w:ascii="Arial" w:cs="Arial" w:eastAsia="Arial" w:hAnsi="Arial"/>
                <w:sz w:val="20"/>
                <w:szCs w:val="20"/>
                <w:color w:val="0000FF"/>
                <w:w w:val="89"/>
              </w:rPr>
              <w:t>Class A Common</w:t>
            </w:r>
          </w:p>
        </w:tc>
        <w:tc>
          <w:tcPr>
            <w:tcW w:w="1340" w:type="dxa"/>
            <w:vAlign w:val="bottom"/>
            <w:vMerge w:val="restart"/>
          </w:tcPr>
          <w:p>
            <w:pPr>
              <w:jc w:val="center"/>
              <w:ind w:right="31"/>
              <w:spacing w:after="0"/>
              <w:rPr>
                <w:sz w:val="20"/>
                <w:szCs w:val="20"/>
                <w:color w:val="auto"/>
              </w:rPr>
            </w:pPr>
            <w:r>
              <w:rPr>
                <w:rFonts w:ascii="Arial" w:cs="Arial" w:eastAsia="Arial" w:hAnsi="Arial"/>
                <w:sz w:val="20"/>
                <w:szCs w:val="20"/>
                <w:color w:val="0000FF"/>
                <w:w w:val="80"/>
              </w:rPr>
              <w:t>56,922</w:t>
            </w:r>
            <w:r>
              <w:rPr>
                <w:rFonts w:ascii="Arial" w:cs="Arial" w:eastAsia="Arial" w:hAnsi="Arial"/>
                <w:sz w:val="25"/>
                <w:szCs w:val="25"/>
                <w:color w:val="008000"/>
                <w:w w:val="80"/>
                <w:vertAlign w:val="superscript"/>
              </w:rPr>
              <w:t>(8)(9)</w:t>
            </w:r>
          </w:p>
        </w:tc>
        <w:tc>
          <w:tcPr>
            <w:tcW w:w="920" w:type="dxa"/>
            <w:vAlign w:val="bottom"/>
            <w:vMerge w:val="restart"/>
          </w:tcPr>
          <w:p>
            <w:pPr>
              <w:jc w:val="center"/>
              <w:ind w:right="89"/>
              <w:spacing w:after="0"/>
              <w:rPr>
                <w:sz w:val="20"/>
                <w:szCs w:val="20"/>
                <w:color w:val="auto"/>
              </w:rPr>
            </w:pPr>
            <w:r>
              <w:rPr>
                <w:rFonts w:ascii="Arial" w:cs="Arial" w:eastAsia="Arial" w:hAnsi="Arial"/>
                <w:sz w:val="13"/>
                <w:szCs w:val="13"/>
                <w:color w:val="008000"/>
                <w:w w:val="87"/>
              </w:rPr>
              <w:t>(8)(9)</w:t>
            </w:r>
          </w:p>
        </w:tc>
        <w:tc>
          <w:tcPr>
            <w:tcW w:w="700" w:type="dxa"/>
            <w:vAlign w:val="bottom"/>
            <w:vMerge w:val="restart"/>
          </w:tcPr>
          <w:p>
            <w:pPr>
              <w:ind w:left="380"/>
              <w:spacing w:after="0"/>
              <w:rPr>
                <w:sz w:val="20"/>
                <w:szCs w:val="20"/>
                <w:color w:val="auto"/>
              </w:rPr>
            </w:pPr>
            <w:r>
              <w:rPr>
                <w:rFonts w:ascii="Arial" w:cs="Arial" w:eastAsia="Arial" w:hAnsi="Arial"/>
                <w:sz w:val="20"/>
                <w:szCs w:val="20"/>
                <w:color w:val="0000FF"/>
              </w:rPr>
              <w:t>I</w:t>
            </w:r>
          </w:p>
        </w:tc>
        <w:tc>
          <w:tcPr>
            <w:tcW w:w="2160" w:type="dxa"/>
            <w:vAlign w:val="bottom"/>
          </w:tcPr>
          <w:p>
            <w:pPr>
              <w:ind w:left="260"/>
              <w:spacing w:after="0" w:line="290" w:lineRule="exact"/>
              <w:rPr>
                <w:sz w:val="20"/>
                <w:szCs w:val="20"/>
                <w:color w:val="auto"/>
              </w:rPr>
            </w:pPr>
            <w:r>
              <w:rPr>
                <w:rFonts w:ascii="Arial" w:cs="Arial" w:eastAsia="Arial" w:hAnsi="Arial"/>
                <w:sz w:val="33"/>
                <w:szCs w:val="33"/>
                <w:color w:val="0000FF"/>
                <w:w w:val="90"/>
                <w:vertAlign w:val="subscript"/>
              </w:rPr>
              <w:t>See Footnotes</w:t>
            </w:r>
            <w:r>
              <w:rPr>
                <w:rFonts w:ascii="Arial" w:cs="Arial" w:eastAsia="Arial" w:hAnsi="Arial"/>
                <w:sz w:val="12"/>
                <w:szCs w:val="12"/>
                <w:color w:val="008000"/>
                <w:w w:val="90"/>
              </w:rPr>
              <w:t>(2)(6)(7)(10)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vMerge w:val="restart"/>
          </w:tcPr>
          <w:p>
            <w:pPr>
              <w:jc w:val="center"/>
              <w:ind w:right="22"/>
              <w:spacing w:after="0"/>
              <w:rPr>
                <w:sz w:val="20"/>
                <w:szCs w:val="20"/>
                <w:color w:val="auto"/>
              </w:rPr>
            </w:pPr>
            <w:r>
              <w:rPr>
                <w:rFonts w:ascii="Arial" w:cs="Arial" w:eastAsia="Arial" w:hAnsi="Arial"/>
                <w:sz w:val="20"/>
                <w:szCs w:val="20"/>
                <w:color w:val="0000FF"/>
                <w:w w:val="87"/>
              </w:rPr>
              <w:t>Stock</w:t>
            </w:r>
          </w:p>
        </w:tc>
        <w:tc>
          <w:tcPr>
            <w:tcW w:w="13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160" w:type="dxa"/>
            <w:vAlign w:val="bottom"/>
            <w:vMerge w:val="restart"/>
          </w:tcPr>
          <w:p>
            <w:pPr>
              <w:ind w:left="260"/>
              <w:spacing w:after="0"/>
              <w:rPr>
                <w:sz w:val="20"/>
                <w:szCs w:val="20"/>
                <w:color w:val="auto"/>
              </w:rPr>
            </w:pPr>
            <w:r>
              <w:rPr>
                <w:rFonts w:ascii="Arial" w:cs="Arial" w:eastAsia="Arial" w:hAnsi="Arial"/>
                <w:sz w:val="13"/>
                <w:szCs w:val="13"/>
                <w:color w:val="008000"/>
              </w:rPr>
              <w:t>(11)(12)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34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1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3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340" w:type="dxa"/>
            <w:vAlign w:val="bottom"/>
            <w:vMerge w:val="restart"/>
          </w:tcPr>
          <w:p>
            <w:pPr>
              <w:ind w:left="80"/>
              <w:spacing w:after="0"/>
              <w:rPr>
                <w:sz w:val="20"/>
                <w:szCs w:val="20"/>
                <w:color w:val="auto"/>
              </w:rPr>
            </w:pPr>
            <w:r>
              <w:rPr>
                <w:rFonts w:ascii="Arial" w:cs="Arial" w:eastAsia="Arial" w:hAnsi="Arial"/>
                <w:sz w:val="20"/>
                <w:szCs w:val="20"/>
                <w:color w:val="0000FF"/>
              </w:rPr>
              <w:t>Earnout Rights</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008000"/>
                <w:w w:val="94"/>
              </w:rPr>
              <w:t>(8)(9)</w:t>
            </w:r>
          </w:p>
        </w:tc>
        <w:tc>
          <w:tcPr>
            <w:tcW w:w="900" w:type="dxa"/>
            <w:vAlign w:val="bottom"/>
            <w:vMerge w:val="restart"/>
          </w:tcPr>
          <w:p>
            <w:pPr>
              <w:jc w:val="right"/>
              <w:ind w:right="25"/>
              <w:spacing w:after="0"/>
              <w:rPr>
                <w:sz w:val="20"/>
                <w:szCs w:val="20"/>
                <w:color w:val="auto"/>
              </w:rPr>
            </w:pPr>
            <w:r>
              <w:rPr>
                <w:rFonts w:ascii="Arial" w:cs="Arial" w:eastAsia="Arial" w:hAnsi="Arial"/>
                <w:sz w:val="15"/>
                <w:szCs w:val="15"/>
                <w:color w:val="0000FF"/>
              </w:rPr>
              <w:t>07/22/2023</w:t>
            </w:r>
          </w:p>
        </w:tc>
        <w:tc>
          <w:tcPr>
            <w:tcW w:w="1560" w:type="dxa"/>
            <w:vAlign w:val="bottom"/>
            <w:gridSpan w:val="2"/>
          </w:tcPr>
          <w:p>
            <w:pPr>
              <w:jc w:val="center"/>
              <w:spacing w:after="0"/>
              <w:rPr>
                <w:sz w:val="20"/>
                <w:szCs w:val="20"/>
                <w:color w:val="auto"/>
              </w:rPr>
            </w:pPr>
            <w:r>
              <w:rPr>
                <w:rFonts w:ascii="Arial" w:cs="Arial" w:eastAsia="Arial" w:hAnsi="Arial"/>
                <w:sz w:val="20"/>
                <w:szCs w:val="20"/>
                <w:color w:val="0000FF"/>
                <w:w w:val="89"/>
              </w:rPr>
              <w:t>Class A Common</w:t>
            </w:r>
          </w:p>
        </w:tc>
        <w:tc>
          <w:tcPr>
            <w:tcW w:w="1340" w:type="dxa"/>
            <w:vAlign w:val="bottom"/>
            <w:vMerge w:val="restart"/>
          </w:tcPr>
          <w:p>
            <w:pPr>
              <w:jc w:val="center"/>
              <w:ind w:right="31"/>
              <w:spacing w:after="0"/>
              <w:rPr>
                <w:sz w:val="20"/>
                <w:szCs w:val="20"/>
                <w:color w:val="auto"/>
              </w:rPr>
            </w:pPr>
            <w:r>
              <w:rPr>
                <w:rFonts w:ascii="Arial" w:cs="Arial" w:eastAsia="Arial" w:hAnsi="Arial"/>
                <w:sz w:val="39"/>
                <w:szCs w:val="39"/>
                <w:color w:val="0000FF"/>
                <w:w w:val="73"/>
                <w:vertAlign w:val="subscript"/>
              </w:rPr>
              <w:t>16,632</w:t>
            </w:r>
            <w:r>
              <w:rPr>
                <w:rFonts w:ascii="Arial" w:cs="Arial" w:eastAsia="Arial" w:hAnsi="Arial"/>
                <w:sz w:val="13"/>
                <w:szCs w:val="13"/>
                <w:color w:val="008000"/>
                <w:w w:val="73"/>
              </w:rPr>
              <w:t>(8)(9)</w:t>
            </w:r>
          </w:p>
        </w:tc>
        <w:tc>
          <w:tcPr>
            <w:tcW w:w="920" w:type="dxa"/>
            <w:vAlign w:val="bottom"/>
            <w:vMerge w:val="restart"/>
          </w:tcPr>
          <w:p>
            <w:pPr>
              <w:jc w:val="center"/>
              <w:ind w:right="89"/>
              <w:spacing w:after="0"/>
              <w:rPr>
                <w:sz w:val="20"/>
                <w:szCs w:val="20"/>
                <w:color w:val="auto"/>
              </w:rPr>
            </w:pPr>
            <w:r>
              <w:rPr>
                <w:rFonts w:ascii="Arial" w:cs="Arial" w:eastAsia="Arial" w:hAnsi="Arial"/>
                <w:sz w:val="13"/>
                <w:szCs w:val="13"/>
                <w:color w:val="008000"/>
                <w:w w:val="87"/>
              </w:rPr>
              <w:t>(8)(9)</w:t>
            </w:r>
          </w:p>
        </w:tc>
        <w:tc>
          <w:tcPr>
            <w:tcW w:w="700" w:type="dxa"/>
            <w:vAlign w:val="bottom"/>
            <w:vMerge w:val="restart"/>
          </w:tcPr>
          <w:p>
            <w:pPr>
              <w:ind w:left="380"/>
              <w:spacing w:after="0"/>
              <w:rPr>
                <w:sz w:val="20"/>
                <w:szCs w:val="20"/>
                <w:color w:val="auto"/>
              </w:rPr>
            </w:pPr>
            <w:r>
              <w:rPr>
                <w:rFonts w:ascii="Arial" w:cs="Arial" w:eastAsia="Arial" w:hAnsi="Arial"/>
                <w:sz w:val="20"/>
                <w:szCs w:val="20"/>
                <w:color w:val="0000FF"/>
              </w:rPr>
              <w:t>I</w:t>
            </w:r>
          </w:p>
        </w:tc>
        <w:tc>
          <w:tcPr>
            <w:tcW w:w="2160" w:type="dxa"/>
            <w:vAlign w:val="bottom"/>
          </w:tcPr>
          <w:p>
            <w:pPr>
              <w:ind w:left="260"/>
              <w:spacing w:after="0" w:line="290" w:lineRule="exact"/>
              <w:rPr>
                <w:sz w:val="20"/>
                <w:szCs w:val="20"/>
                <w:color w:val="auto"/>
              </w:rPr>
            </w:pPr>
            <w:r>
              <w:rPr>
                <w:rFonts w:ascii="Arial" w:cs="Arial" w:eastAsia="Arial" w:hAnsi="Arial"/>
                <w:sz w:val="33"/>
                <w:szCs w:val="33"/>
                <w:color w:val="0000FF"/>
                <w:w w:val="90"/>
                <w:vertAlign w:val="subscript"/>
              </w:rPr>
              <w:t>See Footnotes</w:t>
            </w:r>
            <w:r>
              <w:rPr>
                <w:rFonts w:ascii="Arial" w:cs="Arial" w:eastAsia="Arial" w:hAnsi="Arial"/>
                <w:sz w:val="12"/>
                <w:szCs w:val="12"/>
                <w:color w:val="008000"/>
                <w:w w:val="90"/>
              </w:rPr>
              <w:t>(3)(5)(7)(10)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vMerge w:val="restart"/>
          </w:tcPr>
          <w:p>
            <w:pPr>
              <w:jc w:val="center"/>
              <w:ind w:right="22"/>
              <w:spacing w:after="0"/>
              <w:rPr>
                <w:sz w:val="20"/>
                <w:szCs w:val="20"/>
                <w:color w:val="auto"/>
              </w:rPr>
            </w:pPr>
            <w:r>
              <w:rPr>
                <w:rFonts w:ascii="Arial" w:cs="Arial" w:eastAsia="Arial" w:hAnsi="Arial"/>
                <w:sz w:val="20"/>
                <w:szCs w:val="20"/>
                <w:color w:val="0000FF"/>
                <w:w w:val="87"/>
              </w:rPr>
              <w:t>Stock</w:t>
            </w:r>
          </w:p>
        </w:tc>
        <w:tc>
          <w:tcPr>
            <w:tcW w:w="13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160" w:type="dxa"/>
            <w:vAlign w:val="bottom"/>
            <w:vMerge w:val="restart"/>
          </w:tcPr>
          <w:p>
            <w:pPr>
              <w:ind w:left="260"/>
              <w:spacing w:after="0"/>
              <w:rPr>
                <w:sz w:val="20"/>
                <w:szCs w:val="20"/>
                <w:color w:val="auto"/>
              </w:rPr>
            </w:pPr>
            <w:r>
              <w:rPr>
                <w:rFonts w:ascii="Arial" w:cs="Arial" w:eastAsia="Arial" w:hAnsi="Arial"/>
                <w:sz w:val="13"/>
                <w:szCs w:val="13"/>
                <w:color w:val="008000"/>
              </w:rPr>
              <w:t>(11)(12)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34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1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Blackstone Tactical Opportunities Fund -</w:t>
        </w:r>
      </w:hyperlink>
    </w:p>
    <w:p>
      <w:pPr>
        <w:spacing w:after="0" w:line="1" w:lineRule="exact"/>
        <w:rPr>
          <w:sz w:val="20"/>
          <w:szCs w:val="20"/>
          <w:color w:val="auto"/>
        </w:rPr>
      </w:pP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FD L.P.</w:t>
        </w:r>
      </w:hyperlink>
    </w:p>
    <w:p>
      <w:pPr>
        <w:spacing w:after="0" w:line="35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C/O BLACKSTONE INC.</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345 PARK AVENUE</w:t>
      </w:r>
    </w:p>
    <w:p>
      <w:pPr>
        <w:sectPr>
          <w:pgSz w:w="11900" w:h="16838" w:orient="portrait"/>
          <w:cols w:equalWidth="0" w:num="1">
            <w:col w:w="10940"/>
          </w:cols>
          <w:pgMar w:left="480" w:top="236" w:right="479" w:bottom="0" w:gutter="0" w:footer="0" w:header="0"/>
          <w:type w:val="continuous"/>
        </w:sectPr>
      </w:pPr>
    </w:p>
    <w:p>
      <w:pPr>
        <w:spacing w:after="0" w:line="334"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0940"/>
          </w:cols>
          <w:pgMar w:left="480" w:top="236" w:right="479" w:bottom="0" w:gutter="0" w:footer="0" w:header="0"/>
          <w:type w:val="continuous"/>
        </w:sectPr>
      </w:pPr>
    </w:p>
    <w:bookmarkStart w:id="1" w:name="page2"/>
    <w:bookmarkEnd w:id="1"/>
    <w:tbl>
      <w:tblPr>
        <w:tblLayout w:type="fixed"/>
        <w:tblInd w:w="100" w:type="dxa"/>
        <w:tblCellMar>
          <w:top w:w="0" w:type="dxa"/>
          <w:left w:w="0" w:type="dxa"/>
          <w:bottom w:w="0" w:type="dxa"/>
          <w:right w:w="0" w:type="dxa"/>
        </w:tblCellMar>
      </w:tblPr>
      <w:tr>
        <w:trPr>
          <w:trHeight w:val="248"/>
        </w:trPr>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100" w:type="dxa"/>
            <w:vAlign w:val="bottom"/>
          </w:tcPr>
          <w:p>
            <w:pPr>
              <w:ind w:left="180"/>
              <w:spacing w:after="0"/>
              <w:rPr>
                <w:sz w:val="20"/>
                <w:szCs w:val="20"/>
                <w:color w:val="auto"/>
              </w:rPr>
            </w:pPr>
            <w:r>
              <w:rPr>
                <w:rFonts w:ascii="Arial" w:cs="Arial" w:eastAsia="Arial" w:hAnsi="Arial"/>
                <w:sz w:val="20"/>
                <w:szCs w:val="20"/>
                <w:color w:val="0000FF"/>
              </w:rPr>
              <w:t>NY</w:t>
            </w:r>
          </w:p>
        </w:tc>
        <w:tc>
          <w:tcPr>
            <w:tcW w:w="1800" w:type="dxa"/>
            <w:vAlign w:val="bottom"/>
          </w:tcPr>
          <w:p>
            <w:pPr>
              <w:ind w:left="460"/>
              <w:spacing w:after="0"/>
              <w:rPr>
                <w:sz w:val="20"/>
                <w:szCs w:val="20"/>
                <w:color w:val="auto"/>
              </w:rPr>
            </w:pPr>
            <w:r>
              <w:rPr>
                <w:rFonts w:ascii="Arial" w:cs="Arial" w:eastAsia="Arial" w:hAnsi="Arial"/>
                <w:sz w:val="20"/>
                <w:szCs w:val="20"/>
                <w:color w:val="0000FF"/>
              </w:rPr>
              <w:t>10154</w:t>
            </w:r>
          </w:p>
        </w:tc>
      </w:tr>
      <w:tr>
        <w:trPr>
          <w:trHeight w:val="177"/>
        </w:trPr>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-494030</wp:posOffset>
            </wp:positionV>
            <wp:extent cx="2798445" cy="1052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Arial" w:cs="Arial" w:eastAsia="Arial" w:hAnsi="Arial"/>
          <w:sz w:val="24"/>
          <w:szCs w:val="24"/>
          <w:u w:val="single" w:color="auto"/>
          <w:color w:val="0000EE"/>
        </w:rPr>
      </w:pPr>
      <w:hyperlink r:id="rId13">
        <w:r>
          <w:rPr>
            <w:rFonts w:ascii="Arial" w:cs="Arial" w:eastAsia="Arial" w:hAnsi="Arial"/>
            <w:sz w:val="24"/>
            <w:szCs w:val="24"/>
            <w:u w:val="single" w:color="auto"/>
            <w:color w:val="0000EE"/>
          </w:rPr>
          <w:t>Blackstone Tactical Opportunities</w:t>
        </w:r>
      </w:hyperlink>
    </w:p>
    <w:p>
      <w:pPr>
        <w:spacing w:after="0" w:line="1" w:lineRule="exact"/>
        <w:rPr>
          <w:sz w:val="20"/>
          <w:szCs w:val="20"/>
          <w:color w:val="auto"/>
        </w:rPr>
      </w:pPr>
    </w:p>
    <w:p>
      <w:pPr>
        <w:ind w:left="120"/>
        <w:spacing w:after="0"/>
        <w:rPr>
          <w:rFonts w:ascii="Arial" w:cs="Arial" w:eastAsia="Arial" w:hAnsi="Arial"/>
          <w:sz w:val="24"/>
          <w:szCs w:val="24"/>
          <w:u w:val="single" w:color="auto"/>
          <w:color w:val="0000EE"/>
        </w:rPr>
      </w:pPr>
      <w:hyperlink r:id="rId13">
        <w:r>
          <w:rPr>
            <w:rFonts w:ascii="Arial" w:cs="Arial" w:eastAsia="Arial" w:hAnsi="Arial"/>
            <w:sz w:val="24"/>
            <w:szCs w:val="24"/>
            <w:u w:val="single" w:color="auto"/>
            <w:color w:val="0000EE"/>
          </w:rPr>
          <w:t>Associates III - NQ L.P.</w:t>
        </w:r>
      </w:hyperlink>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500" w:type="dxa"/>
            <w:vAlign w:val="bottom"/>
            <w:gridSpan w:val="3"/>
          </w:tcPr>
          <w:p>
            <w:pPr>
              <w:ind w:left="180"/>
              <w:spacing w:after="0"/>
              <w:rPr>
                <w:sz w:val="20"/>
                <w:szCs w:val="20"/>
                <w:color w:val="auto"/>
              </w:rPr>
            </w:pPr>
            <w:r>
              <w:rPr>
                <w:rFonts w:ascii="Arial" w:cs="Arial" w:eastAsia="Arial" w:hAnsi="Arial"/>
                <w:sz w:val="15"/>
                <w:szCs w:val="15"/>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Arial" w:cs="Arial" w:eastAsia="Arial" w:hAnsi="Arial"/>
                <w:sz w:val="20"/>
                <w:szCs w:val="20"/>
                <w:color w:val="0000FF"/>
              </w:rPr>
              <w:t>C/O BLACKSTONE INC.</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Arial" w:cs="Arial" w:eastAsia="Arial" w:hAnsi="Arial"/>
                <w:sz w:val="20"/>
                <w:szCs w:val="20"/>
                <w:color w:val="0000FF"/>
              </w:rPr>
              <w:t>345 PARK AVENUE</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1500" w:type="dxa"/>
            <w:vAlign w:val="bottom"/>
            <w:gridSpan w:val="3"/>
          </w:tcPr>
          <w:p>
            <w:pPr>
              <w:ind w:left="180"/>
              <w:spacing w:after="0"/>
              <w:rPr>
                <w:sz w:val="20"/>
                <w:szCs w:val="20"/>
                <w:color w:val="auto"/>
              </w:rPr>
            </w:pPr>
            <w:r>
              <w:rPr>
                <w:rFonts w:ascii="Arial" w:cs="Arial" w:eastAsia="Arial" w:hAnsi="Arial"/>
                <w:sz w:val="20"/>
                <w:szCs w:val="20"/>
                <w:color w:val="0000FF"/>
              </w:rPr>
              <w:t>NY</w:t>
            </w:r>
          </w:p>
        </w:tc>
        <w:tc>
          <w:tcPr>
            <w:tcW w:w="1400" w:type="dxa"/>
            <w:vAlign w:val="bottom"/>
          </w:tcPr>
          <w:p>
            <w:pPr>
              <w:ind w:left="60"/>
              <w:spacing w:after="0"/>
              <w:rPr>
                <w:sz w:val="20"/>
                <w:szCs w:val="20"/>
                <w:color w:val="auto"/>
              </w:rPr>
            </w:pPr>
            <w:r>
              <w:rPr>
                <w:rFonts w:ascii="Arial" w:cs="Arial" w:eastAsia="Arial" w:hAnsi="Arial"/>
                <w:sz w:val="20"/>
                <w:szCs w:val="20"/>
                <w:color w:val="0000FF"/>
              </w:rPr>
              <w:t>10154</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500" w:type="dxa"/>
            <w:vAlign w:val="bottom"/>
            <w:gridSpan w:val="3"/>
          </w:tcPr>
          <w:p>
            <w:pPr>
              <w:ind w:left="180"/>
              <w:spacing w:after="0"/>
              <w:rPr>
                <w:sz w:val="20"/>
                <w:szCs w:val="20"/>
                <w:color w:val="auto"/>
              </w:rPr>
            </w:pPr>
            <w:r>
              <w:rPr>
                <w:rFonts w:ascii="Arial" w:cs="Arial" w:eastAsia="Arial" w:hAnsi="Arial"/>
                <w:sz w:val="15"/>
                <w:szCs w:val="15"/>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2"/>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8"/>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gridSpan w:val="4"/>
          </w:tcPr>
          <w:p>
            <w:pPr>
              <w:spacing w:after="0" w:line="249" w:lineRule="exact"/>
              <w:rPr>
                <w:rFonts w:ascii="Arial" w:cs="Arial" w:eastAsia="Arial" w:hAnsi="Arial"/>
                <w:sz w:val="24"/>
                <w:szCs w:val="24"/>
                <w:color w:val="0000EE"/>
              </w:rPr>
            </w:pPr>
            <w:hyperlink r:id="rId14">
              <w:r>
                <w:rPr>
                  <w:rFonts w:ascii="Arial" w:cs="Arial" w:eastAsia="Arial" w:hAnsi="Arial"/>
                  <w:sz w:val="24"/>
                  <w:szCs w:val="24"/>
                  <w:color w:val="0000EE"/>
                </w:rPr>
                <w:t>BTO DE GP - NQ L.L.C.</w:t>
              </w:r>
            </w:hyperlink>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500" w:type="dxa"/>
            <w:vAlign w:val="bottom"/>
            <w:gridSpan w:val="3"/>
          </w:tcPr>
          <w:p>
            <w:pPr>
              <w:ind w:left="180"/>
              <w:spacing w:after="0"/>
              <w:rPr>
                <w:sz w:val="20"/>
                <w:szCs w:val="20"/>
                <w:color w:val="auto"/>
              </w:rPr>
            </w:pPr>
            <w:r>
              <w:rPr>
                <w:rFonts w:ascii="Arial" w:cs="Arial" w:eastAsia="Arial" w:hAnsi="Arial"/>
                <w:sz w:val="15"/>
                <w:szCs w:val="15"/>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Arial" w:cs="Arial" w:eastAsia="Arial" w:hAnsi="Arial"/>
                <w:sz w:val="20"/>
                <w:szCs w:val="20"/>
                <w:color w:val="0000FF"/>
              </w:rPr>
              <w:t>C/O BLACKSTONE INC.</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Arial" w:cs="Arial" w:eastAsia="Arial" w:hAnsi="Arial"/>
                <w:sz w:val="20"/>
                <w:szCs w:val="20"/>
                <w:color w:val="0000FF"/>
              </w:rPr>
              <w:t>345 PARK AVENUE</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1500" w:type="dxa"/>
            <w:vAlign w:val="bottom"/>
            <w:gridSpan w:val="3"/>
          </w:tcPr>
          <w:p>
            <w:pPr>
              <w:ind w:left="180"/>
              <w:spacing w:after="0"/>
              <w:rPr>
                <w:sz w:val="20"/>
                <w:szCs w:val="20"/>
                <w:color w:val="auto"/>
              </w:rPr>
            </w:pPr>
            <w:r>
              <w:rPr>
                <w:rFonts w:ascii="Arial" w:cs="Arial" w:eastAsia="Arial" w:hAnsi="Arial"/>
                <w:sz w:val="20"/>
                <w:szCs w:val="20"/>
                <w:color w:val="0000FF"/>
              </w:rPr>
              <w:t>NY</w:t>
            </w:r>
          </w:p>
        </w:tc>
        <w:tc>
          <w:tcPr>
            <w:tcW w:w="1400" w:type="dxa"/>
            <w:vAlign w:val="bottom"/>
          </w:tcPr>
          <w:p>
            <w:pPr>
              <w:ind w:left="60"/>
              <w:spacing w:after="0"/>
              <w:rPr>
                <w:sz w:val="20"/>
                <w:szCs w:val="20"/>
                <w:color w:val="auto"/>
              </w:rPr>
            </w:pPr>
            <w:r>
              <w:rPr>
                <w:rFonts w:ascii="Arial" w:cs="Arial" w:eastAsia="Arial" w:hAnsi="Arial"/>
                <w:sz w:val="20"/>
                <w:szCs w:val="20"/>
                <w:color w:val="0000FF"/>
              </w:rPr>
              <w:t>10154</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500" w:type="dxa"/>
            <w:vAlign w:val="bottom"/>
            <w:gridSpan w:val="3"/>
          </w:tcPr>
          <w:p>
            <w:pPr>
              <w:ind w:left="180"/>
              <w:spacing w:after="0"/>
              <w:rPr>
                <w:sz w:val="20"/>
                <w:szCs w:val="20"/>
                <w:color w:val="auto"/>
              </w:rPr>
            </w:pPr>
            <w:r>
              <w:rPr>
                <w:rFonts w:ascii="Arial" w:cs="Arial" w:eastAsia="Arial" w:hAnsi="Arial"/>
                <w:sz w:val="15"/>
                <w:szCs w:val="15"/>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5"/>
                <w:szCs w:val="15"/>
                <w:color w:val="auto"/>
              </w:rPr>
              <w:t>(Zip)</w:t>
            </w:r>
          </w:p>
        </w:tc>
      </w:tr>
      <w:tr>
        <w:trPr>
          <w:trHeight w:val="101"/>
        </w:trPr>
        <w:tc>
          <w:tcPr>
            <w:tcW w:w="120" w:type="dxa"/>
            <w:vAlign w:val="bottom"/>
            <w:tcBorders>
              <w:bottom w:val="single" w:sz="8" w:color="2C2C2C"/>
            </w:tcBorders>
            <w:gridSpan w:val="2"/>
          </w:tcPr>
          <w:p>
            <w:pPr>
              <w:spacing w:after="0"/>
              <w:rPr>
                <w:sz w:val="8"/>
                <w:szCs w:val="8"/>
                <w:color w:val="auto"/>
              </w:rPr>
            </w:pPr>
          </w:p>
        </w:tc>
        <w:tc>
          <w:tcPr>
            <w:tcW w:w="2460" w:type="dxa"/>
            <w:vAlign w:val="bottom"/>
            <w:tcBorders>
              <w:bottom w:val="single" w:sz="8" w:color="2C2C2C"/>
            </w:tcBorders>
            <w:gridSpan w:val="2"/>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gridSpan w:val="3"/>
          </w:tcPr>
          <w:p>
            <w:pPr>
              <w:spacing w:after="0"/>
              <w:rPr>
                <w:sz w:val="8"/>
                <w:szCs w:val="8"/>
                <w:color w:val="auto"/>
              </w:rPr>
            </w:pPr>
          </w:p>
        </w:tc>
      </w:tr>
      <w:tr>
        <w:trPr>
          <w:trHeight w:val="291"/>
        </w:trPr>
        <w:tc>
          <w:tcPr>
            <w:tcW w:w="4340" w:type="dxa"/>
            <w:vAlign w:val="bottom"/>
            <w:gridSpan w:val="8"/>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gridSpan w:val="4"/>
          </w:tcPr>
          <w:p>
            <w:pPr>
              <w:spacing w:after="0" w:line="249" w:lineRule="exact"/>
              <w:rPr>
                <w:rFonts w:ascii="Arial" w:cs="Arial" w:eastAsia="Arial" w:hAnsi="Arial"/>
                <w:sz w:val="24"/>
                <w:szCs w:val="24"/>
                <w:color w:val="0000EE"/>
                <w:w w:val="93"/>
              </w:rPr>
            </w:pPr>
            <w:hyperlink r:id="rId15">
              <w:r>
                <w:rPr>
                  <w:rFonts w:ascii="Arial" w:cs="Arial" w:eastAsia="Arial" w:hAnsi="Arial"/>
                  <w:sz w:val="24"/>
                  <w:szCs w:val="24"/>
                  <w:color w:val="0000EE"/>
                  <w:w w:val="93"/>
                </w:rPr>
                <w:t>Blackstone Holdings II L.P.</w:t>
              </w:r>
            </w:hyperlink>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20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500" w:type="dxa"/>
            <w:vAlign w:val="bottom"/>
            <w:gridSpan w:val="3"/>
          </w:tcPr>
          <w:p>
            <w:pPr>
              <w:ind w:left="180"/>
              <w:spacing w:after="0"/>
              <w:rPr>
                <w:sz w:val="20"/>
                <w:szCs w:val="20"/>
                <w:color w:val="auto"/>
              </w:rPr>
            </w:pPr>
            <w:r>
              <w:rPr>
                <w:rFonts w:ascii="Arial" w:cs="Arial" w:eastAsia="Arial" w:hAnsi="Arial"/>
                <w:sz w:val="15"/>
                <w:szCs w:val="15"/>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Arial" w:cs="Arial" w:eastAsia="Arial" w:hAnsi="Arial"/>
                <w:sz w:val="20"/>
                <w:szCs w:val="20"/>
                <w:color w:val="0000FF"/>
              </w:rPr>
              <w:t>C/O BLACKSTONE INC.</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Arial" w:cs="Arial" w:eastAsia="Arial" w:hAnsi="Arial"/>
                <w:sz w:val="20"/>
                <w:szCs w:val="20"/>
                <w:color w:val="0000FF"/>
              </w:rPr>
              <w:t>345 PARK AVENUE</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1500" w:type="dxa"/>
            <w:vAlign w:val="bottom"/>
            <w:gridSpan w:val="3"/>
          </w:tcPr>
          <w:p>
            <w:pPr>
              <w:ind w:left="180"/>
              <w:spacing w:after="0"/>
              <w:rPr>
                <w:sz w:val="20"/>
                <w:szCs w:val="20"/>
                <w:color w:val="auto"/>
              </w:rPr>
            </w:pPr>
            <w:r>
              <w:rPr>
                <w:rFonts w:ascii="Arial" w:cs="Arial" w:eastAsia="Arial" w:hAnsi="Arial"/>
                <w:sz w:val="20"/>
                <w:szCs w:val="20"/>
                <w:color w:val="0000FF"/>
              </w:rPr>
              <w:t>NY</w:t>
            </w:r>
          </w:p>
        </w:tc>
        <w:tc>
          <w:tcPr>
            <w:tcW w:w="1400" w:type="dxa"/>
            <w:vAlign w:val="bottom"/>
          </w:tcPr>
          <w:p>
            <w:pPr>
              <w:ind w:left="60"/>
              <w:spacing w:after="0"/>
              <w:rPr>
                <w:sz w:val="20"/>
                <w:szCs w:val="20"/>
                <w:color w:val="auto"/>
              </w:rPr>
            </w:pPr>
            <w:r>
              <w:rPr>
                <w:rFonts w:ascii="Arial" w:cs="Arial" w:eastAsia="Arial" w:hAnsi="Arial"/>
                <w:sz w:val="20"/>
                <w:szCs w:val="20"/>
                <w:color w:val="0000FF"/>
              </w:rPr>
              <w:t>10154</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500" w:type="dxa"/>
            <w:vAlign w:val="bottom"/>
            <w:gridSpan w:val="3"/>
          </w:tcPr>
          <w:p>
            <w:pPr>
              <w:ind w:left="180"/>
              <w:spacing w:after="0"/>
              <w:rPr>
                <w:sz w:val="20"/>
                <w:szCs w:val="20"/>
                <w:color w:val="auto"/>
              </w:rPr>
            </w:pPr>
            <w:r>
              <w:rPr>
                <w:rFonts w:ascii="Arial" w:cs="Arial" w:eastAsia="Arial" w:hAnsi="Arial"/>
                <w:sz w:val="15"/>
                <w:szCs w:val="15"/>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Blackstone Aqua Master Sub-Fund, a sub-</w:t>
        </w:r>
      </w:hyperlink>
    </w:p>
    <w:p>
      <w:pPr>
        <w:spacing w:after="0" w:line="11" w:lineRule="exact"/>
        <w:rPr>
          <w:sz w:val="20"/>
          <w:szCs w:val="20"/>
          <w:color w:val="auto"/>
        </w:rPr>
      </w:pPr>
    </w:p>
    <w:p>
      <w:pPr>
        <w:ind w:left="120"/>
        <w:spacing w:after="0"/>
        <w:rPr>
          <w:rFonts w:ascii="Arial" w:cs="Arial" w:eastAsia="Arial" w:hAnsi="Arial"/>
          <w:sz w:val="24"/>
          <w:szCs w:val="24"/>
          <w:u w:val="single" w:color="auto"/>
          <w:color w:val="0000EE"/>
        </w:rPr>
      </w:pPr>
      <w:hyperlink r:id="rId16">
        <w:r>
          <w:rPr>
            <w:rFonts w:ascii="Arial" w:cs="Arial" w:eastAsia="Arial" w:hAnsi="Arial"/>
            <w:sz w:val="24"/>
            <w:szCs w:val="24"/>
            <w:u w:val="single" w:color="auto"/>
            <w:color w:val="0000EE"/>
          </w:rPr>
          <w:t>fund of Blackstone Global Master Fund</w:t>
        </w:r>
      </w:hyperlink>
    </w:p>
    <w:p>
      <w:pPr>
        <w:ind w:left="120"/>
        <w:spacing w:after="0"/>
        <w:rPr>
          <w:rFonts w:ascii="Arial" w:cs="Arial" w:eastAsia="Arial" w:hAnsi="Arial"/>
          <w:sz w:val="24"/>
          <w:szCs w:val="24"/>
          <w:u w:val="single" w:color="auto"/>
          <w:color w:val="0000EE"/>
        </w:rPr>
      </w:pPr>
      <w:hyperlink r:id="rId16">
        <w:r>
          <w:rPr>
            <w:rFonts w:ascii="Arial" w:cs="Arial" w:eastAsia="Arial" w:hAnsi="Arial"/>
            <w:sz w:val="24"/>
            <w:szCs w:val="24"/>
            <w:u w:val="single" w:color="auto"/>
            <w:color w:val="0000EE"/>
          </w:rPr>
          <w:t>ICAV</w:t>
        </w:r>
      </w:hyperlink>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220" w:type="dxa"/>
            <w:vAlign w:val="bottom"/>
          </w:tcPr>
          <w:p>
            <w:pPr>
              <w:ind w:left="180"/>
              <w:spacing w:after="0"/>
              <w:rPr>
                <w:sz w:val="20"/>
                <w:szCs w:val="20"/>
                <w:color w:val="auto"/>
              </w:rPr>
            </w:pPr>
            <w:r>
              <w:rPr>
                <w:rFonts w:ascii="Arial" w:cs="Arial" w:eastAsia="Arial" w:hAnsi="Arial"/>
                <w:sz w:val="15"/>
                <w:szCs w:val="15"/>
                <w:color w:val="auto"/>
              </w:rPr>
              <w:t>(First)</w:t>
            </w:r>
          </w:p>
        </w:tc>
        <w:tc>
          <w:tcPr>
            <w:tcW w:w="168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Arial" w:cs="Arial" w:eastAsia="Arial" w:hAnsi="Arial"/>
                <w:sz w:val="20"/>
                <w:szCs w:val="20"/>
                <w:color w:val="0000FF"/>
              </w:rPr>
              <w:t>C/O BLACKSTONE INC.</w:t>
            </w:r>
          </w:p>
        </w:tc>
        <w:tc>
          <w:tcPr>
            <w:tcW w:w="168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Arial" w:cs="Arial" w:eastAsia="Arial" w:hAnsi="Arial"/>
                <w:sz w:val="20"/>
                <w:szCs w:val="20"/>
                <w:color w:val="0000FF"/>
              </w:rPr>
              <w:t>345 PARK AVENUE</w:t>
            </w:r>
          </w:p>
        </w:tc>
        <w:tc>
          <w:tcPr>
            <w:tcW w:w="168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299"/>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220" w:type="dxa"/>
            <w:vAlign w:val="bottom"/>
          </w:tcPr>
          <w:p>
            <w:pPr>
              <w:ind w:left="180"/>
              <w:spacing w:after="0"/>
              <w:rPr>
                <w:sz w:val="20"/>
                <w:szCs w:val="20"/>
                <w:color w:val="auto"/>
              </w:rPr>
            </w:pPr>
            <w:r>
              <w:rPr>
                <w:rFonts w:ascii="Arial" w:cs="Arial" w:eastAsia="Arial" w:hAnsi="Arial"/>
                <w:sz w:val="20"/>
                <w:szCs w:val="20"/>
                <w:color w:val="0000FF"/>
              </w:rPr>
              <w:t>NY</w:t>
            </w:r>
          </w:p>
        </w:tc>
        <w:tc>
          <w:tcPr>
            <w:tcW w:w="1680" w:type="dxa"/>
            <w:vAlign w:val="bottom"/>
          </w:tcPr>
          <w:p>
            <w:pPr>
              <w:ind w:left="340"/>
              <w:spacing w:after="0"/>
              <w:rPr>
                <w:sz w:val="20"/>
                <w:szCs w:val="20"/>
                <w:color w:val="auto"/>
              </w:rPr>
            </w:pPr>
            <w:r>
              <w:rPr>
                <w:rFonts w:ascii="Arial" w:cs="Arial" w:eastAsia="Arial" w:hAnsi="Arial"/>
                <w:sz w:val="20"/>
                <w:szCs w:val="20"/>
                <w:color w:val="0000FF"/>
              </w:rPr>
              <w:t>10154</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180"/>
              <w:spacing w:after="0"/>
              <w:rPr>
                <w:sz w:val="20"/>
                <w:szCs w:val="20"/>
                <w:color w:val="auto"/>
              </w:rPr>
            </w:pPr>
            <w:r>
              <w:rPr>
                <w:rFonts w:ascii="Arial" w:cs="Arial" w:eastAsia="Arial" w:hAnsi="Arial"/>
                <w:sz w:val="15"/>
                <w:szCs w:val="15"/>
                <w:color w:val="auto"/>
              </w:rPr>
              <w:t>(State)</w:t>
            </w:r>
          </w:p>
        </w:tc>
        <w:tc>
          <w:tcPr>
            <w:tcW w:w="1680" w:type="dxa"/>
            <w:vAlign w:val="bottom"/>
          </w:tcPr>
          <w:p>
            <w:pPr>
              <w:ind w:left="34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7">
        <w:r>
          <w:rPr>
            <w:rFonts w:ascii="Arial" w:cs="Arial" w:eastAsia="Arial" w:hAnsi="Arial"/>
            <w:sz w:val="24"/>
            <w:szCs w:val="24"/>
            <w:u w:val="single" w:color="auto"/>
            <w:color w:val="0000EE"/>
          </w:rPr>
          <w:t>Blackstone Alternative Solutions L.L.C.</w:t>
        </w:r>
      </w:hyperlink>
    </w:p>
    <w:p>
      <w:pPr>
        <w:spacing w:after="0" w:line="35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BLACKSTONE INC.</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345 PARK AVENUE</w:t>
      </w:r>
    </w:p>
    <w:p>
      <w:pPr>
        <w:sectPr>
          <w:pgSz w:w="11900" w:h="16838" w:orient="portrait"/>
          <w:cols w:equalWidth="0" w:num="1">
            <w:col w:w="9959"/>
          </w:cols>
          <w:pgMar w:left="500" w:top="130" w:right="1440" w:bottom="37" w:gutter="0" w:footer="0" w:header="0"/>
        </w:sectPr>
      </w:pPr>
    </w:p>
    <w:bookmarkStart w:id="2" w:name="page3"/>
    <w:bookmarkEnd w:id="2"/>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893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extLst>
                    </a:blip>
                    <a:srcRect/>
                    <a:stretch>
                      <a:fillRect/>
                    </a:stretch>
                  </pic:blipFill>
                  <pic:spPr bwMode="auto">
                    <a:xfrm>
                      <a:off x="0" y="0"/>
                      <a:ext cx="2798445" cy="89319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9"/>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1460" w:type="dxa"/>
            <w:vAlign w:val="bottom"/>
            <w:gridSpan w:val="2"/>
          </w:tcPr>
          <w:p>
            <w:pPr>
              <w:ind w:left="180"/>
              <w:spacing w:after="0"/>
              <w:rPr>
                <w:sz w:val="20"/>
                <w:szCs w:val="20"/>
                <w:color w:val="auto"/>
              </w:rPr>
            </w:pPr>
            <w:r>
              <w:rPr>
                <w:rFonts w:ascii="Arial" w:cs="Arial" w:eastAsia="Arial" w:hAnsi="Arial"/>
                <w:sz w:val="20"/>
                <w:szCs w:val="20"/>
                <w:color w:val="0000FF"/>
              </w:rPr>
              <w:t>NY</w:t>
            </w:r>
          </w:p>
        </w:tc>
        <w:tc>
          <w:tcPr>
            <w:tcW w:w="1440" w:type="dxa"/>
            <w:vAlign w:val="bottom"/>
          </w:tcPr>
          <w:p>
            <w:pPr>
              <w:ind w:left="100"/>
              <w:spacing w:after="0"/>
              <w:rPr>
                <w:sz w:val="20"/>
                <w:szCs w:val="20"/>
                <w:color w:val="auto"/>
              </w:rPr>
            </w:pPr>
            <w:r>
              <w:rPr>
                <w:rFonts w:ascii="Arial" w:cs="Arial" w:eastAsia="Arial" w:hAnsi="Arial"/>
                <w:sz w:val="20"/>
                <w:szCs w:val="20"/>
                <w:color w:val="0000FF"/>
              </w:rPr>
              <w:t>10154</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460" w:type="dxa"/>
            <w:vAlign w:val="bottom"/>
            <w:gridSpan w:val="2"/>
          </w:tcPr>
          <w:p>
            <w:pPr>
              <w:ind w:left="180"/>
              <w:spacing w:after="0"/>
              <w:rPr>
                <w:sz w:val="20"/>
                <w:szCs w:val="20"/>
                <w:color w:val="auto"/>
              </w:rPr>
            </w:pPr>
            <w:r>
              <w:rPr>
                <w:rFonts w:ascii="Arial" w:cs="Arial" w:eastAsia="Arial" w:hAnsi="Arial"/>
                <w:sz w:val="15"/>
                <w:szCs w:val="15"/>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gridSpan w:val="2"/>
          </w:tcPr>
          <w:p>
            <w:pPr>
              <w:spacing w:after="0"/>
              <w:rPr>
                <w:sz w:val="8"/>
                <w:szCs w:val="8"/>
                <w:color w:val="auto"/>
              </w:rPr>
            </w:pPr>
          </w:p>
        </w:tc>
        <w:tc>
          <w:tcPr>
            <w:tcW w:w="15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3"/>
          </w:tcPr>
          <w:p>
            <w:pPr>
              <w:spacing w:after="0" w:line="249" w:lineRule="exact"/>
              <w:rPr>
                <w:rFonts w:ascii="Arial" w:cs="Arial" w:eastAsia="Arial" w:hAnsi="Arial"/>
                <w:sz w:val="24"/>
                <w:szCs w:val="24"/>
                <w:color w:val="0000EE"/>
                <w:w w:val="94"/>
              </w:rPr>
            </w:pPr>
            <w:hyperlink r:id="rId19">
              <w:r>
                <w:rPr>
                  <w:rFonts w:ascii="Arial" w:cs="Arial" w:eastAsia="Arial" w:hAnsi="Arial"/>
                  <w:sz w:val="24"/>
                  <w:szCs w:val="24"/>
                  <w:color w:val="0000EE"/>
                  <w:w w:val="94"/>
                </w:rPr>
                <w:t>Blackstone Holdings I L.P.</w:t>
              </w:r>
            </w:hyperlink>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38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60" w:type="dxa"/>
            <w:vAlign w:val="bottom"/>
            <w:gridSpan w:val="2"/>
          </w:tcPr>
          <w:p>
            <w:pPr>
              <w:ind w:left="180"/>
              <w:spacing w:after="0"/>
              <w:rPr>
                <w:sz w:val="20"/>
                <w:szCs w:val="20"/>
                <w:color w:val="auto"/>
              </w:rPr>
            </w:pPr>
            <w:r>
              <w:rPr>
                <w:rFonts w:ascii="Arial" w:cs="Arial" w:eastAsia="Arial" w:hAnsi="Arial"/>
                <w:sz w:val="15"/>
                <w:szCs w:val="15"/>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20"/>
                <w:szCs w:val="20"/>
                <w:color w:val="0000FF"/>
              </w:rPr>
              <w:t>C/O BLACKSTONE INC.</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20"/>
                <w:szCs w:val="20"/>
                <w:color w:val="0000FF"/>
              </w:rPr>
              <w:t>345 PARK AVENUE</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1460" w:type="dxa"/>
            <w:vAlign w:val="bottom"/>
            <w:gridSpan w:val="2"/>
          </w:tcPr>
          <w:p>
            <w:pPr>
              <w:ind w:left="180"/>
              <w:spacing w:after="0"/>
              <w:rPr>
                <w:sz w:val="20"/>
                <w:szCs w:val="20"/>
                <w:color w:val="auto"/>
              </w:rPr>
            </w:pPr>
            <w:r>
              <w:rPr>
                <w:rFonts w:ascii="Arial" w:cs="Arial" w:eastAsia="Arial" w:hAnsi="Arial"/>
                <w:sz w:val="20"/>
                <w:szCs w:val="20"/>
                <w:color w:val="0000FF"/>
              </w:rPr>
              <w:t>NY</w:t>
            </w:r>
          </w:p>
        </w:tc>
        <w:tc>
          <w:tcPr>
            <w:tcW w:w="1440" w:type="dxa"/>
            <w:vAlign w:val="bottom"/>
          </w:tcPr>
          <w:p>
            <w:pPr>
              <w:ind w:left="100"/>
              <w:spacing w:after="0"/>
              <w:rPr>
                <w:sz w:val="20"/>
                <w:szCs w:val="20"/>
                <w:color w:val="auto"/>
              </w:rPr>
            </w:pPr>
            <w:r>
              <w:rPr>
                <w:rFonts w:ascii="Arial" w:cs="Arial" w:eastAsia="Arial" w:hAnsi="Arial"/>
                <w:sz w:val="20"/>
                <w:szCs w:val="20"/>
                <w:color w:val="0000FF"/>
              </w:rPr>
              <w:t>10154</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460" w:type="dxa"/>
            <w:vAlign w:val="bottom"/>
            <w:gridSpan w:val="2"/>
          </w:tcPr>
          <w:p>
            <w:pPr>
              <w:ind w:left="180"/>
              <w:spacing w:after="0"/>
              <w:rPr>
                <w:sz w:val="20"/>
                <w:szCs w:val="20"/>
                <w:color w:val="auto"/>
              </w:rPr>
            </w:pPr>
            <w:r>
              <w:rPr>
                <w:rFonts w:ascii="Arial" w:cs="Arial" w:eastAsia="Arial" w:hAnsi="Arial"/>
                <w:sz w:val="15"/>
                <w:szCs w:val="15"/>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20">
        <w:r>
          <w:rPr>
            <w:rFonts w:ascii="Arial" w:cs="Arial" w:eastAsia="Arial" w:hAnsi="Arial"/>
            <w:sz w:val="24"/>
            <w:szCs w:val="24"/>
            <w:u w:val="single" w:color="auto"/>
            <w:color w:val="0000EE"/>
          </w:rPr>
          <w:t>Blackstone Holdings I/II GP L.L.C.</w:t>
        </w:r>
      </w:hyperlink>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220" w:type="dxa"/>
            <w:vAlign w:val="bottom"/>
          </w:tcPr>
          <w:p>
            <w:pPr>
              <w:ind w:left="180"/>
              <w:spacing w:after="0"/>
              <w:rPr>
                <w:sz w:val="20"/>
                <w:szCs w:val="20"/>
                <w:color w:val="auto"/>
              </w:rPr>
            </w:pPr>
            <w:r>
              <w:rPr>
                <w:rFonts w:ascii="Arial" w:cs="Arial" w:eastAsia="Arial" w:hAnsi="Arial"/>
                <w:sz w:val="15"/>
                <w:szCs w:val="15"/>
                <w:color w:val="auto"/>
              </w:rPr>
              <w:t>(First)</w:t>
            </w:r>
          </w:p>
        </w:tc>
        <w:tc>
          <w:tcPr>
            <w:tcW w:w="168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Arial" w:cs="Arial" w:eastAsia="Arial" w:hAnsi="Arial"/>
                <w:sz w:val="20"/>
                <w:szCs w:val="20"/>
                <w:color w:val="0000FF"/>
              </w:rPr>
              <w:t>C/O BLACKSTONE INC.</w:t>
            </w:r>
          </w:p>
        </w:tc>
        <w:tc>
          <w:tcPr>
            <w:tcW w:w="168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Arial" w:cs="Arial" w:eastAsia="Arial" w:hAnsi="Arial"/>
                <w:sz w:val="20"/>
                <w:szCs w:val="20"/>
                <w:color w:val="0000FF"/>
              </w:rPr>
              <w:t>345 PARK AVENUE</w:t>
            </w:r>
          </w:p>
        </w:tc>
        <w:tc>
          <w:tcPr>
            <w:tcW w:w="168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299"/>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220" w:type="dxa"/>
            <w:vAlign w:val="bottom"/>
          </w:tcPr>
          <w:p>
            <w:pPr>
              <w:ind w:left="180"/>
              <w:spacing w:after="0"/>
              <w:rPr>
                <w:sz w:val="20"/>
                <w:szCs w:val="20"/>
                <w:color w:val="auto"/>
              </w:rPr>
            </w:pPr>
            <w:r>
              <w:rPr>
                <w:rFonts w:ascii="Arial" w:cs="Arial" w:eastAsia="Arial" w:hAnsi="Arial"/>
                <w:sz w:val="20"/>
                <w:szCs w:val="20"/>
                <w:color w:val="0000FF"/>
              </w:rPr>
              <w:t>NY</w:t>
            </w:r>
          </w:p>
        </w:tc>
        <w:tc>
          <w:tcPr>
            <w:tcW w:w="1680" w:type="dxa"/>
            <w:vAlign w:val="bottom"/>
          </w:tcPr>
          <w:p>
            <w:pPr>
              <w:ind w:left="340"/>
              <w:spacing w:after="0"/>
              <w:rPr>
                <w:sz w:val="20"/>
                <w:szCs w:val="20"/>
                <w:color w:val="auto"/>
              </w:rPr>
            </w:pPr>
            <w:r>
              <w:rPr>
                <w:rFonts w:ascii="Arial" w:cs="Arial" w:eastAsia="Arial" w:hAnsi="Arial"/>
                <w:sz w:val="20"/>
                <w:szCs w:val="20"/>
                <w:color w:val="0000FF"/>
              </w:rPr>
              <w:t>10154</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180"/>
              <w:spacing w:after="0"/>
              <w:rPr>
                <w:sz w:val="20"/>
                <w:szCs w:val="20"/>
                <w:color w:val="auto"/>
              </w:rPr>
            </w:pPr>
            <w:r>
              <w:rPr>
                <w:rFonts w:ascii="Arial" w:cs="Arial" w:eastAsia="Arial" w:hAnsi="Arial"/>
                <w:sz w:val="15"/>
                <w:szCs w:val="15"/>
                <w:color w:val="auto"/>
              </w:rPr>
              <w:t>(State)</w:t>
            </w:r>
          </w:p>
        </w:tc>
        <w:tc>
          <w:tcPr>
            <w:tcW w:w="1680" w:type="dxa"/>
            <w:vAlign w:val="bottom"/>
          </w:tcPr>
          <w:p>
            <w:pPr>
              <w:ind w:left="34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Arial" w:cs="Arial" w:eastAsia="Arial" w:hAnsi="Arial"/>
          <w:sz w:val="24"/>
          <w:szCs w:val="24"/>
          <w:u w:val="single" w:color="auto"/>
          <w:color w:val="0000EE"/>
        </w:rPr>
      </w:pPr>
      <w:hyperlink r:id="rId21">
        <w:r>
          <w:rPr>
            <w:rFonts w:ascii="Arial" w:cs="Arial" w:eastAsia="Arial" w:hAnsi="Arial"/>
            <w:sz w:val="24"/>
            <w:szCs w:val="24"/>
            <w:u w:val="single" w:color="auto"/>
            <w:color w:val="0000EE"/>
          </w:rPr>
          <w:t>Blackstone Family Tactical Opportunities</w:t>
        </w:r>
      </w:hyperlink>
    </w:p>
    <w:p>
      <w:pPr>
        <w:spacing w:after="0" w:line="1" w:lineRule="exact"/>
        <w:rPr>
          <w:sz w:val="20"/>
          <w:szCs w:val="20"/>
          <w:color w:val="auto"/>
        </w:rPr>
      </w:pPr>
    </w:p>
    <w:p>
      <w:pPr>
        <w:ind w:left="120"/>
        <w:spacing w:after="0"/>
        <w:rPr>
          <w:rFonts w:ascii="Arial" w:cs="Arial" w:eastAsia="Arial" w:hAnsi="Arial"/>
          <w:sz w:val="24"/>
          <w:szCs w:val="24"/>
          <w:u w:val="single" w:color="auto"/>
          <w:color w:val="0000EE"/>
        </w:rPr>
      </w:pPr>
      <w:hyperlink r:id="rId21">
        <w:r>
          <w:rPr>
            <w:rFonts w:ascii="Arial" w:cs="Arial" w:eastAsia="Arial" w:hAnsi="Arial"/>
            <w:sz w:val="24"/>
            <w:szCs w:val="24"/>
            <w:u w:val="single" w:color="auto"/>
            <w:color w:val="0000EE"/>
          </w:rPr>
          <w:t>Investment Partnership III ESC L.P.</w:t>
        </w:r>
      </w:hyperlink>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220" w:type="dxa"/>
            <w:vAlign w:val="bottom"/>
          </w:tcPr>
          <w:p>
            <w:pPr>
              <w:ind w:left="180"/>
              <w:spacing w:after="0"/>
              <w:rPr>
                <w:sz w:val="20"/>
                <w:szCs w:val="20"/>
                <w:color w:val="auto"/>
              </w:rPr>
            </w:pPr>
            <w:r>
              <w:rPr>
                <w:rFonts w:ascii="Arial" w:cs="Arial" w:eastAsia="Arial" w:hAnsi="Arial"/>
                <w:sz w:val="15"/>
                <w:szCs w:val="15"/>
                <w:color w:val="auto"/>
              </w:rPr>
              <w:t>(First)</w:t>
            </w:r>
          </w:p>
        </w:tc>
        <w:tc>
          <w:tcPr>
            <w:tcW w:w="168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Arial" w:cs="Arial" w:eastAsia="Arial" w:hAnsi="Arial"/>
                <w:sz w:val="20"/>
                <w:szCs w:val="20"/>
                <w:color w:val="0000FF"/>
              </w:rPr>
              <w:t>C/O BLACKSTONE INC.</w:t>
            </w:r>
          </w:p>
        </w:tc>
        <w:tc>
          <w:tcPr>
            <w:tcW w:w="168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Arial" w:cs="Arial" w:eastAsia="Arial" w:hAnsi="Arial"/>
                <w:sz w:val="20"/>
                <w:szCs w:val="20"/>
                <w:color w:val="0000FF"/>
              </w:rPr>
              <w:t>345 PARK AVENUE</w:t>
            </w:r>
          </w:p>
        </w:tc>
        <w:tc>
          <w:tcPr>
            <w:tcW w:w="168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299"/>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220" w:type="dxa"/>
            <w:vAlign w:val="bottom"/>
          </w:tcPr>
          <w:p>
            <w:pPr>
              <w:ind w:left="180"/>
              <w:spacing w:after="0"/>
              <w:rPr>
                <w:sz w:val="20"/>
                <w:szCs w:val="20"/>
                <w:color w:val="auto"/>
              </w:rPr>
            </w:pPr>
            <w:r>
              <w:rPr>
                <w:rFonts w:ascii="Arial" w:cs="Arial" w:eastAsia="Arial" w:hAnsi="Arial"/>
                <w:sz w:val="20"/>
                <w:szCs w:val="20"/>
                <w:color w:val="0000FF"/>
              </w:rPr>
              <w:t>NY</w:t>
            </w:r>
          </w:p>
        </w:tc>
        <w:tc>
          <w:tcPr>
            <w:tcW w:w="1680" w:type="dxa"/>
            <w:vAlign w:val="bottom"/>
          </w:tcPr>
          <w:p>
            <w:pPr>
              <w:ind w:left="340"/>
              <w:spacing w:after="0"/>
              <w:rPr>
                <w:sz w:val="20"/>
                <w:szCs w:val="20"/>
                <w:color w:val="auto"/>
              </w:rPr>
            </w:pPr>
            <w:r>
              <w:rPr>
                <w:rFonts w:ascii="Arial" w:cs="Arial" w:eastAsia="Arial" w:hAnsi="Arial"/>
                <w:sz w:val="20"/>
                <w:szCs w:val="20"/>
                <w:color w:val="0000FF"/>
              </w:rPr>
              <w:t>10154</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180"/>
              <w:spacing w:after="0"/>
              <w:rPr>
                <w:sz w:val="20"/>
                <w:szCs w:val="20"/>
                <w:color w:val="auto"/>
              </w:rPr>
            </w:pPr>
            <w:r>
              <w:rPr>
                <w:rFonts w:ascii="Arial" w:cs="Arial" w:eastAsia="Arial" w:hAnsi="Arial"/>
                <w:sz w:val="15"/>
                <w:szCs w:val="15"/>
                <w:color w:val="auto"/>
              </w:rPr>
              <w:t>(State)</w:t>
            </w:r>
          </w:p>
        </w:tc>
        <w:tc>
          <w:tcPr>
            <w:tcW w:w="1680" w:type="dxa"/>
            <w:vAlign w:val="bottom"/>
          </w:tcPr>
          <w:p>
            <w:pPr>
              <w:ind w:left="340"/>
              <w:spacing w:after="0"/>
              <w:rPr>
                <w:sz w:val="20"/>
                <w:szCs w:val="20"/>
                <w:color w:val="auto"/>
              </w:rPr>
            </w:pPr>
            <w:r>
              <w:rPr>
                <w:rFonts w:ascii="Arial" w:cs="Arial" w:eastAsia="Arial" w:hAnsi="Arial"/>
                <w:sz w:val="15"/>
                <w:szCs w:val="15"/>
                <w:color w:val="auto"/>
              </w:rPr>
              <w:t>(Zip)</w:t>
            </w:r>
          </w:p>
        </w:tc>
      </w:tr>
    </w:tbl>
    <w:p>
      <w:pPr>
        <w:spacing w:after="0" w:line="125" w:lineRule="exact"/>
        <w:rPr>
          <w:sz w:val="20"/>
          <w:szCs w:val="20"/>
          <w:color w:val="auto"/>
        </w:rPr>
      </w:pPr>
    </w:p>
    <w:tbl>
      <w:tblPr>
        <w:tblLayout w:type="fixed"/>
        <w:tblInd w:w="80" w:type="dxa"/>
        <w:tblCellMar>
          <w:top w:w="0" w:type="dxa"/>
          <w:left w:w="0" w:type="dxa"/>
          <w:bottom w:w="0" w:type="dxa"/>
          <w:right w:w="0" w:type="dxa"/>
        </w:tblCellMar>
      </w:tblPr>
      <w:tr>
        <w:trPr>
          <w:trHeight w:val="287"/>
        </w:trPr>
        <w:tc>
          <w:tcPr>
            <w:tcW w:w="4140" w:type="dxa"/>
            <w:vAlign w:val="bottom"/>
            <w:gridSpan w:val="6"/>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00" w:type="dxa"/>
            <w:vAlign w:val="bottom"/>
            <w:gridSpan w:val="4"/>
          </w:tcPr>
          <w:p>
            <w:pPr>
              <w:spacing w:after="0" w:line="249" w:lineRule="exact"/>
              <w:rPr>
                <w:rFonts w:ascii="Arial" w:cs="Arial" w:eastAsia="Arial" w:hAnsi="Arial"/>
                <w:sz w:val="24"/>
                <w:szCs w:val="24"/>
                <w:color w:val="0000EE"/>
              </w:rPr>
            </w:pPr>
            <w:hyperlink r:id="rId22">
              <w:r>
                <w:rPr>
                  <w:rFonts w:ascii="Arial" w:cs="Arial" w:eastAsia="Arial" w:hAnsi="Arial"/>
                  <w:sz w:val="24"/>
                  <w:szCs w:val="24"/>
                  <w:color w:val="0000EE"/>
                </w:rPr>
                <w:t>BTO Side-by-Side GP L.L.C.</w:t>
              </w:r>
            </w:hyperlink>
          </w:p>
        </w:tc>
      </w:tr>
      <w:tr>
        <w:trPr>
          <w:trHeight w:val="200"/>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420" w:type="dxa"/>
            <w:vAlign w:val="bottom"/>
            <w:tcBorders>
              <w:top w:val="single" w:sz="8" w:color="0000EE"/>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r>
      <w:tr>
        <w:trPr>
          <w:trHeight w:val="34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220" w:type="dxa"/>
            <w:vAlign w:val="bottom"/>
          </w:tcPr>
          <w:p>
            <w:pPr>
              <w:ind w:left="180"/>
              <w:spacing w:after="0"/>
              <w:rPr>
                <w:sz w:val="20"/>
                <w:szCs w:val="20"/>
                <w:color w:val="auto"/>
              </w:rPr>
            </w:pPr>
            <w:r>
              <w:rPr>
                <w:rFonts w:ascii="Arial" w:cs="Arial" w:eastAsia="Arial" w:hAnsi="Arial"/>
                <w:sz w:val="15"/>
                <w:szCs w:val="15"/>
                <w:color w:val="auto"/>
              </w:rPr>
              <w:t>(First)</w:t>
            </w:r>
          </w:p>
        </w:tc>
        <w:tc>
          <w:tcPr>
            <w:tcW w:w="1680" w:type="dxa"/>
            <w:vAlign w:val="bottom"/>
            <w:gridSpan w:val="2"/>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20"/>
                <w:szCs w:val="20"/>
                <w:color w:val="0000FF"/>
              </w:rPr>
              <w:t>C/O BLACKSTONE INC.</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20"/>
                <w:szCs w:val="20"/>
                <w:color w:val="0000FF"/>
              </w:rPr>
              <w:t>345 PARK AVENUE</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299"/>
        </w:trPr>
        <w:tc>
          <w:tcPr>
            <w:tcW w:w="1240" w:type="dxa"/>
            <w:vAlign w:val="bottom"/>
            <w:gridSpan w:val="3"/>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1220" w:type="dxa"/>
            <w:vAlign w:val="bottom"/>
          </w:tcPr>
          <w:p>
            <w:pPr>
              <w:ind w:left="180"/>
              <w:spacing w:after="0"/>
              <w:rPr>
                <w:sz w:val="20"/>
                <w:szCs w:val="20"/>
                <w:color w:val="auto"/>
              </w:rPr>
            </w:pPr>
            <w:r>
              <w:rPr>
                <w:rFonts w:ascii="Arial" w:cs="Arial" w:eastAsia="Arial" w:hAnsi="Arial"/>
                <w:sz w:val="20"/>
                <w:szCs w:val="20"/>
                <w:color w:val="0000FF"/>
              </w:rPr>
              <w:t>NY</w:t>
            </w:r>
          </w:p>
        </w:tc>
        <w:tc>
          <w:tcPr>
            <w:tcW w:w="1680" w:type="dxa"/>
            <w:vAlign w:val="bottom"/>
            <w:gridSpan w:val="2"/>
          </w:tcPr>
          <w:p>
            <w:pPr>
              <w:ind w:left="340"/>
              <w:spacing w:after="0"/>
              <w:rPr>
                <w:sz w:val="20"/>
                <w:szCs w:val="20"/>
                <w:color w:val="auto"/>
              </w:rPr>
            </w:pPr>
            <w:r>
              <w:rPr>
                <w:rFonts w:ascii="Arial" w:cs="Arial" w:eastAsia="Arial" w:hAnsi="Arial"/>
                <w:sz w:val="20"/>
                <w:szCs w:val="20"/>
                <w:color w:val="0000FF"/>
              </w:rPr>
              <w:t>10154</w:t>
            </w:r>
          </w:p>
        </w:tc>
      </w:tr>
      <w:tr>
        <w:trPr>
          <w:trHeight w:val="17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220" w:type="dxa"/>
            <w:vAlign w:val="bottom"/>
          </w:tcPr>
          <w:p>
            <w:pPr>
              <w:ind w:left="180"/>
              <w:spacing w:after="0"/>
              <w:rPr>
                <w:sz w:val="20"/>
                <w:szCs w:val="20"/>
                <w:color w:val="auto"/>
              </w:rPr>
            </w:pPr>
            <w:r>
              <w:rPr>
                <w:rFonts w:ascii="Arial" w:cs="Arial" w:eastAsia="Arial" w:hAnsi="Arial"/>
                <w:sz w:val="15"/>
                <w:szCs w:val="15"/>
                <w:color w:val="auto"/>
              </w:rPr>
              <w:t>(State)</w:t>
            </w:r>
          </w:p>
        </w:tc>
        <w:tc>
          <w:tcPr>
            <w:tcW w:w="1680" w:type="dxa"/>
            <w:vAlign w:val="bottom"/>
            <w:gridSpan w:val="2"/>
          </w:tcPr>
          <w:p>
            <w:pPr>
              <w:ind w:left="34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firstLine="5"/>
        <w:spacing w:after="0" w:line="241"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Reflects securities directly held by BTO Sema4 Holdings L.P. BTO Holdings Manager L.L.C. is the general partner of BTO Sema4 Holdings L.P. Blackstone Tactical Opportunities Associates L.L.C. is the managing member of BTO Holdings Manager L.L.C. BTOA L.L.C. is the sole member of Blackstone Tactical Opportunities Associates L.L.C.</w:t>
      </w:r>
    </w:p>
    <w:p>
      <w:pPr>
        <w:spacing w:after="0" w:line="35" w:lineRule="exact"/>
        <w:rPr>
          <w:rFonts w:ascii="Arial" w:cs="Arial" w:eastAsia="Arial" w:hAnsi="Arial"/>
          <w:sz w:val="15"/>
          <w:szCs w:val="15"/>
          <w:color w:val="008000"/>
        </w:rPr>
      </w:pPr>
    </w:p>
    <w:p>
      <w:pPr>
        <w:ind w:left="20" w:right="100" w:firstLine="5"/>
        <w:spacing w:after="0" w:line="241"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Reflects securities of the Issuer held directly by Blackstone Tactical Opportunities Fund - FD L.P. 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GP-NQ L.L.C.</w:t>
      </w:r>
    </w:p>
    <w:p>
      <w:pPr>
        <w:spacing w:after="0" w:line="35" w:lineRule="exact"/>
        <w:rPr>
          <w:rFonts w:ascii="Arial" w:cs="Arial" w:eastAsia="Arial" w:hAnsi="Arial"/>
          <w:sz w:val="15"/>
          <w:szCs w:val="15"/>
          <w:color w:val="008000"/>
        </w:rPr>
      </w:pPr>
    </w:p>
    <w:p>
      <w:pPr>
        <w:ind w:left="20" w:right="28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Reflects securities directly held by Blackstone Family Tactical Opportunistic Investment Partnership III ESC L.P. BTO Side-by-Side GP L.L.C. is the general partner of Blackstone Family Tactical Opportunistic Investment Partnership III ESC L.P.</w:t>
      </w:r>
    </w:p>
    <w:p>
      <w:pPr>
        <w:spacing w:after="0" w:line="26" w:lineRule="exact"/>
        <w:rPr>
          <w:rFonts w:ascii="Arial" w:cs="Arial" w:eastAsia="Arial" w:hAnsi="Arial"/>
          <w:sz w:val="15"/>
          <w:szCs w:val="15"/>
          <w:color w:val="008000"/>
        </w:rPr>
      </w:pPr>
    </w:p>
    <w:p>
      <w:pPr>
        <w:ind w:left="20" w:right="100" w:firstLine="5"/>
        <w:spacing w:after="0" w:line="288" w:lineRule="auto"/>
        <w:tabs>
          <w:tab w:leader="none" w:pos="17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securities directly held by Blackstone Aqua Master Sub-Fund, a sub-fund of Blackstone Global Master Fund ICAV. Blackstone Alternative Solutions L.L.C. is the investment manager of Blackstone Aqua Master Sub-Fund. Blackstone Holdings I L.P. is the sole member of Blackstone Alternative Solutions L.L.C.</w:t>
      </w:r>
    </w:p>
    <w:p>
      <w:pPr>
        <w:spacing w:after="0" w:line="3" w:lineRule="exact"/>
        <w:rPr>
          <w:rFonts w:ascii="Arial" w:cs="Arial" w:eastAsia="Arial" w:hAnsi="Arial"/>
          <w:sz w:val="14"/>
          <w:szCs w:val="14"/>
          <w:color w:val="008000"/>
        </w:rPr>
      </w:pPr>
    </w:p>
    <w:p>
      <w:pPr>
        <w:ind w:left="20" w:right="2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Blackstone Holdings III L.P. is the managing member of BTOA L.L.C. and the sole member of BTO Side-by-Side GP L.L.C. Blackstone Holdings III GP L.P. is the general partner of Blackstone Holdings III L.P. Blackstone Holdings III GP Management L.L.C. is the general partner of Blackstone Holdings III GP L.P.</w:t>
      </w:r>
    </w:p>
    <w:p>
      <w:pPr>
        <w:sectPr>
          <w:pgSz w:w="11900" w:h="16900" w:orient="portrait"/>
          <w:cols w:equalWidth="0" w:num="1">
            <w:col w:w="10540"/>
          </w:cols>
          <w:pgMar w:left="500" w:top="140" w:right="859" w:bottom="0" w:gutter="0" w:footer="0" w:header="0"/>
        </w:sectPr>
      </w:pPr>
    </w:p>
    <w:bookmarkStart w:id="3" w:name="page4"/>
    <w:bookmarkEnd w:id="3"/>
    <w:p>
      <w:pPr>
        <w:ind w:left="160" w:hanging="155"/>
        <w:spacing w:after="0"/>
        <w:tabs>
          <w:tab w:leader="none" w:pos="16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Blackstone Holdings I/II GP L.L.C. is the general partner of each of Blackstone Holdings I L.P. and Blackstone Holdings II L.P.</w:t>
      </w:r>
    </w:p>
    <w:p>
      <w:pPr>
        <w:spacing w:after="0" w:line="52" w:lineRule="exact"/>
        <w:rPr>
          <w:rFonts w:ascii="Arial" w:cs="Arial" w:eastAsia="Arial" w:hAnsi="Arial"/>
          <w:sz w:val="15"/>
          <w:szCs w:val="15"/>
          <w:color w:val="008000"/>
        </w:rPr>
      </w:pPr>
    </w:p>
    <w:p>
      <w:pPr>
        <w:ind w:right="60" w:firstLine="5"/>
        <w:spacing w:after="0" w:line="241"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Blackstone Inc. is the sole member of each of Blackstone Holdings I/II GP L.L.C. and Blackstone Holdings III GP Management L.L.C. The sole holder of the Series II preferred stock of Blackstone Inc. is Blackstone Group Management L.L.C. Blackstone Group Management L.L.C. is wholly-owned by Blackstone's senior managing directors and controlled by its founder, Stephen A. Schwarzman.</w:t>
      </w:r>
    </w:p>
    <w:p>
      <w:pPr>
        <w:spacing w:after="0" w:line="35" w:lineRule="exact"/>
        <w:rPr>
          <w:rFonts w:ascii="Arial" w:cs="Arial" w:eastAsia="Arial" w:hAnsi="Arial"/>
          <w:sz w:val="15"/>
          <w:szCs w:val="15"/>
          <w:color w:val="008000"/>
        </w:rPr>
      </w:pPr>
    </w:p>
    <w:p>
      <w:pPr>
        <w:ind w:right="120" w:firstLine="5"/>
        <w:spacing w:after="0" w:line="241"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Reflects Earnout Rights acquired pursuant to the business combination (the "Business Combination") between the Issuer (which was formerly known as CM Life Sciences, Inc. or "CMLS") and Mount Sinai Genomics, Inc. d/b/a Sema4 ("Sema4"), pursuant to the terms of an Agreement and Plan of Merger, dated February 9, 2021, (as amended, the "Merger Agreement"). The transactions contemplated by the Merger Agreement closed on July 22, 2021.</w:t>
      </w:r>
    </w:p>
    <w:p>
      <w:pPr>
        <w:spacing w:after="0" w:line="35" w:lineRule="exact"/>
        <w:rPr>
          <w:rFonts w:ascii="Arial" w:cs="Arial" w:eastAsia="Arial" w:hAnsi="Arial"/>
          <w:sz w:val="15"/>
          <w:szCs w:val="15"/>
          <w:color w:val="008000"/>
        </w:rPr>
      </w:pPr>
    </w:p>
    <w:p>
      <w:pPr>
        <w:ind w:firstLine="5"/>
        <w:spacing w:after="0" w:line="235"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Pursuant to earnout provisions in the Merger Agreement, the Reporting Persons are entitled to receive shares of Class A Common Stock if, from the closing of the transaction until the second anniversary thereof, the volume-weighted average price of the Class A Common Stock equals or exceeds certain thresholds. Of these Earnout Rights, one-third will be issued if the volume-weighted average price of the Class A Common Stock equals or exceeds $13.00 for any 20 trading days within any 30 trading day period, one-third will be issued if the volume-weighted average price of the Class A Common Stock equals or exceeds $15.00 for any 20 trading days within any 30 trading day period, and one-third will be issued if the volume-weighted average price of the Class A Common Stock equals or exceeds $18.00 for any 20 trading days within any 30 trading day period, in each case, subject to adjustment as provided in the Merger Agreement.</w:t>
      </w:r>
    </w:p>
    <w:p>
      <w:pPr>
        <w:spacing w:after="0" w:line="37" w:lineRule="exact"/>
        <w:rPr>
          <w:rFonts w:ascii="Arial" w:cs="Arial" w:eastAsia="Arial" w:hAnsi="Arial"/>
          <w:sz w:val="15"/>
          <w:szCs w:val="15"/>
          <w:color w:val="008000"/>
        </w:rPr>
      </w:pPr>
    </w:p>
    <w:p>
      <w:pPr>
        <w:ind w:left="240" w:hanging="235"/>
        <w:spacing w:after="0"/>
        <w:tabs>
          <w:tab w:leader="none" w:pos="24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Due to the limitations of the electronic filing system certain Reporting Persons are filing a separate Form 3.</w:t>
      </w:r>
    </w:p>
    <w:p>
      <w:pPr>
        <w:spacing w:after="0" w:line="52" w:lineRule="exact"/>
        <w:rPr>
          <w:rFonts w:ascii="Arial" w:cs="Arial" w:eastAsia="Arial" w:hAnsi="Arial"/>
          <w:sz w:val="15"/>
          <w:szCs w:val="15"/>
          <w:color w:val="008000"/>
        </w:rPr>
      </w:pPr>
    </w:p>
    <w:p>
      <w:pPr>
        <w:ind w:right="820" w:firstLine="5"/>
        <w:spacing w:after="0" w:line="253" w:lineRule="auto"/>
        <w:tabs>
          <w:tab w:leader="none" w:pos="22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Information with respect to each of the Reporting Persons is given solely by such Reporting Person, and no Reporting Person has responsibility for the accuracy or completeness of information supplied by another Reporting Person.</w:t>
      </w:r>
    </w:p>
    <w:p>
      <w:pPr>
        <w:spacing w:after="0" w:line="26" w:lineRule="exact"/>
        <w:rPr>
          <w:rFonts w:ascii="Arial" w:cs="Arial" w:eastAsia="Arial" w:hAnsi="Arial"/>
          <w:sz w:val="15"/>
          <w:szCs w:val="15"/>
          <w:color w:val="008000"/>
        </w:rPr>
      </w:pPr>
    </w:p>
    <w:p>
      <w:pPr>
        <w:ind w:right="100" w:firstLine="5"/>
        <w:spacing w:after="0" w:line="260" w:lineRule="auto"/>
        <w:tabs>
          <w:tab w:leader="none" w:pos="22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Each of the Reporting Persons (other than to the extent it directly holds securities reported herein) disclaims beneficial ownership of the securities held by the other Reporting Persons, except to the extent of such Reporting Person's pecuniary interest therein, and, pursuant to Rule 16a-1(a)(4) under the Securities Exchange Act of 1934, each of the Reporting Persons (other than to the extent it directly holds securities reported herein) states that the inclusion of these securities in this report shall not be deemed an admission of beneficial ownership of all of the reported securities for purposes of Section 16 or for any other purpose.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ectPr>
          <w:pgSz w:w="11900" w:h="16838" w:orient="portrait"/>
          <w:cols w:equalWidth="0" w:num="1">
            <w:col w:w="10840"/>
          </w:cols>
          <w:pgMar w:left="520" w:top="159" w:right="539" w:bottom="0" w:gutter="0" w:footer="0" w:header="0"/>
        </w:sectPr>
      </w:pPr>
    </w:p>
    <w:p>
      <w:pPr>
        <w:spacing w:after="0" w:line="156"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81661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extLst>
                    </a:blip>
                    <a:srcRect/>
                    <a:stretch>
                      <a:fillRect/>
                    </a:stretch>
                  </pic:blipFill>
                  <pic:spPr bwMode="auto">
                    <a:xfrm>
                      <a:off x="0" y="0"/>
                      <a:ext cx="81661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TACTICAL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60261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extLst>
                    </a:blip>
                    <a:srcRect/>
                    <a:stretch>
                      <a:fillRect/>
                    </a:stretch>
                  </pic:blipFill>
                  <pic:spPr bwMode="auto">
                    <a:xfrm>
                      <a:off x="0" y="0"/>
                      <a:ext cx="6026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OPPORTUNITIES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762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13" w:lineRule="exact"/>
        <w:rPr>
          <w:sz w:val="20"/>
          <w:szCs w:val="20"/>
          <w:color w:val="auto"/>
        </w:rPr>
      </w:pPr>
    </w:p>
    <w:p>
      <w:pPr>
        <w:ind w:left="6540" w:hanging="7"/>
        <w:spacing w:after="0" w:line="278" w:lineRule="auto"/>
        <w:tabs>
          <w:tab w:leader="none" w:pos="6654" w:val="left"/>
        </w:tabs>
        <w:numPr>
          <w:ilvl w:val="0"/>
          <w:numId w:val="6"/>
        </w:numPr>
        <w:rPr>
          <w:rFonts w:ascii="Arial" w:cs="Arial" w:eastAsia="Arial" w:hAnsi="Arial"/>
          <w:sz w:val="18"/>
          <w:szCs w:val="18"/>
          <w:color w:val="0000FF"/>
        </w:rPr>
      </w:pPr>
      <w:r>
        <w:rPr>
          <w:rFonts w:ascii="Arial" w:cs="Arial" w:eastAsia="Arial" w:hAnsi="Arial"/>
          <w:sz w:val="18"/>
          <w:szCs w:val="18"/>
          <w:color w:val="0000FF"/>
        </w:rPr>
        <w:t>FD L.P. , By: Blackstone Tactical Opportunities Associates III - NQ L.P., GP, By: BTO DE GP - NQ L.L.C., GP, By: Blackstone Holdings II L.P., MM, By: Blackstone Holdings I/II GP L.L.C., GP, By: /s/ Tabea Hsi,</w:t>
      </w:r>
    </w:p>
    <w:p>
      <w:pPr>
        <w:spacing w:after="0" w:line="3" w:lineRule="exact"/>
        <w:rPr>
          <w:rFonts w:ascii="Arial" w:cs="Arial" w:eastAsia="Arial" w:hAnsi="Arial"/>
          <w:sz w:val="18"/>
          <w:szCs w:val="18"/>
          <w:color w:val="0000FF"/>
        </w:rPr>
      </w:pPr>
    </w:p>
    <w:p>
      <w:pPr>
        <w:ind w:left="6540"/>
        <w:spacing w:after="0"/>
        <w:rPr>
          <w:rFonts w:ascii="Arial" w:cs="Arial" w:eastAsia="Arial" w:hAnsi="Arial"/>
          <w:sz w:val="18"/>
          <w:szCs w:val="18"/>
          <w:color w:val="0000FF"/>
        </w:rPr>
      </w:pPr>
      <w:r>
        <w:rPr>
          <w:rFonts w:ascii="Arial" w:cs="Arial" w:eastAsia="Arial" w:hAnsi="Arial"/>
          <w:sz w:val="20"/>
          <w:szCs w:val="20"/>
          <w:color w:val="0000FF"/>
        </w:rPr>
        <w:t>SMD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-1392555</wp:posOffset>
            </wp:positionV>
            <wp:extent cx="130746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307465"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-1240155</wp:posOffset>
            </wp:positionV>
            <wp:extent cx="110236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0236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-1087755</wp:posOffset>
            </wp:positionV>
            <wp:extent cx="122110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221105"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-935355</wp:posOffset>
            </wp:positionV>
            <wp:extent cx="132969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32969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-782320</wp:posOffset>
            </wp:positionV>
            <wp:extent cx="77406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774065"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-629920</wp:posOffset>
            </wp:positionV>
            <wp:extent cx="114871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148715"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-477520</wp:posOffset>
            </wp:positionV>
            <wp:extent cx="129730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97305"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-325120</wp:posOffset>
            </wp:positionV>
            <wp:extent cx="122174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22174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-172720</wp:posOffset>
            </wp:positionV>
            <wp:extent cx="109220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09220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-20320</wp:posOffset>
            </wp:positionV>
            <wp:extent cx="26860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26860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81661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81661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TACTICAL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6026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6026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932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9493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ASSOCIATES III - NQ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348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17348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L.P., By: BTO DE GP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6776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16776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NQ L.L.C., GP,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8425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9842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Blackstone Holdings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4871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487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L.P., MM, By: 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730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Holdings I/II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2174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2217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GP, 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220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922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Senior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048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300480" cy="9525"/>
                    </a:xfrm>
                    <a:prstGeom prst="rect">
                      <a:avLst/>
                    </a:prstGeom>
                    <a:noFill/>
                  </pic:spPr>
                </pic:pic>
              </a:graphicData>
            </a:graphic>
          </wp:anchor>
        </w:drawing>
      </w:r>
    </w:p>
    <w:p>
      <w:pPr>
        <w:spacing w:after="0" w:line="65"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BTO DE GP - NQ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30175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30175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By: Blackstone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523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245235" cy="9525"/>
                    </a:xfrm>
                    <a:prstGeom prst="rect">
                      <a:avLst/>
                    </a:prstGeom>
                    <a:noFill/>
                  </pic:spPr>
                </pic:pic>
              </a:graphicData>
            </a:graphic>
          </wp:anchor>
        </w:drawing>
      </w:r>
    </w:p>
    <w:p>
      <w:pPr>
        <w:spacing w:after="0" w:line="13" w:lineRule="exact"/>
        <w:rPr>
          <w:sz w:val="20"/>
          <w:szCs w:val="20"/>
          <w:color w:val="auto"/>
        </w:rPr>
      </w:pPr>
    </w:p>
    <w:p>
      <w:pPr>
        <w:ind w:left="6540" w:right="80" w:hanging="7"/>
        <w:spacing w:after="0" w:line="284" w:lineRule="auto"/>
        <w:tabs>
          <w:tab w:leader="none" w:pos="6719" w:val="left"/>
        </w:tabs>
        <w:numPr>
          <w:ilvl w:val="0"/>
          <w:numId w:val="7"/>
        </w:numPr>
        <w:rPr>
          <w:rFonts w:ascii="Arial" w:cs="Arial" w:eastAsia="Arial" w:hAnsi="Arial"/>
          <w:sz w:val="18"/>
          <w:szCs w:val="18"/>
          <w:color w:val="0000FF"/>
        </w:rPr>
      </w:pPr>
      <w:r>
        <w:rPr>
          <w:rFonts w:ascii="Arial" w:cs="Arial" w:eastAsia="Arial" w:hAnsi="Arial"/>
          <w:sz w:val="18"/>
          <w:szCs w:val="18"/>
          <w:color w:val="0000FF"/>
        </w:rPr>
        <w:t>L.P., its managing member, By: Blackstone Holdings I/II GP L.L.C., its general partner, By: /s/ Tabea Hsi, Name: Tabea Hsi, Title: Senior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-962660</wp:posOffset>
            </wp:positionV>
            <wp:extent cx="100457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00457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-810260</wp:posOffset>
            </wp:positionV>
            <wp:extent cx="122301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2301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-657860</wp:posOffset>
            </wp:positionV>
            <wp:extent cx="122174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22174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-505460</wp:posOffset>
            </wp:positionV>
            <wp:extent cx="127825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278255"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-353060</wp:posOffset>
            </wp:positionV>
            <wp:extent cx="121412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21412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-200660</wp:posOffset>
            </wp:positionV>
            <wp:extent cx="85217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85217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-48260</wp:posOffset>
            </wp:positionV>
            <wp:extent cx="94615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816610"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81661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HOLDINGS 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094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21094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Blackstone Holdings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2491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22491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093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09093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29349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9349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Name: Tabea Hsi,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8427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18427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Senior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0480"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30048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0000FF"/>
        </w:rPr>
        <w:t>08/30/2021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0000FF"/>
        </w:rPr>
        <w:t>08/30/2021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0000FF"/>
        </w:rPr>
        <w:t>08/30/2021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08/30/2021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824" w:lineRule="exact"/>
        <w:rPr>
          <w:sz w:val="20"/>
          <w:szCs w:val="20"/>
          <w:color w:val="auto"/>
        </w:rPr>
      </w:pPr>
    </w:p>
    <w:p>
      <w:pPr>
        <w:sectPr>
          <w:pgSz w:w="11900" w:h="16838" w:orient="portrait"/>
          <w:cols w:equalWidth="0" w:num="2">
            <w:col w:w="8620" w:space="100"/>
            <w:col w:w="2120"/>
          </w:cols>
          <w:pgMar w:left="520" w:top="159" w:right="539" w:bottom="0" w:gutter="0" w:footer="0" w:header="0"/>
          <w:type w:val="continuous"/>
        </w:sectPr>
      </w:pPr>
    </w:p>
    <w:p>
      <w:pPr>
        <w:ind w:left="6540"/>
        <w:spacing w:after="0"/>
        <w:rPr>
          <w:sz w:val="20"/>
          <w:szCs w:val="20"/>
          <w:color w:val="auto"/>
        </w:rPr>
      </w:pPr>
      <w:r>
        <w:rPr>
          <w:rFonts w:ascii="Arial" w:cs="Arial" w:eastAsia="Arial" w:hAnsi="Arial"/>
          <w:sz w:val="18"/>
          <w:szCs w:val="18"/>
          <w:color w:val="0000FF"/>
        </w:rPr>
        <w:t>BLACKSTONE GLOBAL 08/30/2021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95580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MASTER FUND ICAV,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03325"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2033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ACTING SOLELY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0940"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1709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BEHALF OF ITS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00785"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20078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FUND, 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6025"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2160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AQUA MASTER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04595"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20459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FUND, By: 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9510"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15951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Alternative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6005"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0560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L.L.C., its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80135"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0801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manager, Name: /s/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47140"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247140" cy="9525"/>
                    </a:xfrm>
                    <a:prstGeom prst="rect">
                      <a:avLst/>
                    </a:prstGeom>
                    <a:noFill/>
                  </pic:spPr>
                </pic:pic>
              </a:graphicData>
            </a:graphic>
          </wp:anchor>
        </w:drawing>
      </w:r>
    </w:p>
    <w:p>
      <w:pPr>
        <w:sectPr>
          <w:pgSz w:w="11900" w:h="16838" w:orient="portrait"/>
          <w:cols w:equalWidth="0" w:num="1">
            <w:col w:w="10840"/>
          </w:cols>
          <w:pgMar w:left="520" w:top="159" w:right="539" w:bottom="0" w:gutter="0" w:footer="0" w:header="0"/>
          <w:type w:val="continuous"/>
        </w:sectPr>
      </w:pPr>
    </w:p>
    <w:bookmarkStart w:id="4" w:name="page5"/>
    <w:bookmarkEnd w:id="4"/>
    <w:p>
      <w:pPr>
        <w:ind w:left="6540"/>
        <w:spacing w:after="0"/>
        <w:rPr>
          <w:sz w:val="20"/>
          <w:szCs w:val="20"/>
          <w:color w:val="auto"/>
        </w:rPr>
      </w:pPr>
      <w:r>
        <w:rPr>
          <w:rFonts w:ascii="Arial" w:cs="Arial" w:eastAsia="Arial" w:hAnsi="Arial"/>
          <w:sz w:val="18"/>
          <w:szCs w:val="18"/>
          <w:color w:val="0000FF"/>
        </w:rPr>
        <w:t>Koffler,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71270"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27127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37185"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33718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816610"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81661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ALTERNATIVE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35025" cy="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8350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SOLUTIONS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5845" cy="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04584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Name: /s/ Peter Koffler,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83005" cy="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1830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20470" cy="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220470" cy="9525"/>
                    </a:xfrm>
                    <a:prstGeom prst="rect">
                      <a:avLst/>
                    </a:prstGeom>
                    <a:noFill/>
                  </pic:spPr>
                </pic:pic>
              </a:graphicData>
            </a:graphic>
          </wp:anchor>
        </w:drawing>
      </w:r>
    </w:p>
    <w:p>
      <w:pPr>
        <w:spacing w:after="0" w:line="6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816610" cy="9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81661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HOLDINGS 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0305" cy="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1703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Blackstone Holdings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24915" cy="9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22491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8075" cy="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10807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 Name: /s/ Tabea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10945" cy="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2109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Hsi, Title: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52170" cy="9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85217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816610" cy="9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81661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HOLDINGS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1555" cy="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01155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L.L.C., 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74445" cy="9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2744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Name: Tabea Hsi,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84275" cy="9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18427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Senior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00480" cy="9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300480" cy="9525"/>
                    </a:xfrm>
                    <a:prstGeom prst="rect">
                      <a:avLst/>
                    </a:prstGeom>
                    <a:noFill/>
                  </pic:spPr>
                </pic:pic>
              </a:graphicData>
            </a:graphic>
          </wp:anchor>
        </w:drawing>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BLACKSTONE 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301115" cy="9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30111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TACTICAL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602615" cy="95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6026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9325" cy="9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9493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91210" cy="95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9121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PARTNERSHIP III ESC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26820" cy="9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122682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L.P., By: BTO Side-by-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67765" cy="9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116776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Side GP L.L.C., its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53160" cy="95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115316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By: Blackstone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5235" cy="95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1245235" cy="9525"/>
                    </a:xfrm>
                    <a:prstGeom prst="rect">
                      <a:avLst/>
                    </a:prstGeom>
                    <a:noFill/>
                  </pic:spPr>
                </pic:pic>
              </a:graphicData>
            </a:graphic>
          </wp:anchor>
        </w:drawing>
      </w:r>
    </w:p>
    <w:p>
      <w:pPr>
        <w:spacing w:after="0" w:line="13" w:lineRule="exact"/>
        <w:rPr>
          <w:sz w:val="20"/>
          <w:szCs w:val="20"/>
          <w:color w:val="auto"/>
        </w:rPr>
      </w:pPr>
    </w:p>
    <w:p>
      <w:pPr>
        <w:ind w:left="6540" w:right="120" w:hanging="7"/>
        <w:spacing w:after="0" w:line="288" w:lineRule="auto"/>
        <w:tabs>
          <w:tab w:leader="none" w:pos="6784" w:val="left"/>
        </w:tabs>
        <w:numPr>
          <w:ilvl w:val="0"/>
          <w:numId w:val="8"/>
        </w:numPr>
        <w:rPr>
          <w:rFonts w:ascii="Arial" w:cs="Arial" w:eastAsia="Arial" w:hAnsi="Arial"/>
          <w:sz w:val="18"/>
          <w:szCs w:val="18"/>
          <w:color w:val="0000FF"/>
        </w:rPr>
      </w:pPr>
      <w:r>
        <w:rPr>
          <w:rFonts w:ascii="Arial" w:cs="Arial" w:eastAsia="Arial" w:hAnsi="Arial"/>
          <w:sz w:val="18"/>
          <w:szCs w:val="18"/>
          <w:color w:val="0000FF"/>
        </w:rPr>
        <w:t>L.P., its SM, By: Blackstone Holdings III GP Management L.L.C., its indirect GP, By: /s/ Tabea Hsi, SMD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-662940</wp:posOffset>
            </wp:positionV>
            <wp:extent cx="977265" cy="95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977265"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-510540</wp:posOffset>
            </wp:positionV>
            <wp:extent cx="1190625" cy="95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1190625"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-358140</wp:posOffset>
            </wp:positionV>
            <wp:extent cx="1224915" cy="95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1224915"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-205105</wp:posOffset>
            </wp:positionV>
            <wp:extent cx="1090930" cy="95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109093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-52705</wp:posOffset>
            </wp:positionV>
            <wp:extent cx="827405" cy="95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8274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BTO SIDE-BY-SIDE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57300" cy="95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125730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L.L.C., By: 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49350" cy="95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11493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Holdings III L.P.,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2060" cy="95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member, By: 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23010" cy="95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12230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Holdings III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00785" cy="95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120078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82345" cy="95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98234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Blackstone Holdings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0625" cy="95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11906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GP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24915" cy="95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122491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0300" cy="95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/s/Tabea Hsi,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9490" cy="95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9994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0000FF"/>
        </w:rPr>
        <w:t>08/30/2021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08/30/2021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08/30/2021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0000FF"/>
        </w:rPr>
        <w:t>08/30/2021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0000FF"/>
        </w:rPr>
        <w:t>08/30/2021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1306" w:lineRule="exact"/>
        <w:rPr>
          <w:sz w:val="20"/>
          <w:szCs w:val="20"/>
          <w:color w:val="auto"/>
        </w:rPr>
      </w:pPr>
    </w:p>
    <w:p>
      <w:pPr>
        <w:sectPr>
          <w:pgSz w:w="11900" w:h="16838" w:orient="portrait"/>
          <w:cols w:equalWidth="0" w:num="2">
            <w:col w:w="8580" w:space="140"/>
            <w:col w:w="2100"/>
          </w:cols>
          <w:pgMar w:left="520" w:top="130" w:right="559" w:bottom="1440" w:gutter="0" w:footer="0" w:header="0"/>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30"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4"/>
    </w:lvl>
  </w:abstractNum>
  <w:abstractNum w:abstractNumId="1">
    <w:nsid w:val="3D1B58BA"/>
    <w:multiLevelType w:val="hybridMultilevel"/>
    <w:lvl w:ilvl="0">
      <w:lvlJc w:val="left"/>
      <w:lvlText w:val="%1."/>
      <w:numFmt w:val="decimal"/>
      <w:start w:val="5"/>
    </w:lvl>
  </w:abstractNum>
  <w:abstractNum w:abstractNumId="2">
    <w:nsid w:val="507ED7AB"/>
    <w:multiLevelType w:val="hybridMultilevel"/>
    <w:lvl w:ilvl="0">
      <w:lvlJc w:val="left"/>
      <w:lvlText w:val="X"/>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6"/>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upperLetter"/>
      <w:start w:val="35"/>
    </w:lvl>
  </w:abstractNum>
  <w:abstractNum w:abstractNumId="7">
    <w:nsid w:val="515F007C"/>
    <w:multiLevelType w:val="hybridMultilevel"/>
    <w:lvl w:ilvl="0">
      <w:lvlJc w:val="left"/>
      <w:lvlText w:val="%1"/>
      <w:numFmt w:val="upperLetter"/>
      <w:start w:val="6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8"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0" Type="http://schemas.openxmlformats.org/officeDocument/2006/relationships/hyperlink" Target="http://www.sec.gov/cgi-bin/browse-edgar?action=getcompany&amp;CIK=0001825978" TargetMode="External"/><Relationship Id="rId11" Type="http://schemas.openxmlformats.org/officeDocument/2006/relationships/hyperlink" Target="http://www.sec.gov/cgi-bin/browse-edgar?action=getcompany&amp;CIK=0001818331" TargetMode="External"/><Relationship Id="rId13" Type="http://schemas.openxmlformats.org/officeDocument/2006/relationships/hyperlink" Target="http://www.sec.gov/cgi-bin/browse-edgar?action=getcompany&amp;CIK=0001826419" TargetMode="External"/><Relationship Id="rId14" Type="http://schemas.openxmlformats.org/officeDocument/2006/relationships/hyperlink" Target="http://www.sec.gov/cgi-bin/browse-edgar?action=getcompany&amp;CIK=0001826374" TargetMode="External"/><Relationship Id="rId15" Type="http://schemas.openxmlformats.org/officeDocument/2006/relationships/hyperlink" Target="http://www.sec.gov/cgi-bin/browse-edgar?action=getcompany&amp;CIK=0001484870" TargetMode="External"/><Relationship Id="rId16" Type="http://schemas.openxmlformats.org/officeDocument/2006/relationships/hyperlink" Target="http://www.sec.gov/cgi-bin/browse-edgar?action=getcompany&amp;CIK=0001876914" TargetMode="External"/><Relationship Id="rId17" Type="http://schemas.openxmlformats.org/officeDocument/2006/relationships/hyperlink" Target="http://www.sec.gov/cgi-bin/browse-edgar?action=getcompany&amp;CIK=0001728531" TargetMode="External"/><Relationship Id="rId19" Type="http://schemas.openxmlformats.org/officeDocument/2006/relationships/hyperlink" Target="http://www.sec.gov/cgi-bin/browse-edgar?action=getcompany&amp;CIK=0001464694" TargetMode="External"/><Relationship Id="rId20" Type="http://schemas.openxmlformats.org/officeDocument/2006/relationships/hyperlink" Target="http://www.sec.gov/cgi-bin/browse-edgar?action=getcompany&amp;CIK=0001464695" TargetMode="External"/><Relationship Id="rId21" Type="http://schemas.openxmlformats.org/officeDocument/2006/relationships/hyperlink" Target="http://www.sec.gov/cgi-bin/browse-edgar?action=getcompany&amp;CIK=0001757294" TargetMode="External"/><Relationship Id="rId22" Type="http://schemas.openxmlformats.org/officeDocument/2006/relationships/hyperlink" Target="http://www.sec.gov/cgi-bin/browse-edgar?action=getcompany&amp;CIK=00017005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2021-08-30T15:33:10Z</dcterms:created>
  <dcterms:modified xsi:type="dcterms:W3CDTF">2021-08-30T15:33:10Z</dcterms:modified>
</cp:coreProperties>
</file>