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80" w:type="dxa"/>
            <w:vAlign w:val="bottom"/>
            <w:gridSpan w:val="2"/>
            <w:vMerge w:val="restart"/>
          </w:tcPr>
          <w:p>
            <w:pPr>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Coffin James</w:t>
              </w:r>
            </w:hyperlink>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Sema4 Holdings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SMFR</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Arial" w:cs="Arial" w:eastAsia="Arial" w:hAnsi="Arial"/>
                <w:sz w:val="17"/>
                <w:szCs w:val="17"/>
                <w:color w:val="0000FF"/>
                <w:w w:val="97"/>
              </w:rPr>
              <w:t>C/O SEMA4 HOLDINGS CORP.</w:t>
            </w:r>
          </w:p>
        </w:tc>
        <w:tc>
          <w:tcPr>
            <w:tcW w:w="124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Arial" w:cs="Arial" w:eastAsia="Arial" w:hAnsi="Arial"/>
                <w:sz w:val="17"/>
                <w:szCs w:val="17"/>
                <w:color w:val="0000FF"/>
              </w:rPr>
              <w:t>12/01/2021</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905"/>
        <w:spacing w:after="0"/>
        <w:rPr>
          <w:sz w:val="20"/>
          <w:szCs w:val="20"/>
          <w:color w:val="auto"/>
        </w:rPr>
      </w:pPr>
      <w:r>
        <w:rPr>
          <w:rFonts w:ascii="Arial" w:cs="Arial" w:eastAsia="Arial" w:hAnsi="Arial"/>
          <w:sz w:val="17"/>
          <w:szCs w:val="17"/>
          <w:color w:val="0000FF"/>
        </w:rPr>
        <w:t>President and COO</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STAMFORD</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w w:val="96"/>
              </w:rPr>
              <w:t>CT</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06902</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12/01/2021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8,376</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6.05</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25,141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12/01/2021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(2)</w:t>
            </w:r>
          </w:p>
        </w:tc>
        <w:tc>
          <w:tcPr>
            <w:tcW w:w="720" w:type="dxa"/>
            <w:vAlign w:val="bottom"/>
            <w:tcBorders>
              <w:bottom w:val="single" w:sz="8" w:color="2C2C2C"/>
            </w:tcBorders>
          </w:tcPr>
          <w:p>
            <w:pPr>
              <w:jc w:val="right"/>
              <w:ind w:right="53"/>
              <w:spacing w:after="0"/>
              <w:rPr>
                <w:sz w:val="20"/>
                <w:szCs w:val="20"/>
                <w:color w:val="auto"/>
              </w:rPr>
            </w:pPr>
            <w:r>
              <w:rPr>
                <w:rFonts w:ascii="Arial" w:cs="Arial" w:eastAsia="Arial" w:hAnsi="Arial"/>
                <w:sz w:val="17"/>
                <w:szCs w:val="17"/>
                <w:color w:val="0000FF"/>
              </w:rPr>
              <w:t>2,238</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5.52</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22,903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indicated shares were issued to Reporting Person as a stock bonus in connection with the elimination of Issuer's sabbatical leave program, in which all employees of Issuer hired on or before June 30, 2021 were provided an opportunity to receive a stock bonus in lieu of their continued eligibility to take sabbatical leave. The stock bonus was fully vested as of the date of issuance.</w:t>
      </w: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required to be sold by the Reporting Person to cover certain tax obligation in connection with the stock bonus granted to the reporting person.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$5.51 to $5.65,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Daniel Clark,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12/03/2021</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83"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2021-12-03T17:59:14Z</dcterms:created>
  <dcterms:modified xsi:type="dcterms:W3CDTF">2021-12-03T17:59:14Z</dcterms:modified>
</cp:coreProperties>
</file>