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2940" w:hanging="638"/>
        <w:spacing w:after="0"/>
        <w:tabs>
          <w:tab w:leader="none" w:pos="2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19" w:lineRule="exact"/>
        <w:rPr>
          <w:rFonts w:ascii="Wingdings" w:cs="Wingdings" w:eastAsia="Wingdings" w:hAnsi="Wingdings"/>
          <w:sz w:val="18"/>
          <w:szCs w:val="18"/>
          <w:b w:val="1"/>
          <w:bCs w:val="1"/>
          <w:color w:val="auto"/>
        </w:rPr>
      </w:pPr>
    </w:p>
    <w:p>
      <w:pPr>
        <w:ind w:left="420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SECURITIES EXCHANGE ACT OF 1934</w:t>
      </w:r>
    </w:p>
    <w:p>
      <w:pPr>
        <w:spacing w:after="0" w:line="10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88265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30" w:right="339" w:bottom="1440" w:gutter="0" w:footer="0" w:header="0"/>
        </w:sectPr>
      </w:pPr>
    </w:p>
    <w:p>
      <w:pPr>
        <w:spacing w:after="0" w:line="27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85-1966622</w:t>
      </w:r>
    </w:p>
    <w:p>
      <w:pPr>
        <w:spacing w:after="0" w:line="65" w:lineRule="exact"/>
        <w:rPr>
          <w:sz w:val="24"/>
          <w:szCs w:val="24"/>
          <w:color w:val="auto"/>
        </w:rPr>
      </w:pPr>
    </w:p>
    <w:p>
      <w:pPr>
        <w:sectPr>
          <w:pgSz w:w="11900" w:h="16838" w:orient="portrait"/>
          <w:cols w:equalWidth="0" w:num="2">
            <w:col w:w="7280" w:space="720"/>
            <w:col w:w="3240"/>
          </w:cols>
          <w:pgMar w:left="320" w:top="1330"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40" w:space="720"/>
            <w:col w:w="4080"/>
          </w:cols>
          <w:pgMar w:left="320" w:top="1330"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11"/>
        </w:trPr>
        <w:tc>
          <w:tcPr>
            <w:tcW w:w="5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WGSWW</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28,904,590 shares of Class A common stock, par value $0.0001, outstanding at October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 Looking Statements</w:t>
            </w:r>
          </w:p>
        </w:tc>
        <w:tc>
          <w:tcPr>
            <w:tcW w:w="5280" w:type="dxa"/>
            <w:vAlign w:val="bottom"/>
            <w:gridSpan w:val="5"/>
          </w:tcPr>
          <w:p>
            <w:pPr>
              <w:spacing w:after="0"/>
              <w:rPr>
                <w:sz w:val="18"/>
                <w:szCs w:val="18"/>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w:t>
            </w:r>
          </w:p>
        </w:tc>
      </w:tr>
      <w:tr>
        <w:trPr>
          <w:trHeight w:val="507"/>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42</w:t>
            </w:r>
          </w:p>
        </w:tc>
      </w:tr>
      <w:tr>
        <w:trPr>
          <w:trHeight w:val="1054"/>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right="2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remaining profitable on a sustained basis;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fluctuating inflation, interest rates and tariff rates, government budget cuts and government shut downs, supply chain interruptions,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our acquisition of Fabric Genomics, Inc. (“Fabric Genomics”);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 and the fair value of the contingent consideration liability and our conclusions regarding the appropriateness of the carrying value of intangible assets and goodwill for the Fabric Genomics acquisition;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81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5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80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41"/>
        </w:trPr>
        <w:tc>
          <w:tcPr>
            <w:tcW w:w="12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2"/>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r>
      <w:tr>
        <w:trPr>
          <w:trHeight w:val="2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r>
      <w:tr>
        <w:trPr>
          <w:trHeight w:val="2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r>
      <w:tr>
        <w:trPr>
          <w:trHeight w:val="223"/>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32,893</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158,600</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23"/>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72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w:t>
            </w:r>
          </w:p>
        </w:tc>
      </w:tr>
      <w:tr>
        <w:trPr>
          <w:trHeight w:val="23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r>
      <w:tr>
        <w:trPr>
          <w:trHeight w:val="223"/>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54,817</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60,919</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30"/>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174,133</w:t>
            </w:r>
          </w:p>
        </w:tc>
      </w:tr>
      <w:tr>
        <w:trPr>
          <w:trHeight w:val="21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commitments and contingencies (Note 10)</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75"/>
        </w:trPr>
        <w:tc>
          <w:tcPr>
            <w:tcW w:w="72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3"/>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September 30, 2025 and December 31, 2024, respectively</w:t>
            </w:r>
          </w:p>
        </w:tc>
        <w:tc>
          <w:tcPr>
            <w:tcW w:w="160" w:type="dxa"/>
            <w:vAlign w:val="bottom"/>
          </w:tcPr>
          <w:p>
            <w:pPr>
              <w:spacing w:after="0"/>
              <w:rPr>
                <w:sz w:val="21"/>
                <w:szCs w:val="21"/>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28,889,689 and</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4"/>
        </w:trPr>
        <w:tc>
          <w:tcPr>
            <w:tcW w:w="72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28,016,545 shares issued and outstanding at September 30, 2025 and December 31, 2024,</w:t>
            </w: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34"/>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1,596,889</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(1,352,474)</w:t>
            </w:r>
          </w:p>
        </w:tc>
      </w:tr>
      <w:tr>
        <w:trPr>
          <w:trHeight w:val="230"/>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245,247</w:t>
            </w:r>
          </w:p>
        </w:tc>
      </w:tr>
      <w:tr>
        <w:trPr>
          <w:trHeight w:val="223"/>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419,380</w:t>
            </w:r>
          </w:p>
        </w:tc>
      </w:tr>
      <w:tr>
        <w:trPr>
          <w:trHeight w:val="20"/>
        </w:trPr>
        <w:tc>
          <w:tcPr>
            <w:tcW w:w="12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5"/>
        </w:trPr>
        <w:tc>
          <w:tcPr>
            <w:tcW w:w="128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280" w:type="dxa"/>
            <w:vAlign w:val="bottom"/>
            <w:gridSpan w:val="10"/>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 (Unaudited)</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520" w:type="dxa"/>
            <w:vAlign w:val="bottom"/>
            <w:gridSpan w:val="7"/>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4"/>
                <w:szCs w:val="24"/>
                <w:color w:val="auto"/>
              </w:rPr>
            </w:pPr>
          </w:p>
        </w:tc>
        <w:tc>
          <w:tcPr>
            <w:tcW w:w="31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299,382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207,961</w:t>
            </w: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3"/>
        </w:trPr>
        <w:tc>
          <w:tcPr>
            <w:tcW w:w="4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209,810</w:t>
            </w: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81,618</w:t>
            </w:r>
          </w:p>
        </w:tc>
      </w:tr>
      <w:tr>
        <w:trPr>
          <w:trHeight w:val="223"/>
        </w:trPr>
        <w:tc>
          <w:tcPr>
            <w:tcW w:w="4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128,192</w:t>
            </w: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76,382</w:t>
            </w:r>
          </w:p>
        </w:tc>
      </w:tr>
      <w:tr>
        <w:trPr>
          <w:trHeight w:val="223"/>
        </w:trPr>
        <w:tc>
          <w:tcPr>
            <w:tcW w:w="4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r>
      <w:tr>
        <w:trPr>
          <w:trHeight w:val="250"/>
        </w:trPr>
        <w:tc>
          <w:tcPr>
            <w:tcW w:w="128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30"/>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29"/>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23"/>
        </w:trPr>
        <w:tc>
          <w:tcPr>
            <w:tcW w:w="4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r>
      <w:tr>
        <w:trPr>
          <w:trHeight w:val="229"/>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r>
      <w:tr>
        <w:trPr>
          <w:trHeight w:val="20"/>
        </w:trPr>
        <w:tc>
          <w:tcPr>
            <w:tcW w:w="43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related to available for sale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w:t>
            </w:r>
          </w:p>
        </w:tc>
      </w:tr>
      <w:tr>
        <w:trPr>
          <w:trHeight w:val="20"/>
        </w:trPr>
        <w:tc>
          <w:tcPr>
            <w:tcW w:w="43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outstanding of Class A common</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28,797,730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27,095,986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28,505,657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26,593,877</w:t>
            </w: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Class A 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1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28,708,058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1,624,513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(1,348,194)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101,367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28,889,689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1,647,083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(1,355,829)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28,016,545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1,596,889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(1,352,474)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245,247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pursuant to employee stock purchase plan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28,889,689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1,647,083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(1,355,829)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292,258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1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26,926,383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1,543,182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(1,349,600)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194,043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418,653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27,433,803</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1,561,493</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(1,357,912)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204,501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25,978,863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1,527,778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(1,300,188)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228,017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pursuant to Perceptive warrant exercise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645,414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347,493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27,433,803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1,561,493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(1,357,912)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204,501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Legal reserves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r>
      <w:tr>
        <w:trPr>
          <w:trHeight w:val="23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2B2A29"/>
              </w:rPr>
              <w:t>Change in third party payor reserves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47"/>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Other</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offerings, net of issuance costs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pursuant to employee stock purchase plan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(41,787)</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58,881</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consideration paid pursuant to exercise of Perceptive warrant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 lease obligations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bl>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“GeneDx Holdings” refer to GeneDx Holdings Corp., a Delaware corporation;</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“Legacy GeneDx” refer to GeneDx, LLC, a Delaware limited liability company, which we acquired on April 29, 2022 (the “Acquisition”);</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Sema4 OpCo Inc., a Delaware corporation, which consummated the business combination with CM Life Sciences, Inc. (“CMLS”) on July 22, 2021 (the “Business Combination”);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to GeneDx Holdings and its consolidated subsidiaries.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5, 2025 (the “Merger Date”), the Company consummated the transactions contemplated by the Agreement and Plan of Merger, which was entered into on April 15, 2025 (the “Merger Agreement”) by and among the Company, Project Flare Merger Sub, Inc., a Delaware corporation (“Merger Sub”) and a wholly-owned subsidiary of the Company, Fabric Genomics, Inc., a Delaware corporation (“Fabric Genomics”), pursuant to which, and on the terms and subject to the conditions thereof, the Company acquired Fabric Genomics through the merger of Merger Sub with and into Fabric Genomics, with Fabric Genomics surviving as a wholly-owned subsidiary of the Company (the “Merger”).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for further information regarding the Merger.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2024 (the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As such, the Company is eligible for exemptions from various reporting requirements applicable to other public companies that are not emerging growth companies, including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will cease to qualify as an emerging growth company and will no longer be allowed to take advantage of the exemptions and reporting requirements noted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and income taxes. Changes in estimates are recorded in the period in which they become known. Actual results could differ materially from those estimates, judgments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set forth below, there have been no material changes to the Company’s critical accounting policies and estimates in the current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granted by the Company include time-based restricted stock units (“RSUs”) and performance-based restricted stock units (“PRSUs”). PRSUs represent a right to receive a certain number of shares of the Company’s Class A common stock based on the achievement of specified performance conditions and continued employment during the vesting period. At each reporting period, the Company assesses the probability of the achievement of such performance conditions and records expense for the awards if it is probable that such performance conditions will be achieved.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included within this Quarterly Report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royalty rate,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Company’s goodwill is not amortized but is tested for impairment on an annual basis, or whenever events or changes in circumstances indicate that the carrying amount of these assets may not be recoverable. The Company performs an annual impairment review of goodwill during the fourth fiscal quarter, or more frequently if business factors indicate.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included within this Quarterly Report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third-party payor groups that reimburses the Company on the patient’s behalf when evaluating concentration of credit risk. Significant patients and payor groups are those that represent more than 10% of the Company’s total revenues for the period or accounts receivable balance at each respective balance sheet date. The significant concentrations of accounts receivable as of September 30, 2025 and December 31, 2024 were primarily from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large managed care insurance companies, institutional billed accounts, and data arrangements. The Company does not require collateral as a means to mitigate customer credit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each significant payor group, revenue as a percentage of total revenues and accounts receivable as a percentage of total accounts receivable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Accounts Receivable</w:t>
            </w:r>
          </w:p>
        </w:tc>
      </w:tr>
      <w:tr>
        <w:trPr>
          <w:trHeight w:val="453"/>
        </w:trPr>
        <w:tc>
          <w:tcPr>
            <w:tcW w:w="1500" w:type="dxa"/>
            <w:vAlign w:val="bottom"/>
          </w:tcPr>
          <w:p>
            <w:pPr>
              <w:spacing w:after="0"/>
              <w:rPr>
                <w:sz w:val="24"/>
                <w:szCs w:val="24"/>
                <w:color w:val="auto"/>
              </w:rPr>
            </w:pPr>
          </w:p>
        </w:tc>
        <w:tc>
          <w:tcPr>
            <w:tcW w:w="35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150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1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Payor group A</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30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group B</w:t>
            </w:r>
            <w:r>
              <w:rPr>
                <w:rFonts w:ascii="Times New Roman" w:cs="Times New Roman" w:eastAsia="Times New Roman" w:hAnsi="Times New Roman"/>
                <w:sz w:val="23"/>
                <w:szCs w:val="23"/>
                <w:color w:val="auto"/>
                <w:vertAlign w:val="superscript"/>
              </w:rPr>
              <w:t>(1)</w:t>
            </w: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157" w:lineRule="exact"/>
        <w:rPr>
          <w:sz w:val="20"/>
          <w:szCs w:val="20"/>
          <w:color w:val="auto"/>
        </w:rPr>
      </w:pPr>
    </w:p>
    <w:p>
      <w:pPr>
        <w:ind w:left="34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payor groups identified in the table above represent multiple payors aggregated based on similar contract terms and reimbursement patterns. No single payor or individual client accounted for more than 10% of revenue or receivables for the current period.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laboratory equipment and laboratory supplies. One supplier accounted for approximately 16% and 9% of spend for the three months ended September 30, 2025 and 2024, respectively, and 20% and 11% for the nine months ended September 30, 2025 and 2024, respectively. A second supplier accounted for approximately 11% and 10% of purchases for the three and nine months ended September 30, 2024, respectively. This risk is managed by maintaining a target quantity of surplus stock. Alternative suppliers are available for the majority of these reagents and supplies.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2023-09, Income Taxes – Improvements to Income Tax Disclosures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Company plans to adopt this pronouncement on a prospective basis, and will include the additional disclosures as required in the Company's Annual Report on Form 10-K for the year ended December 31, 2025. The Company does not expect the amended guidance to have a material impact on its consolidated financial statements.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Disaggregation of Income Statement Expenses (“ASU 2024-03”). The standard requires public business entities to disclose additional information about specific expense categories in the notes to financial statements at interim and annual reporting periods. As revised by the issuance of ASU 2025-01, Income Statement – Reporting Comprehensive Income – Disaggregation of Income Statement Expenses: Clarifying the Effective Date (“ASU 2025-01”) in January 2025, the provisions of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discussed in Note 1, on May 5, 2025, the Company completed the previously announced acquisition to acquire all of the issued and outstanding capital stock of Fabric Genomics for cash consideration of approximately $33.5 million. Fabric Genomics offers its artificial intelligence (“AI”) based platform for Next Generation Sequencing analysis, interpretation, and clinical reporting for rare disease, hereditary risk, and cancer testing with accuracy and scalability.</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Merger and concluded that it represented a business combination under ASC 805, Business Combinations. Therefore, the Merger has been accounted for under the acquisition method of accounting. Under the acquisition method, the total purchase price of the Merger is allocated to the net tangible and identifiable intangible assets acquired, contingent consideration and liabilities assumed based on the fair value as of the Merger Date. The fair value of consideration totaled $36.5 million, which included $3.4 million in contingent consideration. See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included within this Quarterly Report for further information on the contingent consideration liability .</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the assets acquired, contingent consideration and liabilities assumed as of the Merger Date based on the information available as of that date. As the Company finalizes the fair values of the assets acquired, contingent consideration and liabilities assumed, purchase price adjustments may be recorded during the measurement period and such adjustments could be material. The Company will reflect measurement period adjustments in the period in which the adjustments are recognized. The amounts recognized will be finalized as the information necessary to complete the analysis is obtained, but no later than one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Merger Date. During the three months ended September 30, 2025, the Company identified certain measurement period adjustments that resulted in a decrease of $0.1 million to 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of the purchase price to the estimated fair value of the assets acquired and liabilities assumed: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r>
      <w:tr>
        <w:trPr>
          <w:trHeight w:val="230"/>
        </w:trPr>
        <w:tc>
          <w:tcPr>
            <w:tcW w:w="8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340" w:hanging="332"/>
        <w:spacing w:after="0" w:line="27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goodwill recorded relating to the Merger is the excess of the fair value of the consideration transferred by the acquirer over the fair value of the net identifiable assets acquired and liabilities assumed at the Merger Date, and represents future economic benefits arising from other assets acquired that could not be individually identified and separately recognized. The goodwill recorded is not deductible for tax purposes.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acquired intangible assets was based on the present value of expected future cash flows attributable to the respective intangible assets using the net present value approach.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incurred $1.4 million in transaction costs associated with the acquisition, respectively. These expenses included third-party professional firms’ services related to due diligence, advisory and legal services and were included in general and administrative expenses in the condensed consolidated statements of operations and comprehensive loss. The Company’s results for the three and nine months ended September 30, 2025 include $2.0 million and $2.9 million of revenue from Fabric Genomics.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fair values of the acquired intangible assets identified based on the Company’s preliminary purchase accounting assessments: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5, 2025</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Life (in Years)</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72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23"/>
        </w:trPr>
        <w:tc>
          <w:tcPr>
            <w:tcW w:w="3960" w:type="dxa"/>
            <w:vAlign w:val="bottom"/>
          </w:tcPr>
          <w:p>
            <w:pPr>
              <w:spacing w:after="0"/>
              <w:rPr>
                <w:sz w:val="19"/>
                <w:szCs w:val="19"/>
                <w:color w:val="auto"/>
              </w:rPr>
            </w:pPr>
          </w:p>
        </w:tc>
        <w:tc>
          <w:tcPr>
            <w:tcW w:w="172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trade names and trademarks and developed technology of $0.8 million was recorded in general and administrative for the nine months ended September 30, 2025 within the condensed consolidated statements of operations and comprehensive loss. Amortization expense for customer relationships of $0.2 million was recorded in selling and marketing for the nine months ended September 30, 2025 within the condensed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estimated future amortization expense of intangible assets with finite lives as of September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14,341</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unaudited pro forma financial information for the three and nine months ended September 30, 2025 and 2024 as if the Merger had occurred as of January 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213,902</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(64,404)</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results include the following adjustments based on the Company’s preliminary analysis and are subject to change as additional analysis is performed:</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amortization expense resulting from the acquired intangible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of contingent consideration liability.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anticipated cost savings or other effects of the plan integration of Fabric Genomics. Accordingly, the pro forma results above are not necessarily indicative of the results that would have been if the Merger had occurred on the dates indicated, nor are the pro forma results indicative of results which may occur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040" w:type="dxa"/>
            <w:vAlign w:val="bottom"/>
          </w:tcPr>
          <w:p>
            <w:pPr>
              <w:jc w:val="right"/>
              <w:ind w:right="29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59,543</w:t>
            </w:r>
          </w:p>
        </w:tc>
      </w:tr>
      <w:tr>
        <w:trPr>
          <w:trHeight w:val="22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77,418</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7"/>
        </w:trPr>
        <w:tc>
          <w:tcPr>
            <w:tcW w:w="3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040" w:type="dxa"/>
            <w:vAlign w:val="bottom"/>
          </w:tcPr>
          <w:p>
            <w:pPr>
              <w:jc w:val="right"/>
              <w:ind w:right="29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155,434</w:t>
            </w:r>
          </w:p>
        </w:tc>
      </w:tr>
      <w:tr>
        <w:trPr>
          <w:trHeight w:val="229"/>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r>
      <w:tr>
        <w:trPr>
          <w:trHeight w:val="230"/>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23"/>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207,961</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48"/>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34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2024, Other represents revenues associated with the Legacy Sema4 operating segment. For the three and nine months ended September 30, 2025, Other represents revenues of the Fabric Genomics and Legacy Sema4 operating segments. See Note 15,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and 2024, the total change in estimate recognized, which pertains to performance obligations fulfilled in the previous year, resulted in a net increase to revenue of $1.0 million and $2.2 million, respectively. This change is due to adjustments in the estimated transaction price stemming from contractual modifications, updated information obtained from payors and patients that was previously unknown at the time those performance obligations were met, as well as potential and actual settlements with third party payors. The change in estimate also included an increase in revenue related to a partial release of a previously established payor reserve, as further disclosed in the “Certain Payor Matters” section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Company’s third-party payor reserves were $21.3 million and $12.6 million, respectively, and were recorded in accounts payable and accrued expenses and other liabilities, respectively. Included in these reserve balances are $12.0 million in scheduled payments to settle the claims related to coverage and billing matters allegedly resulting in the overpayments by a third-party payor to Legacy Sema4 (the “Disputed Claims”), with $10.0 million due in December 2025 and $2.0 million due in June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three and nine months ended September 30, 2025 and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presented in the condensed consolidated balance sheet as of September 30, 2025 have maturity dates ranging from 2025 through 2028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September 30, 2025, the amortized cost for maturities less than one year and greater than one year were $26.9 million and $31.0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in connection with the Business Combination, there were 666,516 warrants to purchase shares of Class A common stock outstanding, including 447,223 public warrants and 219,293 private placement warrants. As of September 30, 2025,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$330.00 as described below:</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Emily Leproust, PhD, and Mr. Nat Turner, and are identical to the public warrants underlying the units sold in the initial public offering, except that (1) the private placement 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warrants are classified within Level 1 of the fair value hierarchy as they are traded in active markets and the fair value is determined on the basis of quoted market prices. The private placement warrants are classified within Level 2 of the fair value hierarchy as management determined the fair value of each private placement warrant is the same as that of a public warrant because the terms are substantially the same.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 loss of $0.9 million and gain of $1.1 million, respectively, was recorded within the change in fair value of financial liabilities in the condensed consolidated statements of operations and comprehensive loss. The change in fair value of the warrants for the three and nine months ended September 30, 2024 was a loss of $0.9 million and $1.3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(Fabric Genomics)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(i) $10.5 million in cash, shares of Class A common stock or a combination thereof, as determined by the Company in its sole discretion, on or prior to April 30, 2026 subject to Fabric Genomics achieving gross revenue equal to or above $6.0 million and a gross margin equal to or above 69% for the fiscal year ending December 31, 2025 (the “First Milestone Payment”), with the amount of the First Milestone Payment determined by multiplying $7.0 million by the quotient obtained by dividing Fabric Genomics’ gross revenue for the fiscal year ending December 31, 2025 by $8.0 million, and (ii) $7.5 million in cash, shares of Class A common stock or a combination thereof, as determined by the Company in its sole discretion, on or prior to April 30, 2027 subject to Fabric Genomics achieving gross revenue equal to or above $9.0 million and a gross margin equal to or above 69% for the fiscal year ending December 31, 2026 (the “Second Milestone Payment” and, together with the First Milestone Payment, the “Milestone Payments”), with the amount of the Second Milestone Payment determined by multiplying $5.0 million by the quotient obtained by dividing Fabric Genomics’ gross revenue for the fiscal year ending December 31, 2026 by $12.0 million. The shares of Class A common stock issued, if 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Milestone Payments are referred to as the “Milestone Shares.” Any Milestone Shares that are issued will be valued at $93.0318 per share based on the average of the daily volume average weighted price of the Class A common stock over the period of 30 trading days ended April 11,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Milestone Payments was determined based on a Monte Carlo simulation valuation model, and is categorized as Level 3 of the fair value hierarchy as the Company utilizes unobservable inputs in estimating the fair value. Estimates and assumptions utilized in the Monte Carlo simulation model include risk-adjusted forecasted revenue and gross margin, revenue and gross profit volatility rates, expected stock price volatility, and discount rates which are based on the cost of debt and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Level 3 inputs used in the valuation of the contingent consideration: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880" w:type="dxa"/>
            <w:vAlign w:val="bottom"/>
          </w:tcPr>
          <w:p>
            <w:pPr>
              <w:spacing w:after="0"/>
              <w:rPr>
                <w:sz w:val="20"/>
                <w:szCs w:val="20"/>
                <w:color w:val="auto"/>
              </w:rPr>
            </w:pPr>
          </w:p>
        </w:tc>
        <w:tc>
          <w:tcPr>
            <w:tcW w:w="30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At May 5, 2025</w:t>
            </w:r>
          </w:p>
        </w:tc>
      </w:tr>
      <w:tr>
        <w:trPr>
          <w:trHeight w:val="223"/>
        </w:trPr>
        <w:tc>
          <w:tcPr>
            <w:tcW w:w="33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volatility</w:t>
            </w:r>
          </w:p>
        </w:tc>
        <w:tc>
          <w:tcPr>
            <w:tcW w:w="1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88.0%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88.0%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107.0%</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8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10.0%</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volatility</w:t>
            </w:r>
          </w:p>
        </w:tc>
        <w:tc>
          <w:tcPr>
            <w:tcW w:w="1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25.0%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fair value of the contingent consideration liability was $6.8 million. During the three and nine months ended September 30, 2025, a loss of $2.5 million and $3.4 million, respectively, was recorded within the change in fair market value of financial liabilities in the condensed consolidated statements of operations and comprehensive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provided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Warrants”) of its Class A common stock. 800,000 warrant shares (the “Initial Warrant Shares”) vested and became exercisable on the Closing Date and 400,000 warrant shares (the “Additional Warrant Shares” and together with the Initial Warrant Shares, the “Warrant Shares”) would have potentially vested and become exercisable on the Tranche B Borrowing Date, as defined in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As the Company did not seek the additional funding from the Tranche B Loan, the Additional Warrant Shares did not vest and are not exercisable.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(the “Exercise Date”)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to Perceptive in satisfaction of the cashless exercise in respect of the Initial Warrant Shares.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for further information.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 loss of $10.1 million was recorded within the change in fair value of financial liabilities in the condensed consolidated statements of operations and comprehensive loss based on re-measurement performed as of the Exercise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$4.8 million and $5.8 million, respectively, as of September 30, 2025 and December 31, 2024, with $1.2 million recorded in other current liabilities on the condensed consolidated balance sheets as of September 30, 2025. The fair value of the loan as of September 30, 2025 was $4.5 million, which is estimated based on discounted cash flows using the yields of similar debt instruments of other companies with similar credit profiles.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81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3"/>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w:t>
            </w:r>
          </w:p>
        </w:tc>
      </w:tr>
      <w:tr>
        <w:trPr>
          <w:trHeight w:val="223"/>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32,893</w:t>
            </w:r>
          </w:p>
        </w:tc>
      </w:tr>
      <w:tr>
        <w:trPr>
          <w:trHeight w:val="20"/>
        </w:trPr>
        <w:tc>
          <w:tcPr>
            <w:tcW w:w="12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depreciation and amortization expense was $2.4 million and $2.4 million, respectively. For the nine months ended September 30, 2025 and 2024, depreciation and amortization expense was $6.8 million and $5.9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2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 of September 30, 2025, the carrying values and remaining useful lives of acquired intangible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87,177</w:t>
            </w:r>
          </w:p>
        </w:tc>
        <w:tc>
          <w:tcPr>
            <w:tcW w:w="1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16.4</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172,585</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13.0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$2.8 million and $2.3 million was recorded in general and administrative for the three months ended September 30, 2025 and 2024, respectively, and $7.7 million and $6.8 million for the nine months ended September 30, 2025 and 2024, respectively, within the condensed consolidated statements of operations and comprehensive loss. Amortization expense for customer relationships of $1.3 million and $1.2 million was recorded in selling and marketing for the three months ended September 30, 2025 and 2024, respectively, and $3.9 million and $3.7 million for the nine months ended September 30, 2025 and 2024, respectively, within the condensed consolidated statements of operations and comprehensive loss.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As discussed in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the acquisition of Fabric Genomics resulted in the initial recognition of $12.9 million of goodwill as of the Merger Date. The purchase price allocation for acquired businesses may be modified for up to one year from the date of acquisition if additional facts or circumstances lead to changes in the Company’s preliminary purchase accounting estimates.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81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changes to the carrying amount of goodwill between the Merger Date and September 30, 2025:</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9300" w:type="dxa"/>
            <w:vAlign w:val="bottom"/>
            <w:tcBorders>
              <w:bottom w:val="single" w:sz="8" w:color="CCEEFF"/>
            </w:tcBorders>
            <w:gridSpan w:val="2"/>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3"/>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5, 2025</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29"/>
        </w:trPr>
        <w:tc>
          <w:tcPr>
            <w:tcW w:w="9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 party expenses include the purchase of diagnostic testing kits and lab materials from Twist Biosciences (“Twist”). Transactions with Twist are at arm’s length and represent market rates. The Company incurred $1.9 million and $6.1 million in purchases and $2.1 million and $6.2 million was recorded in cost of services for the three and nine months ended September 30, 2025, respectively. The Company incurred $7.5 million in purchases and $2.4 million and $5.2 million was recorded in cost of services for the three and nine months ended September 30, 2024, respectively. Payables due as of September 30, 2025 and December 31, 2024 were $0.2 million and $0.7 million,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 long-term debt matures as follows: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9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54,847</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the Perceptive Term Loan Facility. An initial tranche of $50.0 million (the “Tranche A Loan”) was funded under the Perceptive Term Loan Facility on the Closing Date. In addition to the Tranche A Loan, the Perceptive Term Loan Facility included an additional tranche of $25.0 million (the “Tranche B Loan,” and together with the Tranche A Loan, the “Term Loans”), which was accessible by the Company through December 31, 2024 so long as the Company satisfied certain customary conditions precedent, including a specified revenue milestone (the funding date of the Tranche B Loan, the “Tranche B Borrowing Date”). Although the requirements for the Tranche B funding were met, the Company did not seek the additional funding.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has a maturity date of October 27, 2028 (the “Maturity Date”) and provides for an interest-only period during the term of the loan with principal due at the maturity date. The Company’s net proceeds from the Tranche A Loan were approximately $48.8 million, after deducting debt issuance 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accrues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Tranche A Loan and all accrued and unpaid interest thereon. The Tranche A Loan may be prepaid at any time, subject to a prepayment premium equal to 0% to 10% of the aggregate outstanding principal amount being prepaid, depending on the date of prepayment.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as consideration for the Credit Agreement, the Company issued the Perceptive Warrants to Perceptive, which allowed Perceptive to purchase up to 1,200,000 Warrant Shares. The 800,000 Initial Warrant Shares vested and became exercisable on the Closing Date and the 400,000 Additional Warrant Shares would have potentially vested and become exercisable on the Tranche B Borrowing Date. As the Company did not seek the additional funding from the Tranche B Loan, the Additional Warrant Shares did not vest and are not exercisable.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included within this Quarterly Report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This commitment was collateralized by a security interest in certain machinery and equipment the Company acquired from ISMMS, as defined in a separate security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(as amended, the “2022 Amended DECD Loan Agreement”). The terms of the 2022 Amended DECD Loan Agreement require the Company to make interest-only payments through July 2024 and require the Company to make principal and interest payments commencing in August 2024 through July 2029 at a fixed annual interest rate of 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made principal payments totaling $0.3 million and $0.9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loan balance from the 2022 Amended DECD Loan Agreement was $4.8 million as of September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sets forth purchase commitments with software and equipment providers as of September 30, 2025 with a remaining term of at least one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lease obligations from those disclosed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or may become subject to various claims and legal actions arising in the ordinary course of business. The Company does not believe that the outcome of any existing matters will have a material effect on the Company’s condensed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However, no assurance can be given that the ultimate resolution of such proceedings will not materially impact the Company’s condensed consolidated financial statements.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as of September 30, 2025, nor is it a party to any material legal proceedings as of the date of issuance of these condensed consolidated financial statements.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7, 2022, a putative securities class action lawsuit was filed in the United States District Court for the District of Connecticut, styled </w:t>
      </w:r>
      <w:r>
        <w:rPr>
          <w:rFonts w:ascii="Times New Roman" w:cs="Times New Roman" w:eastAsia="Times New Roman" w:hAnsi="Times New Roman"/>
          <w:sz w:val="18"/>
          <w:szCs w:val="18"/>
          <w:i w:val="1"/>
          <w:iCs w:val="1"/>
          <w:color w:val="auto"/>
        </w:rPr>
        <w:t>Helo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Sema4 Holdings Corp.</w:t>
      </w:r>
      <w:r>
        <w:rPr>
          <w:rFonts w:ascii="Times New Roman" w:cs="Times New Roman" w:eastAsia="Times New Roman" w:hAnsi="Times New Roman"/>
          <w:sz w:val="18"/>
          <w:szCs w:val="18"/>
          <w:color w:val="auto"/>
        </w:rPr>
        <w:t>, et al, 22-cv-1131 (D. Conn.) against the Company and certain of the Company’s current and former officers.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does not reassert most of the earlier allegations, and purports to allege that the defendants made false and misleading statements about the abilities and potential of Centrellis, the Company’s proprietary intelligence platform, in violation of Sections 10(b) and 20(a) of the Securities Exchange Act of 1934, as amended (the “Exchange Act”), and seeks unspecified compensatory damages, fees and costs. The Company’s motion to dismiss the second amended complaint was denied on June 23, 2025, and discovery in the case is underway.</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November 28, 2023, a stockholder filed a derivative suit, allegedly on behalf of the Company, based largely on the same allegations in the securities class action referenced above. The suit was filed in federal court in the District of Delaware, styled </w:t>
      </w:r>
      <w:r>
        <w:rPr>
          <w:rFonts w:ascii="Times New Roman" w:cs="Times New Roman" w:eastAsia="Times New Roman" w:hAnsi="Times New Roman"/>
          <w:sz w:val="18"/>
          <w:szCs w:val="18"/>
          <w:i w:val="1"/>
          <w:iCs w:val="1"/>
          <w:color w:val="auto"/>
        </w:rPr>
        <w:t>Ghazaleh v. Schadt</w:t>
      </w:r>
      <w:r>
        <w:rPr>
          <w:rFonts w:ascii="Times New Roman" w:cs="Times New Roman" w:eastAsia="Times New Roman" w:hAnsi="Times New Roman"/>
          <w:sz w:val="18"/>
          <w:szCs w:val="18"/>
          <w:color w:val="auto"/>
        </w:rPr>
        <w:t xml:space="preserve">,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or announcement of a settlement in the </w:t>
      </w:r>
      <w:r>
        <w:rPr>
          <w:rFonts w:ascii="Times New Roman" w:cs="Times New Roman" w:eastAsia="Times New Roman" w:hAnsi="Times New Roman"/>
          <w:sz w:val="18"/>
          <w:szCs w:val="18"/>
          <w:i w:val="1"/>
          <w:iCs w:val="1"/>
          <w:color w:val="auto"/>
        </w:rPr>
        <w:t>Helo</w:t>
      </w:r>
      <w:r>
        <w:rPr>
          <w:rFonts w:ascii="Times New Roman" w:cs="Times New Roman" w:eastAsia="Times New Roman" w:hAnsi="Times New Roman"/>
          <w:sz w:val="18"/>
          <w:szCs w:val="18"/>
          <w:color w:val="auto"/>
        </w:rPr>
        <w:t xml:space="preserve"> putative class action referenced above (or certain other developments).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June 25, 2024, a substantially similar stockholder derivative suit was filed in federal court in the District of Connecticut, styled </w:t>
      </w:r>
      <w:r>
        <w:rPr>
          <w:rFonts w:ascii="Times New Roman" w:cs="Times New Roman" w:eastAsia="Times New Roman" w:hAnsi="Times New Roman"/>
          <w:sz w:val="18"/>
          <w:szCs w:val="18"/>
          <w:i w:val="1"/>
          <w:iCs w:val="1"/>
          <w:color w:val="auto"/>
        </w:rPr>
        <w:t>Scinto v. Schadt</w:t>
      </w:r>
      <w:r>
        <w:rPr>
          <w:rFonts w:ascii="Times New Roman" w:cs="Times New Roman" w:eastAsia="Times New Roman" w:hAnsi="Times New Roman"/>
          <w:sz w:val="18"/>
          <w:szCs w:val="18"/>
          <w:color w:val="auto"/>
        </w:rPr>
        <w:t xml:space="preserve">, et al, 3:24-cv-01100 (D. Conn.). The suit, also purportedly brought on the Company’s behalf against certain of its former or current officers and directors, asserts claims for breach of fiduciary duty, gross mismanagement, and violations of Sections 14(a) and 20(a) of the Exchange Act. The Company is named only as a nominal defendant. The complaint seeks damages on the Company’s behalf, as well as corporate governance reforms and other relief. On September 2, 2025, the Court issued an order staying this suit until the final resolution of or announcement of settlement in the </w:t>
      </w:r>
      <w:r>
        <w:rPr>
          <w:rFonts w:ascii="Times New Roman" w:cs="Times New Roman" w:eastAsia="Times New Roman" w:hAnsi="Times New Roman"/>
          <w:sz w:val="18"/>
          <w:szCs w:val="18"/>
          <w:i w:val="1"/>
          <w:iCs w:val="1"/>
          <w:color w:val="auto"/>
        </w:rPr>
        <w:t>Helo</w:t>
      </w:r>
      <w:r>
        <w:rPr>
          <w:rFonts w:ascii="Times New Roman" w:cs="Times New Roman" w:eastAsia="Times New Roman" w:hAnsi="Times New Roman"/>
          <w:sz w:val="18"/>
          <w:szCs w:val="18"/>
          <w:color w:val="auto"/>
        </w:rPr>
        <w:t xml:space="preserve"> class action referenced above.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15, 2025, a third, substantially similar stockholder derivative suit was filed in federal court in the District of Delaware, styled </w:t>
      </w:r>
      <w:r>
        <w:rPr>
          <w:rFonts w:ascii="Times New Roman" w:cs="Times New Roman" w:eastAsia="Times New Roman" w:hAnsi="Times New Roman"/>
          <w:sz w:val="18"/>
          <w:szCs w:val="18"/>
          <w:i w:val="1"/>
          <w:iCs w:val="1"/>
          <w:color w:val="auto"/>
        </w:rPr>
        <w:t>Ingrao v. Ryan,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25-cv-01027 (D. Del.). The suit, also purportedly brought on the Company’s behalf against certain of its former or current officers and directors,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for breach of fiduciary duty, unjust enrichment and violations of Section 10(b) of the Exchange Act and Rule 10b-5 promulgated thereunder. The Company is named only as a nominal defendant. The complaint seeks damages on the Company’s behalf, as well as corporate governance reforms and other relief.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48"/>
        </w:trPr>
        <w:tc>
          <w:tcPr>
            <w:tcW w:w="41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stock-based compensation expense</w:t>
            </w:r>
            <w:r>
              <w:rPr>
                <w:rFonts w:ascii="Times New Roman" w:cs="Times New Roman" w:eastAsia="Times New Roman" w:hAnsi="Times New Roman"/>
                <w:sz w:val="23"/>
                <w:szCs w:val="23"/>
                <w:color w:val="auto"/>
                <w:vertAlign w:val="superscript"/>
              </w:rPr>
              <w:t>1,2</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an aggregate reversal of stock-based compensation of $0.6 million and a nominal amount during the three months ended September 30, 2025 and 2024, respectively, and $1.4 million and $3.3 million during the nine months ended September 30, 2025 and 2024, respectively, due to forfeiture activities upon employee terminations.</w:t>
      </w:r>
    </w:p>
    <w:p>
      <w:pPr>
        <w:ind w:left="340" w:hanging="332"/>
        <w:spacing w:after="0" w:line="283"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$0.4 million and $0.2 million of expenses related to the 2021 Employee Stock Purchase Plan for the three months ended September 30, 2025 and 2024, respectively, and $1.1 million and $0.3 million of expenses for the nine months ended September 30, 2025 and 2024,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Amended and Restated 2021 Equity Incentive Plan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restricted stock units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2025, the number of Class A common stock reserved for future issuance under the 2021 Plan automatically increased by 1,400,827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an aggregate of 2,983,152 shares available for grants of stock options or other awards under the 2021 Plan and Equity Inducement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 options granted under the 2021 Plan are accounted for as time-based equity awards. The following table summarizes the stock option activity during the nine months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Non-vested options outstanding as of September 30, 2025 were 20,101 with a weighted-average grant-date fair value of $45.81. As of September 30, 2025, unrecognized stock-based compensation cost related to the unvested portion of the Company’s stock options was $0.1 million, which is expected to be recognized on a graded-vesting basis over a weighted-average period of 0.5 years.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and total fair value of options with tranches vested during the nine months ended September 30, 2025 was $46.60 and $1.4 million,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2025. The aggregate intrinsic value of options exercised during the nine months ended September 30, 2025 was $2.6 million, and is calculated based on the difference between the exercise price and the fair value of the Company’s Class A common stock as of the exercise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2021 Plan are accounted for as either time-based restricted stock units (“RSUs”) or performance-based restricted stock units (“PRSUs”). Restricted stock units convert to Class A common stock on a one-for-one basis as the awards vest. The Company measures the fair value of restricted stock units at fair value based on the closing price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underlying common stock on the grant date. The following table summarizes restricted stock unit activity during the nine months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Pr>
          <w:p>
            <w:pPr>
              <w:spacing w:after="0"/>
              <w:rPr>
                <w:sz w:val="13"/>
                <w:szCs w:val="13"/>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Date-Fair Value Per Unit</w:t>
            </w:r>
          </w:p>
        </w:tc>
        <w:tc>
          <w:tcPr>
            <w:tcW w:w="0" w:type="dxa"/>
            <w:vAlign w:val="bottom"/>
          </w:tcPr>
          <w:p>
            <w:pPr>
              <w:spacing w:after="0"/>
              <w:rPr>
                <w:sz w:val="1"/>
                <w:szCs w:val="1"/>
                <w:color w:val="auto"/>
              </w:rPr>
            </w:pPr>
          </w:p>
        </w:tc>
      </w:tr>
      <w:tr>
        <w:trPr>
          <w:trHeight w:val="22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81,702 PRSUs granted during the nine months ended September 30, 2025 with a weighted-average grant-date fair value of $97.80.</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approved awards of 81,702 PRSUs to certain executives. The grant date fair value of the PRSUs is based on the fair value of the Company’s Class A common stock on the grant date. The awards have both time-based and performance-based vesting conditions. The actual number of shares earned on vesting ranges from 0% to 200% of the target number of shares granted, depending on the attainment of specified performance goals established for the years ending December 31, 2025 and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nine months ended September 30, 2025 was $8.5 million. As of September 30, 2025, unrecognized stock-based compensation expense related to the Company’s restricted stock units was $42.9 million, which is expected to be recognized on a graded-vesting basis over a weighted-average period of 1.9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In January 2025, the number of class A common stock reserved for future issuance under the 2021 ESPP automatically increased by 280,165 shares.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22,674 shares of Class A common stock under the 2021 ESPP during the nine months ended September 30, 2025. As of September 30, 2025, a total of 827,322 shares of Class A common stock have been reserved for future issuance under the 2021 ESPP.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was an expense of $0.2 million and $0.4 million for the three and nine months ended September 30, 2025, respectively. Income tax was a benefit of a nominal amount and $0.3 million for the three and nine months ended September 30, 2024, respectively. Income taxes for these periods are recorded at the Company’s estimated annual effective income tax rate, subject to adjustments for discrete events should they occur. The Company’s effective tax rate for the three and nine months ended September 30, 2025 was (3.3)% and (15.4)%, respectively. The Company’s effective tax rate for both the three and nine months ended September 30, 2024 was 0.6%.</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2025 and 2024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This legislation includes changes to U.S. federal tax law, which may be subject to further clarification and the issuance of interpretive guidance. The legislation has multiple effective dates, with certain provisions effective in 2025 and others implemented through 2027. The Company has evaluated the effective provisions of the OBBBA during the quarter and estimated their impact on the consolidated financial statements to be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immaterial. The Company will continue to evaluate the full impact of the OBBBA changes as additional guidance becomes available.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attributable to common stockholders: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5"/>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weighted-average common shares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28,797,730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27,095,986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28,505,657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26,593,877</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computation of diluted loss per share attributable to common stockholders for the period presented as the effect would be anti-dilutive:</w:t>
      </w:r>
    </w:p>
    <w:p>
      <w:pPr>
        <w:spacing w:after="0" w:line="14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restricted stock units</w:t>
            </w: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1,886,233</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2,471,354</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2021 ESPP shares</w:t>
            </w:r>
          </w:p>
        </w:tc>
        <w:tc>
          <w:tcPr>
            <w:tcW w:w="1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w:t>
            </w: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2,582,069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3,166,381</w:t>
            </w:r>
          </w:p>
        </w:tc>
      </w:tr>
      <w:tr>
        <w:trPr>
          <w:trHeight w:val="20"/>
        </w:trPr>
        <w:tc>
          <w:tcPr>
            <w:tcW w:w="6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to the total of the same amounts shown on the 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as of September 30, 2025 and December 31, 2024 primarily consists of money market deposit accounts that secure an irrevocable standby letter of credit that serves as collateral for a security deposit for operating leases.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payor reserves, short-term</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contingent consideration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payor reserve, long-term</w:t>
            </w: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7"/>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Sales Agreement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sales agreement (the “Sales Agreement”) with TD Securities (USA) LLC (“TD Cowen”) in April 2024, pursuant to which the Company had the right, but not the obligation to offer and sell, from time to time, shares of its Class A common stock with an aggregate offering price up to $75.0 million through TD Cowen, as sales agent, subject to the terms and conditions described in the Sales Agreement and SEC rules and regulations (the “prior ATM offering”). During the year ended December 31, 2024, the Company issued 825,379 shares of its Class A common stock in connection with the prior ATM offering at an average price of $58.41 per share. Proceeds received, net of agent fees and other offering expenses, were $46.5 million. During the nine months ended September 30, 2025, the Company issued 251,367 shares of its Class A common stock in connection with the prior ATM offering at an average price of $106.56 per share, which resulted in the Company selling the maximum amount of shares in the prior ATM offering and the automatic termination of the Sales Agreement. Proceeds received, net of agent fees and other offering expenses, were $25.6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structure is aligned with how the chief operating decision maker (“CODM”) reviews the business, makes investing and resource allocation decisions and assesses operating performance. The Company’s CODM is its Chief Executive Officer. As of September 30, 2025, the Company has identified the GeneDx operating segment as its one reportable segment. The GeneDx operating segment primarily provides pediatric and rare disease diagnostics with a focus on whole exome and genome sequencing and, to a lesser extent, data and information services. The Company has also identified two other operating segments: (1) Fabric Genomics and (2) Legacy Sema4, which was completely shut down in 2023 and is winding down its operating activities. The Fabric Genomics and Legacy Sema4 operating segments do not meet the quantitative thresholds for reportable segments and are collectively reported in Other.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segment performance based on revenue and adjusted gross profit.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w:t>
            </w:r>
          </w:p>
        </w:tc>
      </w:tr>
      <w:tr>
        <w:trPr>
          <w:trHeight w:val="23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r>
      <w:tr>
        <w:trPr>
          <w:trHeight w:val="223"/>
        </w:trPr>
        <w:tc>
          <w:tcPr>
            <w:tcW w:w="30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49,504</w:t>
            </w:r>
          </w:p>
        </w:tc>
      </w:tr>
      <w:tr>
        <w:trPr>
          <w:trHeight w:val="257"/>
        </w:trPr>
        <w:tc>
          <w:tcPr>
            <w:tcW w:w="30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209,810</w:t>
            </w:r>
          </w:p>
        </w:tc>
      </w:tr>
      <w:tr>
        <w:trPr>
          <w:trHeight w:val="23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78,137</w:t>
            </w:r>
          </w:p>
        </w:tc>
      </w:tr>
      <w:tr>
        <w:trPr>
          <w:trHeight w:val="223"/>
        </w:trPr>
        <w:tc>
          <w:tcPr>
            <w:tcW w:w="30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131,673</w:t>
            </w:r>
          </w:p>
        </w:tc>
      </w:tr>
      <w:tr>
        <w:trPr>
          <w:trHeight w:val="257"/>
        </w:trPr>
        <w:tc>
          <w:tcPr>
            <w:tcW w:w="30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2024 (the “2024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 “</w:t>
      </w: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 to our condensed consolidated financial statements included in this Quarterly Report for more information on the Company’s history.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“Item 1A. Risk Factors” in this Quarterly Report and in our 2024 Form 10-K and our Quarterly Reports for the quarterly periods ended March 31, 2025 and June 30, 2025, which are incorporated by reference in this Quarterly Report,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Volume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number of resulted exome and genome tests in any period is important and useful to investors because it directly correlates with long-term patient relationships and the size of our genomic database. During the three months ended September 30, 2025, we resulted 25,702 exome and genome tests, which represented 43% of all test results, compared to the three months ended September 30, 2024, in which we resulted approximately 19,262 exome and genome tests, which represented 33% of all test results. During the nine months ended September 30, 2025, we resulted 69,510 exome and genome tests, which represented 41% of all test results, compared to the nine months ended September 30, 2024, in which we resulted approximately 53,871 exome and genome tests, which represented 31% of all test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with the acquisition of Fabric Genomics, we generate revenues through software and interpretation services as part of the arrangements related to rare disease, hereditary risk, and cancer testing. Our customers include clinical laboratories, hospitals, and research institutions. Our ability to increase this revenue will depend on our ability to expand our customer base among hospitals and genomic centers, along with increased adoption of whole genome sequencing and AI-enabled interpretation in clinical workflows.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services reflects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is recorded as the services are performed.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 of compensation expenses for employees performing commercial sales, account management, marketing, and certain genetic counseling services. Selling and marketing costs are expensed as incurred.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and maintaining compliance with requirements of Nasdaq and of the SEC.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740" w:type="dxa"/>
            <w:vAlign w:val="bottom"/>
            <w:tcBorders>
              <w:bottom w:val="single" w:sz="8" w:color="auto"/>
            </w:tcBorders>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36,698</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4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$39.9 million, or 52%, to $116.7 million for the three months ended September 30, 2025, from $76.9 million for the three months ended September 30, 2024.</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$36.1 million, or 47%, to $113.5 million for the three months ended September 30, 2025, from $77.4 million for the three months ended September 30, 2024. The increase primarily reflected an increase of 65% in whole exome and genome sequencing revenues driven by a 33% increase in test volumes and improvements in exome and genome average reimbursement rates.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by $3.8 million, to $3.2 million for the three months ended September 30, 2025. The increase primarily reflects $1.7 million of revenue from the recently acquired Fabric Genomics operating segment and the continued expansion of data and bio pharma programs. In addition, the prior year period included a negative adjustment in partnership revenues from our data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$36.7 million or 77%, to $84.5 million for the three months ended September 30, 2025, from $47.8 million for the three months ended September 30, 2024, driven by a combination of a shift in test mix to more profitable whole exome and genome tests, improvement in exome average reimbursement rates, and continued cost per test leverage.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$8.2 million, or 70%, to $19.8 million for the three months ended September 30, 2025, from $11.7 million for the three months ended September 30, 2024. The increase was driven by higher overall compensation costs of $7.4 million, which primarily reflects an investment to expand our product development team and the inclusion of research and development costs of Fabric Genomics.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by $6.5 million, or 38%, to $23.5 million for the three months ended September 30, 2025, from $17.0 million for the three months ended September 30, 2024. This increase primarily reflects our investment to support growth in our commercial team, as well as the inclusion of selling and marketing costs of Fabric Genomics.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$17.5 million, or 65%, to $44.4 million for the three months ended September 30, 2025, from $26.9 million for the three months ended September 30, 2024. The increase was primarily attributable to increased compensation related costs of $10.1 million, higher legal and third-party consultant costs of $3.8 million and higher IT software and infrastructure costs of $2.0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 Net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Non-operating expense, net increased by $3.6 million. The current quarter results primarily reflected a loss of $2.5 million for the change in fair value of the contingent consideration related to the Fabric Genomics acquisition. The prior period included a reduction in legal reserves, net of insurance, of approximately $1.3 million.</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our condensed consolidated financial statements for further information on the changes in fair value of our financial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740" w:type="dxa"/>
            <w:vAlign w:val="bottom"/>
            <w:tcBorders>
              <w:bottom w:val="single" w:sz="8" w:color="auto"/>
            </w:tcBorders>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7"/>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96,740</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85,713</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33,177</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$96.7 million, or 46%, to $306.6 million for the nine months ended September 30, 2025, from $209.8 million for the nine months ended September 30, 2024.</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$91.4 million, or 44%, to $299.4 million for the nine months ended September 30, 2025, from $208.0 million for the nine months ended September 30, 2024. The increase is attributable to increase of 66% in whole exome and genome sequencing revenues driven by a 29% increase in test volumes and a 29% increase in average reimbursement rates. This was partially offset by declines in other non-exome test revenues.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by $5.3 million, to $7.2 million for the nine months ended September 30, 2025, from $1.8 million for the nine months ended September 30, 2024. The increase reflects $2.3 million of revenue from the recently acquired Fabric Genomics operating segment and the continued expansion of data and bio pharma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$85.7 million for the nine months ended September 30, 2025, driven by a combination of a shift in test mix to more profitable whole exome and genome tests, improvement in exome average reimbursement rates, and continued cost per test leverage.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$13.4 million, or 39%, to $47.5 million for the nine months ended September 30, 2025, from $34.1 million for the nine months ended September 30, 2024. The increase was primarily attributable to compensation related costs of $14.4 million which reflects an investment to expand our product development team and the inclusion of research and development costs of Fabric Genomics. The increase was partially offset by lower costs associated with the Guardian newborn screening study of $1.5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by $11.6 million, or 23%, to $61.3 million for the nine months ended September 30, 2025, from $49.7 million for the nine months ended September 30, 2024. The increase was primarily attributable to higher compensation related costs of $9.5 million which reflects our investment to support growth in our commercial team, as well as the inclusion of selling and marketing costs of Fabric Genomics.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$27.6 million, or 36%, to $104.0 million for the nine months ended September 30, 2025, from $76.4 million for the nine months ended September 30, 2024. The increase was primarily attributable to increased compensation related costs of $21.9 million, higher IT software and infrastructure costs of $5.2 million, higher legal and audit-related costs of $6.1 million and increased amortization expense for acquired intangible assets established in connection with purchase accounting. These increases were partially offset by a one-time sales-and-use tax refund of $8.4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Non-operating expense, net, improved by $22.0 million. This was driven by prior period activities which included legal reserves, net of insurance, of approximately $12.1 million and non-cash charges of $10.1 million associated with the exercise of the Perceptive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gross profit to our adjusted gross profit and of our gross margin to adjusted gross margin for the three and nine months ended September 30,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20" w:type="dxa"/>
            <w:vAlign w:val="bottom"/>
            <w:gridSpan w:val="4"/>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9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116,743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306,550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209,810</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92,645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81,618</w:t>
            </w:r>
          </w:p>
        </w:tc>
      </w:tr>
      <w:tr>
        <w:trPr>
          <w:trHeight w:val="25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84,527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47,829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128,192</w:t>
            </w: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72.4 %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62.2 %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61.1 %</w:t>
            </w:r>
          </w:p>
        </w:tc>
      </w:tr>
      <w:tr>
        <w:trPr>
          <w:trHeight w:val="25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3,119</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86,120</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218,323</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131,673</w:t>
            </w:r>
          </w:p>
        </w:tc>
      </w:tr>
      <w:tr>
        <w:trPr>
          <w:trHeight w:val="18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73.8 %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64.4 %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71.2 %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62.8 %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(loss) is a non-GAAP financial measure that we define as net income (loss) adjusted for depreciation and amortization, stock-based compensation expenses, restructuring costs, change in fair value of financial liabilities, interest expense (net), income tax expense (benefit), transaction costs, legal reserves and tax refunds.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loss to adjusted net income (loss) for the three and nine months ended September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29"/>
        </w:trPr>
        <w:tc>
          <w:tcPr>
            <w:tcW w:w="5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340" w:hanging="332"/>
        <w:spacing w:after="0" w:line="2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2025, represents interest expense, net, income tax expense, net, transaction costs associated with the Merger Agreement and a sales-and-use tax refund. For the three and nine months ended September 30, 2024, represents interest expense, net, income tax benefit, net, and reserves net of insurance for a certain litigation matter.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our existing cash and cash equivalents and available-for-sale marketable securities were $155.1 million.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and available-for-sale marketable securities provide us with sufficient liquidity for at least twelve months from the filing date of this Quarterly Report. 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previously had an effective shelf registration statement that registered $300.0 million shares of Class A common stock and other securities, which expired in September 2025. We intend to file a new automatic shelf registration statement with the SEC registering shares of our Class A common stock and other securities to replace our prior shelf registration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fulfilling our contractual obligations and commitments with existing cash and cash equivalents and available-for-sale marketable securities or through additional capital raised to finance our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the notes to our condensed consolidated financial statements, in 2022, we entered into an agreement with one of our third-party payors to settle claims related to coverage and billing matters allegedly resulting in overpayments by the payor to Legacy Sema4. As of September 30, 2025, remaining payments due to the payor were $12.0 million, with $10.0 million due prior to December 31, 2025. For more information regarding this matter, 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in our 2024 Form 10-K and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condensed consolidated financial statements included within this Quarterly Report,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disclosed in Note 2, “</w:t>
      </w:r>
      <w:r>
        <w:rPr>
          <w:rFonts w:ascii="Times New Roman" w:cs="Times New Roman" w:eastAsia="Times New Roman" w:hAnsi="Times New Roman"/>
          <w:sz w:val="18"/>
          <w:szCs w:val="18"/>
          <w:i w:val="1"/>
          <w:iCs w:val="1"/>
          <w:color w:val="auto"/>
        </w:rPr>
        <w:t>Summary of Significant</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condensed consolidated financial statements included in this Quarterly Report, there have been no material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policies and estimates in the current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7"/>
        </w:trPr>
        <w:tc>
          <w:tcPr>
            <w:tcW w:w="7260" w:type="dxa"/>
            <w:vAlign w:val="bottom"/>
          </w:tcPr>
          <w:p>
            <w:pPr>
              <w:spacing w:after="0"/>
              <w:rPr>
                <w:sz w:val="22"/>
                <w:szCs w:val="22"/>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40" w:type="dxa"/>
            <w:vAlign w:val="bottom"/>
            <w:tcBorders>
              <w:bottom w:val="single" w:sz="8" w:color="auto"/>
            </w:tcBorders>
          </w:tcPr>
          <w:p>
            <w:pPr>
              <w:spacing w:after="0"/>
              <w:rPr>
                <w:sz w:val="22"/>
                <w:szCs w:val="22"/>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36,369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(25,313)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(50,445)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(29,613)</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24,832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13,139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September 30, 2025 was $36.4 million, driven by improved gross margin profitability in the current year. This performance was partially offset by the changes in operating assets and liabilities which primarily reflected higher accounts receivables from growth of the whole exome and genome testing volumes.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2024 was $25.3 million, driven by lower cash expenditures associated with the current year period net loss as compared with the prior year period, which reflected improved gross margin profitability, as well as the realization of cost savings from exiting the Legacy Sema4 business and other cost reduction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$50.4 million, which included $33.2 million for the acquisition of Fabric Genomics, purchases of marketable securities of $36.5 million and property and equipment of $14.7 million, partially offset by $34.0 million in proceeds from the maturities of marketable securities.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$29.6 million, which included net purchases of marketable securities of $52.7 million and property and equipment of $2.4 million, partially offset by $25.6 million in proceeds from the sales and maturities of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was $24.8 million, which primarily reflected proceeds from our prior at-the-market (“prior ATM offering”) of $25.6 million.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was $13.1 million, primarily driven by the $14.6 million net proceeds from our prior ATM offering, net of issuance costs, which was offset partially by $1.5 million of finance lease payments and $0.2 million of principal payments on the DECD loan.</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regarding our prior ATM offering, see Note 14, “</w:t>
      </w:r>
      <w:r>
        <w:rPr>
          <w:rFonts w:ascii="Times New Roman" w:cs="Times New Roman" w:eastAsia="Times New Roman" w:hAnsi="Times New Roman"/>
          <w:sz w:val="18"/>
          <w:szCs w:val="18"/>
          <w:i w:val="1"/>
          <w:iCs w:val="1"/>
          <w:color w:val="auto"/>
        </w:rPr>
        <w:t>Supplemental Information</w:t>
      </w:r>
      <w:r>
        <w:rPr>
          <w:rFonts w:ascii="Times New Roman" w:cs="Times New Roman" w:eastAsia="Times New Roman" w:hAnsi="Times New Roman"/>
          <w:sz w:val="18"/>
          <w:szCs w:val="18"/>
          <w:color w:val="auto"/>
        </w:rPr>
        <w:t>,” to our condensed consolidated financial statements included within this Quarterly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will cease to qualify as an emerging growth company and will no longer be allowed to take advantage of the exemptions and reporting requirements noted above.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$156.1 million as of September 30, 2025 and $142.2 million as of December 31, 2024,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interest rate risk on our variable rate debt associated with the Perceptive term loan facility. Changes in interest rates can impact future interest payments we are obligated to pay. A 100-basis point change in interest rates would not have a material effect on the total future interest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condensed consolidated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2025. Based on that evaluation, our Chief Executive Officer and Chief Financial Officer concluded that our disclosure controls and procedures were effective as of September 30, 2025, the end of the period covered by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nine months ended September 30, 2025 covered by this Quarterly Report on Form 10-Q that has materially affected, or is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required under this Item is contained above in Part I. Financial Information, Item 1, Note 10,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to our condensed consolidated financial statements included within this Quarterly Report and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Except for as set forth below, there have been no material changes in our risk factors from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2024 Form 10-K and in Part II, Item 1A “Risk Factors” of each of our Quarterly Reports for the quarterly periods ended March 31, 2025, filed with the SEC on April 30, 2025, and June 30, 2025, filed with the SEC on July 29, 2025, which sections are incorporated by reference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FDA oversight for laboratory developed tests (“LDTs”) could subject our operations to much more significant regulatory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the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the FDA outlined its plans to end enforcement discretion for many LDTs in five stages over a four-year period. In response, multiple lawsuits were filed challenging the FDA’s authority to regulate LDTs as medical devices under the Federal Food, Drug, and Cosmetic Act (FDCA). On March 31, 2025, the U.S. District Court for the Eastern District of Texas struck down the 2024 final rule on the grounds that the FDA exceeded its authority under the FDCA. The FDA did not appeal the court’s ruling. As a result, clinical laboratories offering LDTs are not required to comply with any of the phases of the final rule.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If the FDA ultimately regulates certain LDTs, or we voluntarily choose to submit certain test(s) for FDA review, our tests may become subject to extensive FDA requirements and our business may otherwise be adversely affected. If the FDA were to actively regulate our LDTs, we could experience reduced revenue or increased costs, which could adversely affect our business, prospects, results of operations and financial condition. The regulatory marketing authorization process may involve, among other things, successfully completing additional clinical validations and preparing submissions that comply with applicable premarket review requirements. Furthermore,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or we voluntarily seek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device designation by the FDA, even if granted, may not lead to a faster development, regulatory review or authorization, nor a designation increase the likelihood that any of our product candidates will receive regulatory authorization in the United States.</w:t>
      </w:r>
    </w:p>
    <w:p>
      <w:pPr>
        <w:spacing w:after="0" w:line="1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October 2025, we received Breakthrough Device Designation from the FDA for the analysis of DNA extracted from human blood specimens from pediatric or adult patients with unexplained constitutional or heritable disorders or syndromes, nonspecific or atypical clinical presentations, or for differential diagnoses including rapid neonatal testing in critical care, or postnatal detection of germline variants associated with causes of life-threatening diseases or genetic disorders in symptomatic patients (the “Breakthrough Device Designation Indications”) using our ExomeDx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GenomeDx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tests.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authorization process. We may not experience a faster development process, review, or authorization compared to conventional FDA procedures. Breakthrough Device Designation</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does not alter the regulatory standards for marketing authorization or guarantee that we will ultimately obtain FDA authorization for the Breakthrough Device Designation Indications using our ExomeDx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GenomeDx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tests.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w:t>
      </w:r>
      <w:r>
        <w:rPr>
          <w:rFonts w:ascii="Times New Roman" w:cs="Times New Roman" w:eastAsia="Times New Roman" w:hAnsi="Times New Roman"/>
          <w:sz w:val="18"/>
          <w:szCs w:val="18"/>
          <w:color w:val="auto"/>
        </w:rPr>
        <w: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Adoptions and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27, 2025, a grantor annuity trust (the “GRAT”) of which Jason Ryan, our chairman and a director, is the trustee, terminated a written plan for the potential transfer of up to an aggregate of 141,356 shares of our Class A common stock that had previously been entered into on November 7, 2024 (the “Ryan GRAT 10b5-1 Plan”). The Ryan GRAT 10b5-1 Plan was intended to satisfy the affirmative defense conditions of Rule 10b5-1(c) under the Exchange Act and had provided that it would be effective until March 5, 2027.</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2025, Katherine Stueland, our Chief Executive Officer, entered into a written plan for the potential sale of up to an aggregate of 40,000 shares of our Class A common stock, including shares underlying Ms. Stueland’s restricted stock unit (“RSU”) awards (the “Stueland 10b5-1 Plan”). The Stueland 10b5-1 Plan is intended to satisfy the affirmative defense conditions of Rule 10b5-1(c) under the Exchange Act and will be effective from April 10, 2026 to October 30, 2026.</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15, 2025, Bryan Dechairo, our Chief Operating Officer, entered into a written plan for the potential sale of up to an aggregate of 9,374 shares of our Class A common stock, including shares underlying Mr. Dechairo’s RSU awards (the “Dechairo 10b5-1 Plan” and, together with the Stueland 10b5-1 Plan, the “10b5-1 Plans”). The Dechairo 10b5-1 Plan is intended to satisfy the affirmative defense conditions of Rule 10b5-1(c) under the Exchange Act and will be effective from February 4, 2026 to September 30, 2026.</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10b5-1 Plan included a representation from the applicable officer to the broker administering the 10b5-1 Plan that the officer was not in possession of any material nonpublic information regarding the Company or the securities subject to the 10b5-1 Plan. A similar representation was made to us in a certification from each officer provided to us in connection with the adoption of the applicable 10b5-1 Plan under our insider trading policy. Those representations were made as of the date of adoption of the applicable 10b5-1 Plan or the certification, as applicable, and speak only as of those dates. In making those representations, there is no assurance with respect to any material non-public information of which the officer was unaware, or with respect to any material non-public information acquired by the officer or us after the applicable date of the representation.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quarter ended September 30, 2025, none of our directors or officers adopted or terminated any “Rule 10b5-1 trading arrangements” or any “non-Rule 10b5-1 trading arrangements,” as each term is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to our Annual Report on Form 10-K 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updates Part I, Item 1</w:t>
      </w:r>
      <w:r>
        <w:rPr>
          <w:rFonts w:ascii="Times New Roman" w:cs="Times New Roman" w:eastAsia="Times New Roman" w:hAnsi="Times New Roman"/>
          <w:sz w:val="18"/>
          <w:szCs w:val="18"/>
          <w:i w:val="1"/>
          <w:iCs w:val="1"/>
          <w:color w:val="auto"/>
        </w:rPr>
        <w:t>. “Business—Intellectual Property—Patents”</w:t>
      </w:r>
      <w:r>
        <w:rPr>
          <w:rFonts w:ascii="Times New Roman" w:cs="Times New Roman" w:eastAsia="Times New Roman" w:hAnsi="Times New Roman"/>
          <w:sz w:val="18"/>
          <w:szCs w:val="18"/>
          <w:color w:val="auto"/>
        </w:rPr>
        <w:t xml:space="preserve"> in our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one issued U.S. design patent, fourteen pending U.S. non-provisional utility patent applications, seven pending U.S. provisional patent applications, and three pending international PCT patent applications. The issued U.S. design patent relates to a display screen with a graphical user interface. The utility patent applications include an international PCT patent application and a U.S. patent application related to performing phenotypic fit analysis, an international PCT patent application and two U.S. patent applications related to analyzing genetic variations and phenotypes, a U.S. patent application related to modeling inference of mutation impact, two U.S. patent applications related to generating a cancer determination from electronic health records using a cancer determination analysis system, a U.S. patent application related to providing a homologous recombination DNA repair deficiency score for a cancer patient, a U.S. patent application related to therapeutic treatment for subjects having certain polymorphic markers associated with specific human leukocyte antigen alleles, two U.S. patent applications relating to analyzing phenotype-causing genomic variants, two U.S. patent applications relating to prioritizing phenotype-causing genomic variants in combination with biomedical ontologies, two U.S. patent applications relating to prioritizing phenotype-causing genomic variants in combination with clinical information, and an international PCT patent application relating to analyzing long biological sequence data. If patents are issued from the currently pending applications, the earliest patents will begin expiring in the early 2030s,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Regulation—Diagnostic Products and FDA Oversight of Laboratory Developed Tests”</w:t>
      </w:r>
      <w:r>
        <w:rPr>
          <w:rFonts w:ascii="Times New Roman" w:cs="Times New Roman" w:eastAsia="Times New Roman" w:hAnsi="Times New Roman"/>
          <w:sz w:val="18"/>
          <w:szCs w:val="18"/>
          <w:color w:val="auto"/>
        </w:rPr>
        <w:t xml:space="preserve"> in our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Oversight of Laboratory Developed Tests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the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the FDA outlined its plans to end enforcement discretion for many LDTs in five stages over a four-year period.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multiple lawsuits were filed challenging the FDA’s authority to regulate LDTs as medical devices under the Federal Food, Drug, and Cosmetic Act (FDCA). On March 31, 2025, the U.S. District Court for the Eastern District of Texas struck down the 2024 final rule on the grounds that the FDA exceeded its authority under the FDCA. The FDA did not appeal the court’s ruling. As a result, clinical laboratories offering LDTs are not required to comply with any of the phases of the final rule.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For example, versions of the Verifying Accurate Leading-edge IVCT Development Act (the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FDCA and establish a risk-based approach to imposing requirements related to premarket review, quality systems, and labeling requirements on all IVCTs, including LDTs, but a grandfathering provision would create exemptions from certain requirements for certain LDTs (e.g., LDTs first offered for clinical use not later than May 6, 2024). The likelihood that Congress will pass such legislation is difficult to predict at this time.</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ultimately regulates certain LDTs, our tests may be subject to certain additional regulatory requirements. Complying with the FDA’s requirements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comply with applicable premarket review requirements, and adhere to the FDA’s current Good Manufacturing Practices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and/or our quality control practices, it may impose restrictions on marketing specific products until corrected. Regulation by governmental authorities in the United States and other countries may be a significant factor in how we develop, test, produce and market our diagnostic test products.</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October 2025, the FDA granted Breakthrough Device Designation from the FDA for the Breakthrough Device Designation Indications using our ExomeDx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GenomeDx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tests. We believe this designation highlights the tests’ potential to identify the causes of life-threatening diseases or genetic disorders to aid in the diagnosis of symptomatic patients. The Breakthrough Devices Program is a voluntary program intended to give patients more timely access to medical devices that provide for more effective diagnosis or treatment of life-threatening or irreversibly debilitating diseases by expediting their development, assessment, and review. We expect these designations to help us accelerate the future review and potential authorization of our exome and genomes tests.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Regulation—Corporate Practice of Medicine”</w:t>
      </w:r>
      <w:r>
        <w:rPr>
          <w:rFonts w:ascii="Times New Roman" w:cs="Times New Roman" w:eastAsia="Times New Roman" w:hAnsi="Times New Roman"/>
          <w:sz w:val="18"/>
          <w:szCs w:val="18"/>
          <w:color w:val="auto"/>
        </w:rPr>
        <w:t xml:space="preserve"> in our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 law establishes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Regulation—Other Data Protection Laws”</w:t>
      </w:r>
      <w:r>
        <w:rPr>
          <w:rFonts w:ascii="Times New Roman" w:cs="Times New Roman" w:eastAsia="Times New Roman" w:hAnsi="Times New Roman"/>
          <w:sz w:val="18"/>
          <w:szCs w:val="18"/>
          <w:color w:val="auto"/>
        </w:rPr>
        <w:t xml:space="preserve"> in our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Data Protection Laws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or by monitoring their activities. Certain data protection laws, such as those in the European Union, (the “EU”) and United Kingdom (the “UK”), are comprehensive in nature and include significant requirements around the processing of personal information, while other jurisdictions may have no privacy and data protection laws or privacy and data protection laws less restrictive or prescriptive than those in the United States. Enforcement of these laws varies from jurisdiction to jurisdiction,</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variety of consequences, including civil or criminal penalties or the loss of a license to operate in the jurisdiction, individual litigation rights, or damage to our reputation.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respectively.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individuals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also result in significant administrative fines and restrictions on our business operations issued by EU or UK regulators.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Additional 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within our 2024 Form 10-K, and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76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00" w:type="dxa"/>
            <w:vAlign w:val="bottom"/>
            <w:tcBorders>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76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13a-14(a) and 15(d)-14(a), as adopted Pursuant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720" w:type="dxa"/>
            <w:vAlign w:val="bottom"/>
            <w:tcBorders>
              <w:top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80" w:type="dxa"/>
            <w:vAlign w:val="bottom"/>
            <w:tcBorders>
              <w:top w:val="single" w:sz="8" w:color="CCEEFF"/>
            </w:tcBorders>
            <w:gridSpan w:val="3"/>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0" w:type="dxa"/>
            <w:vAlign w:val="bottom"/>
            <w:tcBorders>
              <w:top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540" w:type="dxa"/>
            <w:vAlign w:val="bottom"/>
            <w:tcBorders>
              <w:top w:val="single" w:sz="8" w:color="0000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tcBorders>
              <w:top w:val="single" w:sz="8" w:color="CCEEFF"/>
            </w:tcBorders>
            <w:gridSpan w:val="5"/>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33"/>
        </w:trPr>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54" w:lineRule="exact"/>
        <w:rPr>
          <w:sz w:val="20"/>
          <w:szCs w:val="20"/>
          <w:color w:val="auto"/>
        </w:rPr>
      </w:pPr>
    </w:p>
    <w:p>
      <w:pPr>
        <w:ind w:left="980" w:hanging="628"/>
        <w:spacing w:after="0"/>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970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28,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28,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Feeley</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Feeley</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2"/>
        </w:trPr>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42</w:t>
            </w:r>
          </w:p>
        </w:tc>
        <w:tc>
          <w:tcPr>
            <w:tcW w:w="4320" w:type="dxa"/>
            <w:vAlign w:val="bottom"/>
          </w:tcPr>
          <w:p>
            <w:pPr>
              <w:spacing w:after="0"/>
              <w:rPr>
                <w:sz w:val="24"/>
                <w:szCs w:val="24"/>
                <w:color w:val="auto"/>
              </w:rPr>
            </w:pPr>
          </w:p>
        </w:tc>
      </w:tr>
    </w:tbl>
    <w:p>
      <w:pPr>
        <w:sectPr>
          <w:pgSz w:w="11900" w:h="16838" w:orient="portrait"/>
          <w:cols w:equalWidth="0" w:num="1">
            <w:col w:w="10340"/>
          </w:cols>
          <w:pgMar w:left="320" w:top="135" w:right="1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September 30, 2025, as filed with the Securities and Exchange Commission (the “Report”), I, Katherine Stueland, Chief Executive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September 30, 2025, as filed with the Securities and Exchange Commission (the “Report”), I, Kevin Feeley, Chief Financial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2025-10-28T05:57:51Z</dcterms:created>
  <dcterms:modified xsi:type="dcterms:W3CDTF">2025-10-28T05:57:51Z</dcterms:modified>
</cp:coreProperties>
</file>