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17"/>
        <w:spacing w:after="0"/>
        <w:rPr>
          <w:sz w:val="20"/>
          <w:szCs w:val="20"/>
          <w:color w:val="auto"/>
        </w:rPr>
      </w:pPr>
      <w:r>
        <w:rPr>
          <w:rFonts w:ascii="Arial" w:cs="Arial" w:eastAsia="Arial" w:hAnsi="Arial"/>
          <w:sz w:val="17"/>
          <w:szCs w:val="17"/>
          <w:color w:val="0000FF"/>
        </w:rPr>
        <w:t>Chief Business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1"/>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10/25/2021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Arial" w:cs="Arial" w:eastAsia="Arial" w:hAnsi="Arial"/>
                <w:sz w:val="17"/>
                <w:szCs w:val="17"/>
                <w:color w:val="0000FF"/>
                <w:w w:val="84"/>
              </w:rPr>
              <w:t>54,042</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Arial" w:cs="Arial" w:eastAsia="Arial" w:hAnsi="Arial"/>
                <w:sz w:val="17"/>
                <w:szCs w:val="17"/>
                <w:color w:val="0000FF"/>
              </w:rPr>
              <w:t>54,042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16,608</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7.54</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37,434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54,042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54,042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234,186</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3/16th of the total shares vested on October 25, 2021, 1/16th of the total shares vest on January 19, 2022, and thereafter vests as to 1/16th of the total shares underlying the award in quarterly installments until fully vested on January 19,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2021-11-02T19:32:54Z</dcterms:created>
  <dcterms:modified xsi:type="dcterms:W3CDTF">2021-11-02T19:32:54Z</dcterms:modified>
</cp:coreProperties>
</file>