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2">
                    <w:r>
                      <w:rPr>
                        <w:rStyle w:val="InternetLink"/>
                      </w:rPr>
                      <w:t>Miao Richard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Former Interim CFO</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07/01/2022</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07/01/2022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5,139</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25,482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07/05/2022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2,191</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1.3187</w:t>
            </w:r>
            <w:r>
              <w:rPr>
                <w:rFonts w:ascii="Times;serif" w:hAnsi="Times;serif"/>
                <w:color w:val="008000"/>
                <w:position w:val="7"/>
                <w:sz w:val="16"/>
                <w:sz w:val="20"/>
                <w:highlight w:val="white"/>
              </w:rPr>
              <w:t>(3)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23,291</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07/01/2022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5,139</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5,139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77,097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6.25% of the total shares underlying the restricted stock units vest in quarterly installments beginning on July 1, 2022 until fully vested,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Bridget Brown,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34925" TargetMode="External"/><Relationship Id="rId3" Type="http://schemas.openxmlformats.org/officeDocument/2006/relationships/hyperlink" Target="http://www.sec.gov/cgi-bin/browse-edgar?action=getcompany&amp;CIK=0001818331"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787</Words>
  <CharactersWithSpaces>4910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