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ind w:left="0" w:right="0" w:firstLine="36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120"/>
        <w:ind w:left="0" w:right="0" w:firstLine="36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120"/>
        <w:ind w:left="0" w:right="0" w:firstLine="36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r>
    </w:p>
    <w:p>
      <w:pPr>
        <w:pStyle w:val="TextBody"/>
        <w:bidi w:val="0"/>
        <w:spacing w:lineRule="auto" w:line="288" w:before="0" w:after="12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Commission file number 001-39482</w:t>
      </w:r>
    </w:p>
    <w:p>
      <w:pPr>
        <w:pStyle w:val="TextBody"/>
        <w:bidi w:val="0"/>
        <w:spacing w:before="0" w:after="0"/>
        <w:ind w:left="0" w:right="0" w:firstLine="360"/>
        <w:jc w:val="center"/>
        <w:rPr/>
      </w:pPr>
      <w:r>
        <w:rPr/>
        <w:drawing>
          <wp:inline distT="0" distB="0" distL="0" distR="0">
            <wp:extent cx="158115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81150" cy="54292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GeneDx Holdings Corp.</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before="0" w:after="0"/>
        <w:ind w:left="0" w:right="0" w:firstLine="360"/>
        <w:jc w:val="center"/>
        <w:rPr/>
      </w:pPr>
      <w:r>
        <w:rPr/>
      </w:r>
    </w:p>
    <w:tbl>
      <w:tblPr>
        <w:tblW w:w="8055" w:type="dxa"/>
        <w:jc w:val="left"/>
        <w:tblInd w:w="0" w:type="dxa"/>
        <w:tblLayout w:type="fixed"/>
        <w:tblCellMar>
          <w:top w:w="28" w:type="dxa"/>
          <w:left w:w="28" w:type="dxa"/>
          <w:bottom w:w="28" w:type="dxa"/>
          <w:right w:w="28" w:type="dxa"/>
        </w:tblCellMar>
      </w:tblPr>
      <w:tblGrid>
        <w:gridCol w:w="1818"/>
        <w:gridCol w:w="1596"/>
        <w:gridCol w:w="1611"/>
        <w:gridCol w:w="805"/>
        <w:gridCol w:w="805"/>
        <w:gridCol w:w="1420"/>
      </w:tblGrid>
      <w:tr>
        <w:trPr/>
        <w:tc>
          <w:tcPr>
            <w:tcW w:w="1818"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ind w:left="0" w:right="0" w:firstLine="60"/>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3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85-1966622</w:t>
            </w:r>
          </w:p>
        </w:tc>
      </w:tr>
      <w:tr>
        <w:trPr/>
        <w:tc>
          <w:tcPr>
            <w:tcW w:w="5025"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5" w:type="dxa"/>
            <w:gridSpan w:val="6"/>
            <w:tcBorders/>
            <w:tcMar>
              <w:top w:w="0" w:type="dxa"/>
              <w:left w:w="0" w:type="dxa"/>
              <w:bottom w:w="0" w:type="dxa"/>
              <w:right w:w="0" w:type="dxa"/>
            </w:tcMar>
            <w:vAlign w:val="center"/>
          </w:tcPr>
          <w:p>
            <w:pPr>
              <w:pStyle w:val="TableContents"/>
              <w:bidi w:val="0"/>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 xml:space="preserve">333 Ludlow Street, North Tower; 6th Floor </w:t>
            </w:r>
          </w:p>
          <w:p>
            <w:pPr>
              <w:pStyle w:val="TableContents"/>
              <w:bidi w:val="0"/>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Stamford, Connecticut 06902</w:t>
            </w:r>
          </w:p>
        </w:tc>
      </w:tr>
      <w:tr>
        <w:trPr/>
        <w:tc>
          <w:tcPr>
            <w:tcW w:w="805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tc>
      </w:tr>
    </w:tbl>
    <w:p>
      <w:pPr>
        <w:pStyle w:val="TextBody"/>
        <w:bidi w:val="0"/>
        <w:spacing w:lineRule="auto" w:line="288" w:before="0" w:after="120"/>
        <w:ind w:left="0" w:right="0" w:firstLine="360"/>
        <w:jc w:val="center"/>
        <w:rPr/>
      </w:pP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rPr>
        <w:t>(800) 298-6470</w:t>
      </w: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080"/>
        <w:gridCol w:w="1721"/>
        <w:gridCol w:w="1742"/>
        <w:gridCol w:w="109"/>
        <w:gridCol w:w="109"/>
        <w:gridCol w:w="109"/>
        <w:gridCol w:w="439"/>
        <w:gridCol w:w="411"/>
        <w:gridCol w:w="412"/>
        <w:gridCol w:w="109"/>
        <w:gridCol w:w="109"/>
        <w:gridCol w:w="109"/>
        <w:gridCol w:w="801"/>
        <w:gridCol w:w="801"/>
        <w:gridCol w:w="1144"/>
      </w:tblGrid>
      <w:tr>
        <w:trPr/>
        <w:tc>
          <w:tcPr>
            <w:tcW w:w="2080"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554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5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554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 to purchase one share of Class A common stock, each at an exercise price of $379.50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WGSWW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20" w:after="18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8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88" w:type="dxa"/>
        <w:jc w:val="left"/>
        <w:tblInd w:w="0" w:type="dxa"/>
        <w:tblLayout w:type="fixed"/>
        <w:tblCellMar>
          <w:top w:w="28" w:type="dxa"/>
          <w:left w:w="28" w:type="dxa"/>
          <w:bottom w:w="28" w:type="dxa"/>
          <w:right w:w="28" w:type="dxa"/>
        </w:tblCellMar>
      </w:tblPr>
      <w:tblGrid>
        <w:gridCol w:w="717"/>
        <w:gridCol w:w="630"/>
        <w:gridCol w:w="632"/>
        <w:gridCol w:w="109"/>
        <w:gridCol w:w="109"/>
        <w:gridCol w:w="109"/>
        <w:gridCol w:w="769"/>
        <w:gridCol w:w="769"/>
        <w:gridCol w:w="772"/>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7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18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80"/>
        <w:jc w:val="both"/>
        <w:rPr/>
      </w:pPr>
      <w:r>
        <w:rPr>
          <w:rFonts w:ascii="Times New Roman;sans-serif" w:hAnsi="Times New Roman;sans-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 had 25,884,279 shares of Class A common stock, par value $0.0001, outstanding at October 30,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821"/>
        <w:gridCol w:w="714"/>
        <w:gridCol w:w="714"/>
        <w:gridCol w:w="2481"/>
        <w:gridCol w:w="2426"/>
        <w:gridCol w:w="2474"/>
        <w:gridCol w:w="167"/>
        <w:gridCol w:w="167"/>
        <w:gridCol w:w="241"/>
      </w:tblGrid>
      <w:tr>
        <w:trPr/>
        <w:tc>
          <w:tcPr>
            <w:tcW w:w="82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Cautionary Note Regarding Forward Looking Statements</w:t>
            </w:r>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4764bbe6c0744bf59bc5f5c745d7108f_13">
              <w:r>
                <w:rPr>
                  <w:rStyle w:val="InternetLink"/>
                  <w:rFonts w:ascii="Times New Roman;sans-serif" w:hAnsi="Times New Roman;sans-serif"/>
                  <w:b w:val="false"/>
                  <w:strike w:val="false"/>
                  <w:dstrike w:val="false"/>
                  <w:color w:val="000000"/>
                  <w:sz w:val="20"/>
                  <w:u w:val="none"/>
                  <w:effect w:val="none"/>
                </w:rPr>
                <w:t>3</w:t>
              </w:r>
            </w:hyperlink>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4764bbe6c0744bf59bc5f5c745d7108f_16">
              <w:r>
                <w:rPr>
                  <w:rStyle w:val="InternetLink"/>
                  <w:rFonts w:ascii="Times New Roman;sans-serif" w:hAnsi="Times New Roman;sans-serif"/>
                  <w:b w:val="false"/>
                  <w:color w:val="0000FF"/>
                  <w:sz w:val="20"/>
                  <w:u w:val="single"/>
                </w:rPr>
                <w:t>Part I. Financial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4764bbe6c0744bf59bc5f5c745d7108f_19">
              <w:r>
                <w:rPr>
                  <w:rStyle w:val="InternetLink"/>
                  <w:rFonts w:ascii="Times New Roman;sans-serif" w:hAnsi="Times New Roman;sans-serif"/>
                  <w:b w:val="false"/>
                  <w:color w:val="0000FF"/>
                  <w:sz w:val="20"/>
                  <w:u w:val="single"/>
                </w:rPr>
                <w:t>Item 1.</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4764bbe6c0744bf59bc5f5c745d7108f_19">
              <w:r>
                <w:rPr>
                  <w:rStyle w:val="InternetLink"/>
                  <w:rFonts w:ascii="Times New Roman;sans-serif" w:hAnsi="Times New Roman;sans-serif"/>
                  <w:b w:val="false"/>
                  <w:color w:val="0000FF"/>
                  <w:sz w:val="20"/>
                  <w:u w:val="single"/>
                </w:rPr>
                <w:t>Condensed Consolidated Financial Statements (Unaudited)</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4764bbe6c0744bf59bc5f5c745d7108f_19">
              <w:r>
                <w:rPr>
                  <w:rStyle w:val="InternetLink"/>
                  <w:rFonts w:ascii="Times New Roman;sans-serif" w:hAnsi="Times New Roman;sans-serif"/>
                  <w:b w:val="false"/>
                  <w:strike w:val="false"/>
                  <w:dstrike w:val="false"/>
                  <w:color w:val="000000"/>
                  <w:sz w:val="20"/>
                  <w:u w:val="none"/>
                  <w:effect w:val="none"/>
                </w:rPr>
                <w:t>4</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4764bbe6c0744bf59bc5f5c745d7108f_106">
              <w:r>
                <w:rPr>
                  <w:rStyle w:val="InternetLink"/>
                  <w:rFonts w:ascii="Times New Roman;sans-serif" w:hAnsi="Times New Roman;sans-serif"/>
                  <w:b w:val="false"/>
                  <w:color w:val="0000FF"/>
                  <w:sz w:val="20"/>
                  <w:u w:val="single"/>
                </w:rPr>
                <w:t>Item 2.</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4764bbe6c0744bf59bc5f5c745d7108f_10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4764bbe6c0744bf59bc5f5c745d7108f_106">
              <w:r>
                <w:rPr>
                  <w:rStyle w:val="InternetLink"/>
                  <w:rFonts w:ascii="Times New Roman;sans-serif" w:hAnsi="Times New Roman;sans-serif"/>
                  <w:b w:val="false"/>
                  <w:strike w:val="false"/>
                  <w:dstrike w:val="false"/>
                  <w:color w:val="000000"/>
                  <w:sz w:val="20"/>
                  <w:u w:val="none"/>
                  <w:effect w:val="none"/>
                </w:rPr>
                <w:t>29</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4764bbe6c0744bf59bc5f5c745d7108f_160">
              <w:r>
                <w:rPr>
                  <w:rStyle w:val="InternetLink"/>
                  <w:rFonts w:ascii="Times New Roman;sans-serif" w:hAnsi="Times New Roman;sans-serif"/>
                  <w:b w:val="false"/>
                  <w:color w:val="0000FF"/>
                  <w:sz w:val="20"/>
                  <w:u w:val="single"/>
                </w:rPr>
                <w:t>Item 3.</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4764bbe6c0744bf59bc5f5c745d7108f_160">
              <w:r>
                <w:rPr>
                  <w:rStyle w:val="InternetLink"/>
                  <w:rFonts w:ascii="Times New Roman;sans-serif" w:hAnsi="Times New Roman;sans-serif"/>
                  <w:b w:val="false"/>
                  <w:color w:val="0000FF"/>
                  <w:sz w:val="20"/>
                  <w:u w:val="singl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4764bbe6c0744bf59bc5f5c745d7108f_160">
              <w:r>
                <w:rPr>
                  <w:rStyle w:val="InternetLink"/>
                  <w:rFonts w:ascii="Times New Roman;sans-serif" w:hAnsi="Times New Roman;sans-serif"/>
                  <w:b w:val="false"/>
                  <w:strike w:val="false"/>
                  <w:dstrike w:val="false"/>
                  <w:color w:val="000000"/>
                  <w:sz w:val="20"/>
                  <w:u w:val="none"/>
                  <w:effect w:val="none"/>
                </w:rPr>
                <w:t>40</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4764bbe6c0744bf59bc5f5c745d7108f_163">
              <w:r>
                <w:rPr>
                  <w:rStyle w:val="InternetLink"/>
                  <w:rFonts w:ascii="Times New Roman;sans-serif" w:hAnsi="Times New Roman;sans-serif"/>
                  <w:b w:val="false"/>
                  <w:color w:val="0000FF"/>
                  <w:sz w:val="20"/>
                  <w:u w:val="single"/>
                </w:rPr>
                <w:t>Item 4.</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4764bbe6c0744bf59bc5f5c745d7108f_163">
              <w:r>
                <w:rPr>
                  <w:rStyle w:val="InternetLink"/>
                  <w:rFonts w:ascii="Times New Roman;sans-serif" w:hAnsi="Times New Roman;sans-serif"/>
                  <w:b w:val="false"/>
                  <w:color w:val="0000FF"/>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4764bbe6c0744bf59bc5f5c745d7108f_163">
              <w:r>
                <w:rPr>
                  <w:rStyle w:val="InternetLink"/>
                  <w:rFonts w:ascii="Times New Roman;sans-serif" w:hAnsi="Times New Roman;sans-serif"/>
                  <w:b w:val="false"/>
                  <w:strike w:val="false"/>
                  <w:dstrike w:val="false"/>
                  <w:color w:val="000000"/>
                  <w:sz w:val="20"/>
                  <w:u w:val="none"/>
                  <w:effect w:val="none"/>
                </w:rPr>
                <w:t>41</w:t>
              </w:r>
            </w:hyperlink>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4764bbe6c0744bf59bc5f5c745d7108f_166">
              <w:r>
                <w:rPr>
                  <w:rStyle w:val="InternetLink"/>
                  <w:rFonts w:ascii="Times New Roman;sans-serif" w:hAnsi="Times New Roman;sans-serif"/>
                  <w:b w:val="false"/>
                  <w:color w:val="0000FF"/>
                  <w:sz w:val="20"/>
                  <w:u w:val="single"/>
                </w:rPr>
                <w:t>Part II. Other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4764bbe6c0744bf59bc5f5c745d7108f_169">
              <w:r>
                <w:rPr>
                  <w:rStyle w:val="InternetLink"/>
                  <w:rFonts w:ascii="Times New Roman;sans-serif" w:hAnsi="Times New Roman;sans-serif"/>
                  <w:b w:val="false"/>
                  <w:color w:val="0000FF"/>
                  <w:sz w:val="20"/>
                  <w:u w:val="single"/>
                </w:rPr>
                <w:t>Item 1.</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4764bbe6c0744bf59bc5f5c745d7108f_169">
              <w:r>
                <w:rPr>
                  <w:rStyle w:val="InternetLink"/>
                  <w:rFonts w:ascii="Times New Roman;sans-serif" w:hAnsi="Times New Roman;sans-serif"/>
                  <w:b w:val="false"/>
                  <w:color w:val="0000FF"/>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4764bbe6c0744bf59bc5f5c745d7108f_169">
              <w:r>
                <w:rPr>
                  <w:rStyle w:val="InternetLink"/>
                  <w:rFonts w:ascii="Times New Roman;sans-serif" w:hAnsi="Times New Roman;sans-serif"/>
                  <w:b w:val="false"/>
                  <w:strike w:val="false"/>
                  <w:dstrike w:val="false"/>
                  <w:color w:val="000000"/>
                  <w:sz w:val="20"/>
                  <w:u w:val="none"/>
                  <w:effect w:val="none"/>
                </w:rPr>
                <w:t>43</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4764bbe6c0744bf59bc5f5c745d7108f_172">
              <w:r>
                <w:rPr>
                  <w:rStyle w:val="InternetLink"/>
                  <w:rFonts w:ascii="Times New Roman;sans-serif" w:hAnsi="Times New Roman;sans-serif"/>
                  <w:b w:val="false"/>
                  <w:color w:val="0000FF"/>
                  <w:sz w:val="20"/>
                  <w:u w:val="single"/>
                </w:rPr>
                <w:t>Item 1A.</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4764bbe6c0744bf59bc5f5c745d7108f_172">
              <w:r>
                <w:rPr>
                  <w:rStyle w:val="InternetLink"/>
                  <w:rFonts w:ascii="Times New Roman;sans-serif" w:hAnsi="Times New Roman;sans-serif"/>
                  <w:b w:val="false"/>
                  <w:color w:val="0000FF"/>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4764bbe6c0744bf59bc5f5c745d7108f_172">
              <w:r>
                <w:rPr>
                  <w:rStyle w:val="InternetLink"/>
                  <w:rFonts w:ascii="Times New Roman;sans-serif" w:hAnsi="Times New Roman;sans-serif"/>
                  <w:b w:val="false"/>
                  <w:strike w:val="false"/>
                  <w:dstrike w:val="false"/>
                  <w:color w:val="000000"/>
                  <w:sz w:val="20"/>
                  <w:u w:val="none"/>
                  <w:effect w:val="none"/>
                </w:rPr>
                <w:t>43</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4764bbe6c0744bf59bc5f5c745d7108f_175">
              <w:r>
                <w:rPr>
                  <w:rStyle w:val="InternetLink"/>
                  <w:rFonts w:ascii="Times New Roman;sans-serif" w:hAnsi="Times New Roman;sans-serif"/>
                  <w:b w:val="false"/>
                  <w:color w:val="0000FF"/>
                  <w:sz w:val="20"/>
                  <w:u w:val="single"/>
                </w:rPr>
                <w:t>Item 2.</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4764bbe6c0744bf59bc5f5c745d7108f_175">
              <w:r>
                <w:rPr>
                  <w:rStyle w:val="InternetLink"/>
                  <w:rFonts w:ascii="Times New Roman;sans-serif" w:hAnsi="Times New Roman;sans-serif"/>
                  <w:b w:val="false"/>
                  <w:color w:val="0000FF"/>
                  <w:sz w:val="20"/>
                  <w:u w:val="single"/>
                </w:rPr>
                <w:t>Unregistered Sales of Equity Securities, Use of Proceeds, and Issuer Purchases of Equity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4764bbe6c0744bf59bc5f5c745d7108f_175">
              <w:r>
                <w:rPr>
                  <w:rStyle w:val="InternetLink"/>
                  <w:rFonts w:ascii="Times New Roman;sans-serif" w:hAnsi="Times New Roman;sans-serif"/>
                  <w:b w:val="false"/>
                  <w:strike w:val="false"/>
                  <w:dstrike w:val="false"/>
                  <w:color w:val="000000"/>
                  <w:sz w:val="20"/>
                  <w:u w:val="none"/>
                  <w:effect w:val="none"/>
                </w:rPr>
                <w:t>44</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4764bbe6c0744bf59bc5f5c745d7108f_178">
              <w:r>
                <w:rPr>
                  <w:rStyle w:val="InternetLink"/>
                  <w:rFonts w:ascii="Times New Roman;sans-serif" w:hAnsi="Times New Roman;sans-serif"/>
                  <w:b w:val="false"/>
                  <w:color w:val="0000FF"/>
                  <w:sz w:val="20"/>
                  <w:u w:val="single"/>
                </w:rPr>
                <w:t>Item 3.</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4764bbe6c0744bf59bc5f5c745d7108f_178">
              <w:r>
                <w:rPr>
                  <w:rStyle w:val="InternetLink"/>
                  <w:rFonts w:ascii="Times New Roman;sans-serif" w:hAnsi="Times New Roman;sans-serif"/>
                  <w:b w:val="false"/>
                  <w:color w:val="0000FF"/>
                  <w:sz w:val="20"/>
                  <w:u w:val="single"/>
                </w:rPr>
                <w:t>Defaults Upon Senior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4764bbe6c0744bf59bc5f5c745d7108f_178">
              <w:r>
                <w:rPr>
                  <w:rStyle w:val="InternetLink"/>
                  <w:rFonts w:ascii="Times New Roman;sans-serif" w:hAnsi="Times New Roman;sans-serif"/>
                  <w:b w:val="false"/>
                  <w:strike w:val="false"/>
                  <w:dstrike w:val="false"/>
                  <w:color w:val="000000"/>
                  <w:sz w:val="20"/>
                  <w:u w:val="none"/>
                  <w:effect w:val="none"/>
                </w:rPr>
                <w:t>45</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4764bbe6c0744bf59bc5f5c745d7108f_181">
              <w:r>
                <w:rPr>
                  <w:rStyle w:val="InternetLink"/>
                  <w:rFonts w:ascii="Times New Roman;sans-serif" w:hAnsi="Times New Roman;sans-serif"/>
                  <w:b w:val="false"/>
                  <w:color w:val="0000FF"/>
                  <w:sz w:val="20"/>
                  <w:u w:val="single"/>
                </w:rPr>
                <w:t>Item 4.</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4764bbe6c0744bf59bc5f5c745d7108f_181">
              <w:r>
                <w:rPr>
                  <w:rStyle w:val="InternetLink"/>
                  <w:rFonts w:ascii="Times New Roman;sans-serif" w:hAnsi="Times New Roman;sans-serif"/>
                  <w:b w:val="false"/>
                  <w:color w:val="0000FF"/>
                  <w:sz w:val="20"/>
                  <w:u w:val="single"/>
                </w:rPr>
                <w:t>Mine Safety Disclosures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4764bbe6c0744bf59bc5f5c745d7108f_181">
              <w:r>
                <w:rPr>
                  <w:rStyle w:val="InternetLink"/>
                  <w:rFonts w:ascii="Times New Roman;sans-serif" w:hAnsi="Times New Roman;sans-serif"/>
                  <w:b w:val="false"/>
                  <w:strike w:val="false"/>
                  <w:dstrike w:val="false"/>
                  <w:color w:val="000000"/>
                  <w:sz w:val="20"/>
                  <w:u w:val="none"/>
                  <w:effect w:val="none"/>
                </w:rPr>
                <w:t>45</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4764bbe6c0744bf59bc5f5c745d7108f_184">
              <w:r>
                <w:rPr>
                  <w:rStyle w:val="InternetLink"/>
                  <w:rFonts w:ascii="Times New Roman;sans-serif" w:hAnsi="Times New Roman;sans-serif"/>
                  <w:b w:val="false"/>
                  <w:color w:val="0000FF"/>
                  <w:sz w:val="20"/>
                  <w:u w:val="single"/>
                </w:rPr>
                <w:t>Item 5.</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4764bbe6c0744bf59bc5f5c745d7108f_184">
              <w:r>
                <w:rPr>
                  <w:rStyle w:val="InternetLink"/>
                  <w:rFonts w:ascii="Times New Roman;sans-serif" w:hAnsi="Times New Roman;sans-serif"/>
                  <w:b w:val="false"/>
                  <w:color w:val="0000FF"/>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4764bbe6c0744bf59bc5f5c745d7108f_184">
              <w:r>
                <w:rPr>
                  <w:rStyle w:val="InternetLink"/>
                  <w:rFonts w:ascii="Times New Roman;sans-serif" w:hAnsi="Times New Roman;sans-serif"/>
                  <w:b w:val="false"/>
                  <w:strike w:val="false"/>
                  <w:dstrike w:val="false"/>
                  <w:color w:val="000000"/>
                  <w:sz w:val="20"/>
                  <w:u w:val="none"/>
                  <w:effect w:val="none"/>
                </w:rPr>
                <w:t>45</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4764bbe6c0744bf59bc5f5c745d7108f_187">
              <w:r>
                <w:rPr>
                  <w:rStyle w:val="InternetLink"/>
                  <w:rFonts w:ascii="Times New Roman;sans-serif" w:hAnsi="Times New Roman;sans-serif"/>
                  <w:b w:val="false"/>
                  <w:color w:val="0000FF"/>
                  <w:sz w:val="20"/>
                  <w:u w:val="single"/>
                </w:rPr>
                <w:t>Item 6.</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4764bbe6c0744bf59bc5f5c745d7108f_187">
              <w:r>
                <w:rPr>
                  <w:rStyle w:val="InternetLink"/>
                  <w:rFonts w:ascii="Times New Roman;sans-serif" w:hAnsi="Times New Roman;sans-serif"/>
                  <w:b w:val="false"/>
                  <w:color w:val="0000FF"/>
                  <w:sz w:val="20"/>
                  <w:u w:val="single"/>
                </w:rPr>
                <w:t>Exhibits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4764bbe6c0744bf59bc5f5c745d7108f_187">
              <w:r>
                <w:rPr>
                  <w:rStyle w:val="InternetLink"/>
                  <w:rFonts w:ascii="Times New Roman;sans-serif" w:hAnsi="Times New Roman;sans-serif"/>
                  <w:b w:val="false"/>
                  <w:strike w:val="false"/>
                  <w:dstrike w:val="false"/>
                  <w:color w:val="000000"/>
                  <w:sz w:val="20"/>
                  <w:u w:val="none"/>
                  <w:effect w:val="none"/>
                </w:rPr>
                <w:t>45</w:t>
              </w:r>
            </w:hyperlink>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4764bbe6c0744bf59bc5f5c745d7108f_190">
              <w:r>
                <w:rPr>
                  <w:rStyle w:val="InternetLink"/>
                  <w:rFonts w:ascii="Times New Roman;sans-serif" w:hAnsi="Times New Roman;sans-serif"/>
                  <w:b w:val="false"/>
                  <w:color w:val="0000FF"/>
                  <w:sz w:val="20"/>
                  <w:u w:val="single"/>
                </w:rPr>
                <w:t>Signatures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4764bbe6c0744bf59bc5f5c745d7108f_190">
              <w:r>
                <w:rPr>
                  <w:rStyle w:val="InternetLink"/>
                  <w:rFonts w:ascii="Times New Roman;sans-serif" w:hAnsi="Times New Roman;sans-serif"/>
                  <w:b w:val="false"/>
                  <w:strike w:val="false"/>
                  <w:dstrike w:val="false"/>
                  <w:color w:val="000000"/>
                  <w:sz w:val="20"/>
                  <w:u w:val="none"/>
                  <w:effect w:val="non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Certain matters discussed in this report, including matters discussed under the caption “Management’s Discussion and Analysis of Financial Condition and Results of Operations,”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our estimates of the sufficiency of our existing capital resources combined with future anticipated cash flows and future capital requirements to finance our operating requirements, and capital expenditures;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our expectations for generating revenue, incurring losses, and becoming profitable on a sustained basis;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unforeseen circumstances or other disruptions to normal business operations, including supply chain interruptions and manufacturing constraints, arising from or related to public health emergencies such as but not limited to the COVID-19 pandemic, natural disasters, acts of terrorism or other uncontrollable events;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 xml:space="preserve">our expectations regarding our ability to scale to profitability, our plans to pursue a new strategic direction, and the cost savings and impact on our gross margins from exiting our reproductive and women’s business and our somatic tumor testing business;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ability to successfully implement our business strategy;</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expectations or ability to enter into service, collaboration and other partnership agreements;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expectations or ability to build our own commercial infrastructure to scale market and sell our products;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actions or authorizations by the U.S. Food and Drug Administration, or other regulatory authorities;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risks related to governmental regulation and other legal obligations, including privacy, data protection, information security, consumer protection, and anti-corruption and anti-bribery;</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ability to obtain and maintain intellectual property protection for our product candidates;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ability to compete against existing and emerging technologies;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third-party payor reimbursement and coverage decisions, negotiations and settlements;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reliance on third-party service providers for our data programs;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our accounting estimates and judgments, including our expectations regarding the adequacy of our reserves for third party payor claims, our estimates of the fair value of the second Milestone Payment (as defined below) related to our April 2022 acquisition (the “Acquisition”) of GeneDx, LLC (formerly, GeneDx, Inc.) (“Legacy GeneDx”) and our conclusions regarding the appropriateness of the carrying value of intangible assets and goodwill;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our stock price and its volatility; and </w:t>
      </w:r>
    </w:p>
    <w:p>
      <w:pPr>
        <w:pStyle w:val="TextBody"/>
        <w:bidi w:val="0"/>
        <w:spacing w:lineRule="auto" w:line="288" w:before="0" w:after="200"/>
        <w:ind w:left="0" w:right="0" w:hanging="720"/>
        <w:jc w:val="both"/>
        <w:rPr/>
      </w:pPr>
      <w:r>
        <w:rPr>
          <w:color w:val="000000"/>
        </w:rPr>
        <w:t>•</w:t>
      </w:r>
      <w:r>
        <w:rPr>
          <w:rFonts w:ascii="Times New Roman;sans-serif" w:hAnsi="Times New Roman;sans-serif"/>
          <w:b w:val="false"/>
          <w:color w:val="000000"/>
          <w:sz w:val="20"/>
        </w:rPr>
        <w:t>our ability to attract and retain key personnel.</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report reflect our views and assumptions only as of the date that this report is signed. Except as required by law, we assume no responsibility for updating any forward-looking statements.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stated herein or unless the context otherwise requires, references in this report to the “Company,” “GeneDx,” or “we,” “us” and “our” refer to (i) Mount Sinai Genomics, Inc. d/b/a as Sema4 (“Legacy Sema4”) prior to the consummation of the July 2021 business combination (the “Business Combination”) with CM Life Sciences, Inc.; and (ii) GeneDx Holdings Corp. and its subsidiaries following the consummation of the Business Combination (including, following the consummation of the Acquisition, Legacy GeneDx).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333" w:before="0" w:after="180"/>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743"/>
        <w:gridCol w:w="2257"/>
        <w:gridCol w:w="2192"/>
        <w:gridCol w:w="234"/>
        <w:gridCol w:w="918"/>
        <w:gridCol w:w="121"/>
        <w:gridCol w:w="109"/>
        <w:gridCol w:w="109"/>
        <w:gridCol w:w="109"/>
        <w:gridCol w:w="221"/>
        <w:gridCol w:w="1026"/>
        <w:gridCol w:w="166"/>
      </w:tblGrid>
      <w:tr>
        <w:trPr/>
        <w:tc>
          <w:tcPr>
            <w:tcW w:w="2743"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b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171,813 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212,622 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7192"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417,285 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490,942 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Liabilities and Stockholders’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liabilities</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144,297 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7192"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163,027 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237,237 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10)</w:t>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equity: </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1,000,000 and 1,000,000 shares authorized at September 30, 2023 and December 31, 2022, respectively; 0 shares issued and outstanding at September 30, 2023 and December 31, 2022, respectively</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common stock, $0.0001 par value: 1,000,000,000 and 1,000,000,000 shares authorized at September 30, 2023 and December 31, 2022, respectively; 25,875,389 and 11,773,065 shares issued and outstanding at September 30, 2023 and December 31, 2022, respectively </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1,528,671 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1,378,125 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(1,274,415)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(1,124,421)</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254,258 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253,705 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417,285 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490,942 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333"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333" w:before="0" w:after="0"/>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640"/>
        <w:gridCol w:w="1329"/>
        <w:gridCol w:w="1343"/>
        <w:gridCol w:w="233"/>
        <w:gridCol w:w="869"/>
        <w:gridCol w:w="115"/>
        <w:gridCol w:w="115"/>
        <w:gridCol w:w="115"/>
        <w:gridCol w:w="115"/>
        <w:gridCol w:w="233"/>
        <w:gridCol w:w="869"/>
        <w:gridCol w:w="115"/>
        <w:gridCol w:w="109"/>
        <w:gridCol w:w="109"/>
        <w:gridCol w:w="109"/>
        <w:gridCol w:w="211"/>
        <w:gridCol w:w="889"/>
        <w:gridCol w:w="109"/>
        <w:gridCol w:w="109"/>
        <w:gridCol w:w="109"/>
        <w:gridCol w:w="109"/>
        <w:gridCol w:w="211"/>
        <w:gridCol w:w="878"/>
        <w:gridCol w:w="162"/>
      </w:tblGrid>
      <w:tr>
        <w:trPr/>
        <w:tc>
          <w:tcPr>
            <w:tcW w:w="164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167,989 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173,344 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w:t>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69,685 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183,768 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61,837 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net</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(42,967)</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(90,816)</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(342,770)</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(expenses), net</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fair market value of warrant and earn-out contingent liabilities </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income, net</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(42,458)</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(77,646)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(289,361)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(240,219)</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of Class A common stock</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25,788,747 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11,538,308 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23,777,327 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9,741,250 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Class A common stock</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333"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333" w:before="0" w:after="0"/>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Stockholders' Equity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01"/>
        <w:gridCol w:w="487"/>
        <w:gridCol w:w="489"/>
        <w:gridCol w:w="109"/>
        <w:gridCol w:w="109"/>
        <w:gridCol w:w="109"/>
        <w:gridCol w:w="146"/>
        <w:gridCol w:w="146"/>
        <w:gridCol w:w="146"/>
        <w:gridCol w:w="146"/>
        <w:gridCol w:w="400"/>
        <w:gridCol w:w="340"/>
        <w:gridCol w:w="197"/>
        <w:gridCol w:w="109"/>
        <w:gridCol w:w="109"/>
        <w:gridCol w:w="109"/>
        <w:gridCol w:w="400"/>
        <w:gridCol w:w="523"/>
        <w:gridCol w:w="223"/>
        <w:gridCol w:w="191"/>
        <w:gridCol w:w="191"/>
        <w:gridCol w:w="192"/>
        <w:gridCol w:w="210"/>
        <w:gridCol w:w="952"/>
        <w:gridCol w:w="117"/>
        <w:gridCol w:w="109"/>
        <w:gridCol w:w="109"/>
        <w:gridCol w:w="109"/>
        <w:gridCol w:w="224"/>
        <w:gridCol w:w="1040"/>
        <w:gridCol w:w="124"/>
        <w:gridCol w:w="109"/>
        <w:gridCol w:w="109"/>
        <w:gridCol w:w="109"/>
        <w:gridCol w:w="196"/>
        <w:gridCol w:w="751"/>
        <w:gridCol w:w="165"/>
      </w:tblGrid>
      <w:tr>
        <w:trPr/>
        <w:tc>
          <w:tcPr>
            <w:tcW w:w="90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r>
      <w:tr>
        <w:trPr/>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1439" w:type="dxa"/>
            <w:gridSpan w:val="6"/>
            <w:tcBorders/>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127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Balance at June 30, 2023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25,761,147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w:t>
            </w:r>
            <w:r>
              <w:rPr>
                <w:color w:val="000000"/>
              </w:rPr>
              <w:t>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1,528,240</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(1,232,129)</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296,113</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(42,286)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(42,286)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Stock-based compensation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restricted stock units converted to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114,242 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25,875,389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w:t>
            </w:r>
            <w:r>
              <w:rPr>
                <w:color w:val="000000"/>
              </w:rPr>
              <w:t>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1,528,671</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(1,274,415)</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254,258</w:t>
            </w: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34"/>
        <w:gridCol w:w="613"/>
        <w:gridCol w:w="615"/>
        <w:gridCol w:w="109"/>
        <w:gridCol w:w="109"/>
        <w:gridCol w:w="109"/>
        <w:gridCol w:w="132"/>
        <w:gridCol w:w="132"/>
        <w:gridCol w:w="132"/>
        <w:gridCol w:w="132"/>
        <w:gridCol w:w="519"/>
        <w:gridCol w:w="442"/>
        <w:gridCol w:w="189"/>
        <w:gridCol w:w="109"/>
        <w:gridCol w:w="109"/>
        <w:gridCol w:w="109"/>
        <w:gridCol w:w="364"/>
        <w:gridCol w:w="475"/>
        <w:gridCol w:w="203"/>
        <w:gridCol w:w="181"/>
        <w:gridCol w:w="181"/>
        <w:gridCol w:w="182"/>
        <w:gridCol w:w="205"/>
        <w:gridCol w:w="927"/>
        <w:gridCol w:w="114"/>
        <w:gridCol w:w="109"/>
        <w:gridCol w:w="109"/>
        <w:gridCol w:w="109"/>
        <w:gridCol w:w="214"/>
        <w:gridCol w:w="984"/>
        <w:gridCol w:w="119"/>
        <w:gridCol w:w="109"/>
        <w:gridCol w:w="109"/>
        <w:gridCol w:w="109"/>
        <w:gridCol w:w="196"/>
        <w:gridCol w:w="751"/>
        <w:gridCol w:w="161"/>
      </w:tblGrid>
      <w:tr>
        <w:trPr/>
        <w:tc>
          <w:tcPr>
            <w:tcW w:w="73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1435" w:type="dxa"/>
            <w:gridSpan w:val="6"/>
            <w:tcBorders/>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11,773,065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w:t>
            </w: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1,378,125</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(1,124,421)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253,705</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(149,994)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(149,994)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pursuant to 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restricted stock units converted to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Issuance of Class A common shares in registered direct offering, net of issuance costs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676,868 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Issuance of Class A common shares for the first Milestone Payment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701,460 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Fractional shares issued upon Reverse Stock Split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29,603 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common shares in underwritten public offering,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12,315,752 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135,438 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135,439 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 xml:space="preserve">Balance at September 30, 2023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25,875,389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w:t>
            </w:r>
            <w:r>
              <w:rPr>
                <w:color w:val="000000"/>
              </w:rPr>
              <w:t>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1,528,671</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(1,274,415)</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254,258</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85"/>
        <w:gridCol w:w="516"/>
        <w:gridCol w:w="518"/>
        <w:gridCol w:w="109"/>
        <w:gridCol w:w="109"/>
        <w:gridCol w:w="109"/>
        <w:gridCol w:w="148"/>
        <w:gridCol w:w="148"/>
        <w:gridCol w:w="148"/>
        <w:gridCol w:w="148"/>
        <w:gridCol w:w="400"/>
        <w:gridCol w:w="340"/>
        <w:gridCol w:w="199"/>
        <w:gridCol w:w="109"/>
        <w:gridCol w:w="109"/>
        <w:gridCol w:w="109"/>
        <w:gridCol w:w="406"/>
        <w:gridCol w:w="530"/>
        <w:gridCol w:w="226"/>
        <w:gridCol w:w="192"/>
        <w:gridCol w:w="192"/>
        <w:gridCol w:w="194"/>
        <w:gridCol w:w="211"/>
        <w:gridCol w:w="956"/>
        <w:gridCol w:w="117"/>
        <w:gridCol w:w="109"/>
        <w:gridCol w:w="109"/>
        <w:gridCol w:w="109"/>
        <w:gridCol w:w="237"/>
        <w:gridCol w:w="945"/>
        <w:gridCol w:w="131"/>
        <w:gridCol w:w="109"/>
        <w:gridCol w:w="109"/>
        <w:gridCol w:w="109"/>
        <w:gridCol w:w="196"/>
        <w:gridCol w:w="751"/>
        <w:gridCol w:w="163"/>
      </w:tblGrid>
      <w:tr>
        <w:trPr/>
        <w:tc>
          <w:tcPr>
            <w:tcW w:w="88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2022</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5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1437" w:type="dxa"/>
            <w:gridSpan w:val="6"/>
            <w:tcBorders/>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128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11,512,026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1,375,352</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(738,079)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637,274</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(77,581)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(77,581)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pursuant to 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18,646 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578"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578"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restricted stock units converted to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27,781 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 xml:space="preserve">Balances at September 30, 2022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11,558,453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w:t>
            </w: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1,376,953</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(815,660)</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561,294</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96"/>
        <w:gridCol w:w="584"/>
        <w:gridCol w:w="585"/>
        <w:gridCol w:w="109"/>
        <w:gridCol w:w="109"/>
        <w:gridCol w:w="109"/>
        <w:gridCol w:w="145"/>
        <w:gridCol w:w="145"/>
        <w:gridCol w:w="145"/>
        <w:gridCol w:w="145"/>
        <w:gridCol w:w="469"/>
        <w:gridCol w:w="402"/>
        <w:gridCol w:w="184"/>
        <w:gridCol w:w="109"/>
        <w:gridCol w:w="109"/>
        <w:gridCol w:w="109"/>
        <w:gridCol w:w="398"/>
        <w:gridCol w:w="520"/>
        <w:gridCol w:w="222"/>
        <w:gridCol w:w="190"/>
        <w:gridCol w:w="190"/>
        <w:gridCol w:w="192"/>
        <w:gridCol w:w="210"/>
        <w:gridCol w:w="951"/>
        <w:gridCol w:w="116"/>
        <w:gridCol w:w="109"/>
        <w:gridCol w:w="109"/>
        <w:gridCol w:w="109"/>
        <w:gridCol w:w="234"/>
        <w:gridCol w:w="932"/>
        <w:gridCol w:w="130"/>
        <w:gridCol w:w="109"/>
        <w:gridCol w:w="109"/>
        <w:gridCol w:w="109"/>
        <w:gridCol w:w="196"/>
        <w:gridCol w:w="751"/>
        <w:gridCol w:w="165"/>
      </w:tblGrid>
      <w:tr>
        <w:trPr/>
        <w:tc>
          <w:tcPr>
            <w:tcW w:w="69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2022</w:t>
            </w:r>
          </w:p>
        </w:tc>
      </w:tr>
      <w:tr>
        <w:trPr/>
        <w:tc>
          <w:tcPr>
            <w:tcW w:w="1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1439" w:type="dxa"/>
            <w:gridSpan w:val="6"/>
            <w:tcBorders/>
          </w:tcPr>
          <w:p>
            <w:pPr>
              <w:pStyle w:val="TableContents"/>
              <w:bidi w:val="0"/>
              <w:spacing w:before="0" w:after="283"/>
              <w:jc w:val="left"/>
              <w:rPr>
                <w:sz w:val="4"/>
                <w:szCs w:val="4"/>
              </w:rPr>
            </w:pPr>
            <w:r>
              <w:rPr>
                <w:sz w:val="4"/>
                <w:szCs w:val="4"/>
              </w:rPr>
            </w:r>
          </w:p>
        </w:tc>
      </w:tr>
      <w:tr>
        <w:trPr/>
        <w:tc>
          <w:tcPr>
            <w:tcW w:w="1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127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Balances at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7,352,958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963,543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(575,441)</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388,103</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(240,219)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(240,219)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pursuant to 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210,318 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41,553 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for PIPE,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1,515,152 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197,659 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Shares issued for acquisition </w:t>
            </w:r>
            <w:r>
              <w:rPr>
                <w:rFonts w:ascii="Times New Roman;sans-serif" w:hAnsi="Times New Roman;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2,424,243 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restricted stock units converted to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55,782 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Balances at September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11,558,453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w:t>
            </w:r>
            <w:r>
              <w:rPr>
                <w:color w:val="000000"/>
              </w:rPr>
              <w:t>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1,376,953</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(815,660)</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561,294</w:t>
            </w:r>
            <w:r>
              <w:rPr>
                <w:color w:val="000000"/>
              </w:rPr>
              <w:t>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Of the 2.4 million shares issued for acquisition, 251,965 shares were held by an escrow agent for a one year escrow period. During this period, the seller retained all rights with respect to the escrow shares, including voting rights and rights to receive dividends and other distributions on such escrow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333" w:before="0" w:after="0"/>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8273" w:type="dxa"/>
        <w:jc w:val="center"/>
        <w:tblInd w:w="0" w:type="dxa"/>
        <w:tblLayout w:type="fixed"/>
        <w:tblCellMar>
          <w:top w:w="28" w:type="dxa"/>
          <w:left w:w="28" w:type="dxa"/>
          <w:bottom w:w="28" w:type="dxa"/>
          <w:right w:w="28" w:type="dxa"/>
        </w:tblCellMar>
      </w:tblPr>
      <w:tblGrid>
        <w:gridCol w:w="2050"/>
        <w:gridCol w:w="1802"/>
        <w:gridCol w:w="1817"/>
        <w:gridCol w:w="196"/>
        <w:gridCol w:w="811"/>
        <w:gridCol w:w="109"/>
        <w:gridCol w:w="109"/>
        <w:gridCol w:w="109"/>
        <w:gridCol w:w="109"/>
        <w:gridCol w:w="196"/>
        <w:gridCol w:w="811"/>
        <w:gridCol w:w="154"/>
      </w:tblGrid>
      <w:tr>
        <w:trPr/>
        <w:tc>
          <w:tcPr>
            <w:tcW w:w="2050"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(240,219)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Impairment loss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sale of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B2A29"/>
                <w:sz w:val="16"/>
              </w:rPr>
            </w:pPr>
            <w:r>
              <w:rPr>
                <w:rFonts w:ascii="Times New Roman;sans-serif" w:hAnsi="Times New Roman;sans-serif"/>
                <w:b w:val="false"/>
                <w:color w:val="2B2A29"/>
                <w:sz w:val="16"/>
              </w:rPr>
              <w:t>Gain on debt forgiveness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2B2A29"/>
                <w:sz w:val="16"/>
              </w:rPr>
            </w:pPr>
            <w:r>
              <w:rPr>
                <w:rFonts w:ascii="Times New Roman;sans-serif" w:hAnsi="Times New Roman;sans-serif"/>
                <w:b w:val="false"/>
                <w:color w:val="2B2A29"/>
                <w:sz w:val="16"/>
              </w:rPr>
              <w:t>Change in fair value of warrant and earn-out contingent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2B2A29"/>
                <w:sz w:val="16"/>
              </w:rPr>
            </w:pPr>
            <w:r>
              <w:rPr>
                <w:rFonts w:ascii="Times New Roman;sans-serif" w:hAnsi="Times New Roman;sans-serif"/>
                <w:b w:val="false"/>
                <w:color w:val="2B2A29"/>
                <w:sz w:val="16"/>
              </w:rPr>
              <w:t>Deferred tax benefit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2B2A29"/>
                <w:sz w:val="16"/>
              </w:rPr>
            </w:pPr>
            <w:r>
              <w:rPr>
                <w:rFonts w:ascii="Times New Roman;sans-serif" w:hAnsi="Times New Roman;sans-serif"/>
                <w:b w:val="false"/>
                <w:color w:val="2B2A29"/>
                <w:sz w:val="16"/>
              </w:rPr>
              <w:t>Provision for excess and obsolete 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Third party payor reserve release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debt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Change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 and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(150,289)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(254,501)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Consideration on escrow paid for GeneDx acquisition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Purchases of property and equipment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of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internal-use software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(138,488)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 xml:space="preserve">Financing activities </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PIPE issuance, net of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offerings, net of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payoff and principal payments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principal payments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197,250 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decrease in cash, cash equivalents and restricted cash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(195,739)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205,730 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 xml:space="preserve">Supplemental disclosures of cash flow information </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consideration paid for purchase of business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 in accounts payable and accrued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Software development costs in accounts payable and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333" w:before="200" w:after="283"/>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before="20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1. Organization and Description of Business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GeneDx Holdings Corp., through its subsidiaries GeneDx, LLC and Sema4 OpCo, Inc., provides genomics-related diagnostic and information services and pursues genomics medical research. GeneDx utilizes an integrated portfolio of laboratory processes, software tools and informatics capabilities to process DNA-containing samples, analyzes information about patient-specific genetic variation and generates test reports for clinicians and their patients. GeneDx provides a variety of genetic diagnostic tests, screening solutions, and information with a focus on pediatrics, rare diseases for children and adults, and hereditary cancer screening. GeneDx Holdings’ operating subsidiaries primarily serve healthcare professionals who work with their patients and bills third-party payors across the United States.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9, 2023, Sema4 Holdings Corp. changed its name to GeneDx Holdings Corp. The Company’s Class A common stock and public warrants are listed on the Nasdaq under the symbols “WGS” and “WGSWW,” respectively. </w:t>
      </w:r>
    </w:p>
    <w:p>
      <w:pPr>
        <w:pStyle w:val="TextBody"/>
        <w:bidi w:val="0"/>
        <w:spacing w:lineRule="auto" w:line="288" w:before="0" w:after="200"/>
        <w:jc w:val="left"/>
        <w:rPr/>
      </w:pPr>
      <w:r>
        <w:rPr>
          <w:rFonts w:ascii="Times New Roman;sans-serif" w:hAnsi="Times New Roman;sans-serif"/>
          <w:b w:val="false"/>
          <w:color w:val="000000"/>
          <w:sz w:val="20"/>
          <w:shd w:fill="FFFFFF" w:val="clear"/>
        </w:rPr>
        <w:t xml:space="preserve">Unless otherwise stated </w:t>
      </w:r>
      <w:r>
        <w:rPr>
          <w:rFonts w:ascii="Times New Roman;sans-serif" w:hAnsi="Times New Roman;sans-serif"/>
          <w:b w:val="false"/>
          <w:color w:val="000000"/>
          <w:sz w:val="20"/>
        </w:rPr>
        <w:t>herein or unless the context otherwise requires, references in these notes to</w:t>
      </w:r>
      <w:r>
        <w:rPr>
          <w:rFonts w:ascii="Times New Roman;sans-serif" w:hAnsi="Times New Roman;sans-serif"/>
          <w:b w:val="false"/>
          <w:color w:val="000000"/>
          <w:sz w:val="20"/>
          <w:shd w:fill="FFFFFF" w:val="clear"/>
        </w:rPr>
        <w:t xml:space="preserve">: </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GeneDx Holdings” refer to GeneDx Holdings Corp., a Delaware corporation (f/k/a Sema4 Holdings Corp. (“Sema4 Holdings”));</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Legacy GeneDx” refer to GeneDx, LLC, a Delaware limited liability company (formerly, GeneDx, Inc., a New Jersey corporation), which we acquired on April 29, 2022 (the “Acquisition”);</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Legacy Sema4” refer to Mount Sinai Genomics, Inc. d/b/a as Sema4, a Delaware corporation, which consummated the business combination with CM Life Sciences, Inc. (“CMLS”) on July 22, 2021 (the “Business Combination”); and</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we,” “us” and “our,” the “Company” and “GeneDx” refer, as the context requires, to:</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Legacy Sema4 prior to the Business Combination, and GeneDx Holdings and its consolidated subsidiaries following the consummation of the Business Combination; and</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Legacy GeneDx prior to the Acquisition, and GeneDx Holdings and its consolidated subsidiaries following the consummation of the Acquisition.</w:t>
      </w:r>
    </w:p>
    <w:p>
      <w:pPr>
        <w:pStyle w:val="TextBody"/>
        <w:bidi w:val="0"/>
        <w:spacing w:lineRule="auto" w:line="288" w:before="0" w:after="200"/>
        <w:ind w:left="0" w:right="0" w:hanging="360"/>
        <w:jc w:val="both"/>
        <w:rPr/>
      </w:pPr>
      <w:r>
        <w:rPr>
          <w:color w:val="000000"/>
          <w:shd w:fill="FFFFFF" w:val="clear"/>
        </w:rPr>
        <w:t>•</w:t>
      </w:r>
      <w:r>
        <w:rPr>
          <w:color w:val="000000"/>
        </w:rPr>
        <w:t>“</w:t>
      </w:r>
      <w:r>
        <w:rPr>
          <w:rFonts w:ascii="Times New Roman;sans-serif" w:hAnsi="Times New Roman;sans-serif"/>
          <w:b w:val="false"/>
          <w:color w:val="000000"/>
          <w:sz w:val="20"/>
        </w:rPr>
        <w:t>Company,” or “GeneDx” refer to (i) Legacy Sema4 prior to the consummation of the Business Combination; and (ii) GeneDx Holdings and its subsidiaries following the consummation of the Business Combination (including, following the consummation of the Acquisition, Legacy GeneDx).</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Emerging Growth Company</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remain an emerging growth company until the earliest of (1) December 31, 2025, (2) the last day of the fiscal year in which total annual gross revenue are at least $1.235 billion, (3) the last day of the fiscal year in which the Company is deemed to be a “large accelerated filer” as defined in Rule 12b-2 under the Securities Exchange Act of 1934, as amended (the “Exchange Act”), which would occur if the market value of our Class A common stock held by non-affiliates exceeded $700.0 million at the last business day of the second fiscal quarter of such year or (4) the date on which the Company has issued more than $1.0 billion in non-convertible debt securities during the prior three-year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condensed consolidated financial statements have been prepared in conformity with accounting principles generally accepted in the United States of America (“U.S. GAAP”) for interim financial information and pursuant to the accounting disclosure rules and regulations of the Securities and Exchange Commission (the “SEC”) regarding interim financial reporting. Accordingly, the condensed consolidated financial statements do not include all of the information and footnotes required by U.S. GAAP. In the opinion of management, the condensed consolidated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333" w:before="200" w:after="283"/>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before="200" w:after="18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statements reflect all normal recurring adjustments considered necessary for a fair statement of the financial position and the results of operations of the Company for the interim periods presented. Interim results are not necessarily indicative of the results of operations or cash flows for a full year or any subsequent interim period. The accompanying condensed consolidated financial statements should be read in conjunction with the audited financial statements and notes thereto included in the Company’s Annual Report on Form 10-K for the year ended December 31, 2022.</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May 4, 2023, at the commencement of trading, the Company effected a 1-for-33 reverse stock split (the “Reverse Stock Split”). Accordingly, all share and per share amounts for the periods presented in the accompanying condensed consolidated financial statements and notes thereto have been adjusted retroactively, where applicable, to reflect the reverse stock split. No fractional shares were issued in connection with the reverse stock split.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have been made to the prior year condensed consolidated financial statements in order to conform to the current year’s presentation.</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condensed consolidated financial statements in conformity with U.S. GAAP requires management to make certain estimates, judgments and assumptions that affect the reported amounts of assets and liabilities and the related disclosures at the date of the condensed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potential or actual claims for recoupment from third-party payors, the capitalization of software costs, the valuation of stock-based awards, inventory, earn-out contingent liabilities and earn-out Restricted Stock Units (“RSUs”). Actual results could differ materially from those estimates, judgments and assumptions.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Summary of Significant Accounting Policies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Company’s critical accounting policies and estimates as compared to the critical accounting policies and estimates disclosed in the Company’s audited consolidated financial statements and notes thereto included within its Annual Report on Form 10-K for the year ended December 31, 2022, other than the Company’s policy for accounting for available-for-sale marketable securities discussed below.</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Marketable Securities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in marketable securities are classified as available-for-sale and are reported at fair value. These marketable securities are classified as current assets as these investments are intended to be available to the Company for use in funding current operations. Unrealized gains and losses on available-for-sale securities are classified in accumulated other comprehensive gain (loss) within stockholders’ equity. The unrealized gain at September 30, 2023 was nominal. Changes in the fair value of available-for-sale securities impact earnings only when such securities are sold, or an allowance for expected credit losses or impairment is recognized. We regularly evaluate our portfolio of marketable securities for expected credit losses and impairment. In making this judgement, we evaluate, among other things, the extent to which the fair value of a security is less than its amortized cost; the financial condition of the issuer, including the credit quality, and any changes thereto; and our intent to sell, or whether we will more likely than not be required to sell, the security before recovery of its amortized cost basis. Our assessment of whether a marketable security has a credit loss or is impaired could change in the future due to new developments or changes in assumptions related to any particular security.</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 and Other Risks and Uncertainties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both the self-pay patient and, if applicable, the third-party payor that reimburses the Company on the patient’s behalf when evaluating the concentration of credit risk. Significant patients and payors are those that represent more than 10% of the Company’s total revenues for the period or accounts receivable balance at each respective balance sheet date. The significant concentrations of accounts receivable at September 30, 2023 and December 31, 2022 were primarily from managed care insurance companies, institutional billed accounts, and data arrangements. There was no individual patient or client that accounted for 10% or more of the Company’s revenue or accounts receivable for any of the periods presented. The Company does not require collateral as a means to mitigate patient or payor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333" w:before="200" w:after="283"/>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before="200" w:after="18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For each significant payor, revenue as a percentage of total revenues and accounts receivable as a percentage of total accounts receivable are as follows:</w:t>
      </w:r>
    </w:p>
    <w:tbl>
      <w:tblPr>
        <w:tblW w:w="9938" w:type="dxa"/>
        <w:jc w:val="left"/>
        <w:tblInd w:w="0" w:type="dxa"/>
        <w:tblLayout w:type="fixed"/>
        <w:tblCellMar>
          <w:top w:w="28" w:type="dxa"/>
          <w:left w:w="28" w:type="dxa"/>
          <w:bottom w:w="28" w:type="dxa"/>
          <w:right w:w="28" w:type="dxa"/>
        </w:tblCellMar>
      </w:tblPr>
      <w:tblGrid>
        <w:gridCol w:w="353"/>
        <w:gridCol w:w="309"/>
        <w:gridCol w:w="313"/>
        <w:gridCol w:w="293"/>
        <w:gridCol w:w="293"/>
        <w:gridCol w:w="293"/>
        <w:gridCol w:w="293"/>
        <w:gridCol w:w="293"/>
        <w:gridCol w:w="293"/>
        <w:gridCol w:w="293"/>
        <w:gridCol w:w="293"/>
        <w:gridCol w:w="293"/>
        <w:gridCol w:w="109"/>
        <w:gridCol w:w="109"/>
        <w:gridCol w:w="109"/>
        <w:gridCol w:w="283"/>
        <w:gridCol w:w="283"/>
        <w:gridCol w:w="283"/>
        <w:gridCol w:w="283"/>
        <w:gridCol w:w="283"/>
        <w:gridCol w:w="283"/>
        <w:gridCol w:w="283"/>
        <w:gridCol w:w="283"/>
        <w:gridCol w:w="283"/>
        <w:gridCol w:w="109"/>
        <w:gridCol w:w="109"/>
        <w:gridCol w:w="109"/>
        <w:gridCol w:w="109"/>
        <w:gridCol w:w="109"/>
        <w:gridCol w:w="109"/>
        <w:gridCol w:w="379"/>
        <w:gridCol w:w="379"/>
        <w:gridCol w:w="381"/>
        <w:gridCol w:w="173"/>
        <w:gridCol w:w="173"/>
        <w:gridCol w:w="173"/>
        <w:gridCol w:w="334"/>
        <w:gridCol w:w="334"/>
        <w:gridCol w:w="472"/>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Accounts Receivable</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Payor B </w:t>
            </w:r>
            <w:r>
              <w:rPr>
                <w:rFonts w:ascii="Times New Roman;sans-serif" w:hAnsi="Times New Roman;sans-serif"/>
                <w:b w:val="false"/>
                <w:color w:val="000000"/>
                <w:sz w:val="13"/>
              </w:rPr>
              <w:t>(1)</w:t>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Payor E</w:t>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p>
      <w:pPr>
        <w:pStyle w:val="TextBody"/>
        <w:bidi w:val="0"/>
        <w:spacing w:lineRule="auto" w:line="288" w:before="0" w:after="200"/>
        <w:jc w:val="both"/>
        <w:rPr>
          <w:rFonts w:ascii="Times New Roman;sans-serif" w:hAnsi="Times New Roman;sans-serif"/>
          <w:b w:val="false"/>
          <w:color w:val="000000"/>
          <w:sz w:val="16"/>
        </w:rPr>
      </w:pPr>
      <w:r>
        <w:rPr>
          <w:rFonts w:ascii="Times New Roman;sans-serif" w:hAnsi="Times New Roman;sans-serif"/>
          <w:b w:val="false"/>
          <w:color w:val="000000"/>
          <w:sz w:val="16"/>
        </w:rPr>
        <w:t>* less than 10%</w:t>
      </w:r>
    </w:p>
    <w:p>
      <w:pPr>
        <w:pStyle w:val="TextBody"/>
        <w:bidi w:val="0"/>
        <w:spacing w:lineRule="auto" w:line="288" w:before="0" w:after="20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(1)This payor includes multiple individual plans and the Company calculates and presents the aggregated value from all plans, which is consistent with the Company’s portfolio approach used in accounting for diagnostic test revenue.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a concentration of risk from a limited number of suppliers for certain reagents and laboratory supplies. One supplier accounted for approximately 4% and 16% of purchases for the three months ended September 30, 2023 and 2022, respectively, and 11% and 13% for the nine months ended September 30, 2023 and 2022, respectively. A separate supplier accounted for approximately 8% and 5% of purchases for the three months ended September 30, 2023 and 2022, respectively and 10% and 2% for the nine months ended September 30, 2023 and 2022. This risk is managed by maintaining a target quantity of surplus stock. Alternative suppliers are available for some or all of these reagents and supplies.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Warrant Liability (Legacy Sema4)</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At the consummation of the Business Combination in July 2021, there were 666,516 warrants to purchase shares of Class A common stock outstanding, including 447,223 public warrants and 219,293 private placement warrants. At September 30, 2023, there were 666,515 warrants to purchase shares of Class A common stock outstanding, including 448,442 public warrants and 218,073 private placement warrants outstanding. Each warrant expires five years after the Business Combination or earlier upon redemption or liquidation, and entitles the holder to purchase one share of Class A common stock at an exercise price of $379.50 per share, subject to adjustment, at any time commencing on September 4, 2021.</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outstanding public warrants if the price per share of the Class A common stock equals or exceeds $594.00 as described below:</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 whole and not in part;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at a price of $0.33 per public warrant;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upon not less than 30 days’ prior written notice of redemption to each warrant holder; and</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if, and only if, the closing price of the Class A common stock equals or exceeds $594.00 per share (as adjusted) for any 20 trading days within a 30-trading day period ending three trading days before sending the notice of redemption to warrant holders.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outstanding public warrants if the price per share of the Class A common stock equals or exceeds $330.00 as described below:</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 whole and not in part;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at $3.30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and only if, the closing price of the Class A common stock equals or exceeds $330.00 per share (as adjusted) for any 20 trading days within the 30-trading day period ending three trading days before the Company sends the notice of redemption to the warrant holders; and</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if the closing price of the common stock for any 20 trading days within a 30-trading day period ending three trading days before the Company sends notice of redemption to the warrant holders is less than $594.00 per share (as adjusted), the private placement warrants must also be concurrently called for redemption on the same terms as the outstanding public warrants, as described above.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would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333" w:before="200" w:after="283"/>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before="200" w:after="18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$330.00)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warrants as liability-classified instruments based on an assessment of the warrant terms and applicable authoritative guidance in accordance with ASC 480-Distinguishing Liabilities from Equity (“ASC 480”) and ASC 815-Derivatives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is conducted at the time of warrant issuance and at each subsequent quarterly period end date while the warrants are outstanding.</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Contingent Consideration (Legacy GeneDx)</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up to $150 million of contingent payments will be payable to OPKO Health, Inc. (“OPKO”) in cash and/or shares of Company’s Class A common stock with such mix to be determined in the Company’s sole discretion, based upon achievement of 2022 and 2023 revenue milestones, pursuant to the Acquisition Merger Agreement (as defined below) (the “Milestone Payments”). If the Company elects to pay in shares of Class A common stock, the Acquisition Merger Agreement provides that the shares issues are to be valued at $160.38 per share for a maximum of 935,280 shares.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terms and conditions of the Acquisition Merger Agreement, (a) the first Milestone Payment was paid out in full through the issuance of 701,460 shares valued at $112.5 million in April 2023 as the revenue of the Legacy GeneDx group for the fiscal year 2022 exceeded $163 million and (b) the second Milestone Payment of $37.5 million will become due and payable if the revenue of the Legacy GeneDx group for the fiscal year 2023 equals or exceeds $219 million (each of clauses (a) and (b), a “Milestone Event”); provided that 80% of the second Milestone Payment will become payable in respect of the second milestone period if the Legacy GeneDx group achieves 90% of the Milestone Event revenue target for such period, which amount will scale on a linear basis up to 100% of the second Milestone Payment at 100% of the revenue target. The first Milestone Payment resulted in the issuance of 701,460 shares of the Company’s Class A common stock on April 14, 2023. If the Company elects to pay in shares of Class A common stock, the second Milestone Payment would require the issuance of up to 233,820 shares of the Company’s Class A common stock. The fair value of the second Milestone Payment was estimated using a Monte Carlo simulation valuation model and was determined to be zero at September 30, 2023.</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Earn-out Contingent Liability</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all Legacy Sema4 stockholders and option holders at that time became entitled to a pro rata share of 576,412 earn-out shares and earn-out RSUs. In July 2023, the Company’s obligations to issue earn-out shares pursuant to that certain Agreement and Plan of Merger (as amended, the “Business Combination Merger Agreement”), dated February 9, 2021, and shares pursuant to the earn-out RSUs expired as a result of the vesting conditions not being achieved. Based on an assessment of the earn-out shares for the Legacy Sema4 stockholders, the Company considered ASC 480 and ASC 815 and accounted for the earn-out shares as a liability. The Company subsequently measured the fair value of the liability at each reporting period and changes in fair value were recorded as a component of non-operating income (expenses), net, in the condensed consolidated statements of operations and comprehensive loss.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earn-out shares issued to the Legacy Sema4 stockholders at September 30, 2023 was estimated using a Monte Carlo simulation valuation model and was determined to be zero.</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for the earn-out RSUs for the Legacy Sema4 option holders, a total of 81,819 RSUs were granted on December 9, 2021. The vesting of such arrangement was conditioned on the satisfaction of both a service requirement and on the satisfaction of a market-based requirement. The market-based requirement would have been achieved if the Company’s stock price was greater than or equal to $429 (Triggering Event I), $495 (Triggering Event II) and $594 (Triggering Event III) during the applicable performance period, based on the volume-weighted average price for a period of at least 20 days out of 30 consecutive trading days. Therefore, the Company accounted for this arrangement in accordance with ASC 718- Compensation — Stock Compensation (“ASC 718”) and stock-based compensation expense was recognized over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333" w:before="200" w:after="283"/>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before="200" w:after="18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longer of the expected achievement period for the market-based requirement and the service requirement. In the event that any earn-out RSUs were forfeited as a result of a failure to achieve the service requirement, the underlying shares were reallocated on an annual basis to the Legacy Sema4 stockholders and to the Legacy Sema4 option holders who remained employed as of the date of such reallocation. The Company accounted for the re-allocations to Legacy Sema4 option holders as new grants. The Company recorded $0.8 million reduction in stock-based compensation expense in relation to the forfeiture of the earn-out RSUs by the Legacy Sema4 option holders for the nine months ended September 30, 2023. No forfeitures were recorded for the three and nine months ended September 30, 2023 and the three and nine months ended September 30, 2022. </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 xml:space="preserve">Recently Adopted Accounting Pronouncements </w:t>
      </w:r>
    </w:p>
    <w:p>
      <w:pPr>
        <w:pStyle w:val="TextBody"/>
        <w:bidi w:val="0"/>
        <w:spacing w:lineRule="auto" w:line="288" w:before="0" w:after="200"/>
        <w:jc w:val="both"/>
        <w:rPr/>
      </w:pPr>
      <w:r>
        <w:rPr>
          <w:rFonts w:ascii="Times New Roman;sans-serif" w:hAnsi="Times New Roman;sans-serif"/>
          <w:b w:val="false"/>
          <w:color w:val="000000"/>
          <w:sz w:val="20"/>
        </w:rPr>
        <w:t>In June 2016, the FASB issued ASU 2016-13,</w:t>
      </w:r>
      <w:r>
        <w:rPr>
          <w:color w:val="000000"/>
        </w:rPr>
        <w:t xml:space="preserve"> </w:t>
      </w:r>
      <w:r>
        <w:rPr>
          <w:rFonts w:ascii="Times New Roman;sans-serif" w:hAnsi="Times New Roman;sans-serif"/>
          <w:b w:val="false"/>
          <w:i/>
          <w:color w:val="000000"/>
          <w:sz w:val="20"/>
        </w:rPr>
        <w:t xml:space="preserve">Financial Instruments – Credit Losses (Topic 326): Measurement of Credit Losses on Financial Instruments </w:t>
      </w:r>
      <w:r>
        <w:rPr>
          <w:rFonts w:ascii="Times New Roman;sans-serif" w:hAnsi="Times New Roman;sans-serif"/>
          <w:b w:val="false"/>
          <w:color w:val="000000"/>
          <w:sz w:val="20"/>
        </w:rPr>
        <w:t>(“ASU 2016-13”). The new credit losses standard changes the impairment model for most financial assets and certain other instruments. For 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The Company adopted ASU 2016-13 effective January 1, 2023 and the adoption did not have material impact in the condensed consolidated statements of operations and comprehensive loss.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reviewed the recently issued Accounting Standards Update accounting pronouncements and does not believe that the adoption of any such pronouncements will have a material impact on its financial statements or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3. Business Combinations </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Legacy GeneDx Acquisition</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2022, the Company completed the Acquisition. At the closing of the Acquisition, the Company paid OPKO gross cash consideration of $150 million (before deduction of transaction expenses and other customary purchase price adjustments) and issued to OPKO 2.4 million shares of the Company’s Class A common stock ($172 million based on the closing date share price of $70.95 per share). A portion of this cash and stock consideration was held in escrow for a one year escrow period ending in May 2023. On May 15, 2023, the Company completed the net working capital settlement with OPKO and released the remaining escrowed amount recorded in restricted cash. In addition, a portion of the $150 million was payable following the closing of the Acquisition due to the achievement of the first revenue-based milestone for the fiscal year ended December 31, 2022 and the remaining Milestone Payment of up to $37.5 million will be payable if certain revenue-based milestones are achieved for the fiscal year ending December 31, 2023. During the nine months ended September 30, 2023, the first Milestone Payment became due and payable in full and resulted in the issuance of 701,460 shares of the Company’s Class A common stock on April 14, 2023. The remaining Milestone Payment, if and to the extent earned under the terms of the Acquisition Merger Agreement, will be satisfied through the payment and/or issuance of a combination of cash and shares of the Company’s Class A common stock (valued at $160.38 per share, subject to adjustment for stock splits and similar changes), with such mix to be determined in the Company’s sole discretion. Concurrently with the closing of the Acquisition, the Company also issued and sold in a private placement 1,515,152 shares of the Company’s Class A common stock to certain institutional investors for aggregate gross proceeds of $200 million (the “Acquisition PIPE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333" w:before="200" w:after="283"/>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before="200" w:after="18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net purchase price and the fair values of the assets and liabilities of Legacy GeneDx (in thousands):</w:t>
      </w:r>
    </w:p>
    <w:tbl>
      <w:tblPr>
        <w:tblW w:w="4893" w:type="dxa"/>
        <w:jc w:val="left"/>
        <w:tblInd w:w="0" w:type="dxa"/>
        <w:tblLayout w:type="fixed"/>
        <w:tblCellMar>
          <w:top w:w="28" w:type="dxa"/>
          <w:left w:w="28" w:type="dxa"/>
          <w:bottom w:w="28" w:type="dxa"/>
          <w:right w:w="28" w:type="dxa"/>
        </w:tblCellMar>
      </w:tblPr>
      <w:tblGrid>
        <w:gridCol w:w="1223"/>
        <w:gridCol w:w="1073"/>
        <w:gridCol w:w="1079"/>
        <w:gridCol w:w="109"/>
        <w:gridCol w:w="109"/>
        <w:gridCol w:w="109"/>
        <w:gridCol w:w="211"/>
        <w:gridCol w:w="826"/>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Goodwill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purchase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pPr>
      <w:r>
        <w:rPr>
          <w:rFonts w:ascii="Times New Roman;sans-serif" w:hAnsi="Times New Roman;sans-serif"/>
          <w:b w:val="false"/>
          <w:color w:val="000000"/>
          <w:sz w:val="16"/>
        </w:rPr>
        <w:t>(1)Goodwill represents the excess of the purchase price over the fair value of the net tangible and intangible assets acquired. See Note 9, “</w:t>
      </w:r>
      <w:r>
        <w:rPr>
          <w:rFonts w:ascii="Times New Roman;sans-serif" w:hAnsi="Times New Roman;sans-serif"/>
          <w:b w:val="false"/>
          <w:i/>
          <w:color w:val="000000"/>
          <w:sz w:val="16"/>
        </w:rPr>
        <w:t>Goodwill and Intangible Assets</w:t>
      </w:r>
      <w:r>
        <w:rPr>
          <w:color w:val="000000"/>
        </w:rPr>
        <w:t xml:space="preserve">” </w:t>
      </w:r>
      <w:r>
        <w:rPr>
          <w:rFonts w:ascii="Times New Roman;sans-serif" w:hAnsi="Times New Roman;sans-serif"/>
          <w:b w:val="false"/>
          <w:color w:val="000000"/>
          <w:sz w:val="16"/>
        </w:rPr>
        <w:t>for more detail.</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above represent the fair value estimates at the time of the Acquisition and adjustments during the measurement period which is complete.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4. Revenue Recognition </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Disaggregated revenue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disaggregated revenue by payor category (in thousands):</w:t>
      </w:r>
    </w:p>
    <w:tbl>
      <w:tblPr>
        <w:tblW w:w="8428" w:type="dxa"/>
        <w:jc w:val="left"/>
        <w:tblInd w:w="0" w:type="dxa"/>
        <w:tblLayout w:type="fixed"/>
        <w:tblCellMar>
          <w:top w:w="28" w:type="dxa"/>
          <w:left w:w="28" w:type="dxa"/>
          <w:bottom w:w="28" w:type="dxa"/>
          <w:right w:w="28" w:type="dxa"/>
        </w:tblCellMar>
      </w:tblPr>
      <w:tblGrid>
        <w:gridCol w:w="1053"/>
        <w:gridCol w:w="926"/>
        <w:gridCol w:w="931"/>
        <w:gridCol w:w="211"/>
        <w:gridCol w:w="721"/>
        <w:gridCol w:w="109"/>
        <w:gridCol w:w="109"/>
        <w:gridCol w:w="109"/>
        <w:gridCol w:w="109"/>
        <w:gridCol w:w="270"/>
        <w:gridCol w:w="790"/>
        <w:gridCol w:w="139"/>
        <w:gridCol w:w="109"/>
        <w:gridCol w:w="109"/>
        <w:gridCol w:w="109"/>
        <w:gridCol w:w="228"/>
        <w:gridCol w:w="779"/>
        <w:gridCol w:w="119"/>
        <w:gridCol w:w="109"/>
        <w:gridCol w:w="109"/>
        <w:gridCol w:w="109"/>
        <w:gridCol w:w="227"/>
        <w:gridCol w:w="777"/>
        <w:gridCol w:w="167"/>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GeneDx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Legacy Sema4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Patients with third-party insurance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64,391 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 customers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Self-pay patients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diagnostic test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333" w:before="200" w:after="283"/>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before="200" w:after="180"/>
        <w:jc w:val="center"/>
        <w:rPr/>
      </w:pPr>
      <w:r>
        <w:rPr/>
      </w:r>
    </w:p>
    <w:tbl>
      <w:tblPr>
        <w:tblW w:w="8573" w:type="dxa"/>
        <w:jc w:val="left"/>
        <w:tblInd w:w="0" w:type="dxa"/>
        <w:tblLayout w:type="fixed"/>
        <w:tblCellMar>
          <w:top w:w="28" w:type="dxa"/>
          <w:left w:w="28" w:type="dxa"/>
          <w:bottom w:w="28" w:type="dxa"/>
          <w:right w:w="28" w:type="dxa"/>
        </w:tblCellMar>
      </w:tblPr>
      <w:tblGrid>
        <w:gridCol w:w="1053"/>
        <w:gridCol w:w="926"/>
        <w:gridCol w:w="931"/>
        <w:gridCol w:w="211"/>
        <w:gridCol w:w="826"/>
        <w:gridCol w:w="109"/>
        <w:gridCol w:w="109"/>
        <w:gridCol w:w="109"/>
        <w:gridCol w:w="109"/>
        <w:gridCol w:w="270"/>
        <w:gridCol w:w="790"/>
        <w:gridCol w:w="139"/>
        <w:gridCol w:w="109"/>
        <w:gridCol w:w="109"/>
        <w:gridCol w:w="109"/>
        <w:gridCol w:w="211"/>
        <w:gridCol w:w="826"/>
        <w:gridCol w:w="109"/>
        <w:gridCol w:w="109"/>
        <w:gridCol w:w="109"/>
        <w:gridCol w:w="109"/>
        <w:gridCol w:w="211"/>
        <w:gridCol w:w="82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GeneDx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Legacy Sema4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Patients with third-party insurance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 customers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Self-pay patients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diagnostic test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8,879 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Reassessment of variable consideration</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changes to the estimate of the transaction price, determined on a portfolio basis when applicable, are generally recorded as adjustments to revenue in the period of the change. The Company updates estimated variable consideration quarterly.</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September 30, 2023, the quarterly change in estimate resulted in a net $3.0 million which included the partial release of a third party payor reserve established in prior periods. During the nine months ended September 30, 2022, the quarterly change in estimate resulted in a net $30.1 million decrease to revenue for tests in which the performance obligation of delivering the test results was met in prior periods, with $24.2 million of this decrease relating to fiscal years ended December 31, 2021 and prior. The changes in estimate are a result of changes in the estimated transaction price due to contractual adjustments, obtaining updated information from payors and patients that was unknown at the time the performance obligation was met and settlements with third party payors. </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Certain payor matters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noted above, third-party payors, including government programs, may decide to deny payment or seek to recoup payments for tests performed by the Company that they contend were improperly billed, not medically necessary or against their coverage determinations, or for which they believe they have otherwise overpaid, including as a result of their own error. As a result, the Company may be required to refund payments already received, and the Company’s revenues may be subject to retroactive adjustment as a result of these factors among others, including without limitation, differing interpretations of billing and coding guidance, and changes by government agencies and payors in interpretations, requirements, policies and/or “conditions of participation” in various programs. The Company processes requests for recoupment from third-party payors in the ordinary course of its business, and it is likely that the Company will continue to do so in the future. If a third-party payor denies payment for testing or recoups money from the Company in a later period, reimbursement and the associated recognition of revenue for the Company’s testing services could decline.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an integral part of the Company’s billing compliance program, in the third quarter of 2022, the Company instituted a third-party review of billing claims and compliance practices, and initiated improvements including implementing a package of new billing compliance policies and procedures and strengthening the Company’s billing compliance team at Legacy Sema4. From time to time, the Company may have an obligation to reimburse Medicare, Medicaid, and third-party payors for overpayments regardless of fault. Settlements with third-party payors for retroactive adjustments due to audits, reviews, or investigations are considered variable consideration and are included in the determination of the estimated transaction price for providing services. These settlements are estimated based on the terms of the payment agreement with the payor, correspondence from the payor, the Company’s historical settlement activity (if any), and the Company’s assessment of the probability a significant reversal of cumulative revenue recognized will occur when the uncertainty is subsequently resolved. Estimated settlements are adjusted in future periods as such adjustments become known (that is, if new information becomes available), or as years are settled or are no longer subject to such audits, reviews, and investigations.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Throughout 2022, the Company was engaged in discussions with one of its third-party payors (the “Payor”) regarding certain overpayments to Legacy Sema4. On December 30, 2022, the Company entered into a settlement agreement with the Payor in order to settle the claims related to coverage and billing matters allegedly resulting in the overpayments to Legacy Sema4 by the Payor to the Company (the “Disputed Claims”). Under the settlement agreement, $42.0 million is to be paid by the Company to the Payor in a series of installments over the next four years with the final installment payment scheduled to be made on or before June 30, 2026. The first installment payment of $15.0 million was made on December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333" w:before="200" w:after="283"/>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before="200" w:after="18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31, 2022 and the next installment of $5.0 million is due in December 2023. In consideration for these payments, the Payor has agreed to provide releases of the Disputed Claims, which releases became effective on or about March 31, 2023.</w:t>
      </w:r>
    </w:p>
    <w:p>
      <w:pPr>
        <w:pStyle w:val="TextBody"/>
        <w:bidi w:val="0"/>
        <w:spacing w:lineRule="auto" w:line="288" w:before="0" w:after="200"/>
        <w:jc w:val="both"/>
        <w:rPr/>
      </w:pPr>
      <w:r>
        <w:rPr>
          <w:rFonts w:ascii="Times New Roman;sans-serif" w:hAnsi="Times New Roman;sans-serif"/>
          <w:b w:val="false"/>
          <w:color w:val="000000"/>
          <w:sz w:val="20"/>
        </w:rPr>
        <w:t>As a result of this matter, and in connection with a review of certain billing policies and procedures undertaken by management, the Company considered the need to establish reserves for potential recoupments of payments previously made by third-party payors. At September 30, 2023, the Company continued to carry liabilities that were initially established at June 30, 2022, as a result of this matter and other potential settlements with payors, as adjusted at September 30, 2023, based on the current facts and an evaluation of anticipated results that the Company believes reasonable for all potential recoupments for all third-party payors combined. At September 30, 2023 and December 31, 2022, $32.2 million and $39.0 million of liabilities were recorded in accounts payable and accrued expenses and other liabilities, respectively. See Note 15, “</w:t>
      </w:r>
      <w:r>
        <w:rPr>
          <w:rFonts w:ascii="Times New Roman;sans-serif" w:hAnsi="Times New Roman;sans-serif"/>
          <w:b w:val="false"/>
          <w:i/>
          <w:color w:val="000000"/>
          <w:sz w:val="20"/>
        </w:rPr>
        <w:t>Supplemental Financial Information</w:t>
      </w:r>
      <w:r>
        <w:rPr>
          <w:color w:val="000000"/>
        </w:rPr>
        <w:t>”</w:t>
      </w:r>
      <w:r>
        <w:rPr>
          <w:rFonts w:ascii="Times New Roman;sans-serif" w:hAnsi="Times New Roman;sans-serif"/>
          <w:b w:val="false"/>
          <w:color w:val="000000"/>
          <w:sz w:val="20"/>
        </w:rPr>
        <w:t>. The Company uses estimates, judgments, and assumptions to assess whether it is probable that a significant reversal in the amount of cumulative revenue may occur in future periods, based upon information presently available. These estimates are subject to change. In addition, as discussed above, the Company has made certain adjustments to its estimated variable consideration as result of this matter and other potential settlements with payors.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For certain long-term collaboration service agreements with original expected durations of more than one year, the Company’s obligations pursuant to such agreement represents partially unsatisfied performance obligations at September 30, 2023. The revenues remaining under the agreements are estimated to be approximately $3.9 million. The Company expects to recognize the majority of this revenue over approximately the next 2 years.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Costs to fulfill contracts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Costs associated with fulfilling the Company’s performance obligations pursuant to its collaboration service agreements include costs for services that are subcontracted to Icahn School of Medicine at Mount Sinai (“ISMMS”). Amounts prepaid are expensed in line with the pattern of revenue recognition. Prepayment of amounts prior to the costs being incurred are recognized in the condensed consolidated balance sheets as current or non-current based upon forecasted performance.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and December 31, 2022, the Company had outstanding deferred costs to fulfill contracts of less than $0.4 million and $0.3 million, respectively, which were recorded as prepaid expenses and other current assets in the condensed consolidated balance sheets. The Company expect to make additional payments to ISMMS under an amended subcontract agreement with ISMMS.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costs was $0.4 million and $0.5 million for the three months ended and $1.5 million and $1.5 million for the nine months ended September 30, 2023 and 2022, respectively. The amortization costs were recorded in the cost of services in the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5. Fair Value Measurements </w:t>
      </w:r>
    </w:p>
    <w:p>
      <w:pPr>
        <w:pStyle w:val="TextBody"/>
        <w:bidi w:val="0"/>
        <w:spacing w:lineRule="auto" w:line="288" w:before="0" w:after="200"/>
        <w:jc w:val="both"/>
        <w:rPr/>
      </w:pPr>
      <w:r>
        <w:rPr>
          <w:rFonts w:ascii="Times New Roman;sans-serif" w:hAnsi="Times New Roman;sans-serif"/>
          <w:b w:val="false"/>
          <w:color w:val="000000"/>
          <w:sz w:val="20"/>
        </w:rPr>
        <w:t>Financial assets and liabilities are recorded at fair value. Fair value is defined as the price that would be received to sell an asset or paid to transfer a liability in an orderly transaction between market participants at the measurement date. For further information regarding the Company’s fair value measurements, see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included within our Annual Report on Form 10-K for the year ended December 31, 2022.</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fair value of financial instruments that were measured at fair value on a recurring basis (in thousands):</w:t>
      </w:r>
    </w:p>
    <w:tbl>
      <w:tblPr>
        <w:tblW w:w="10205" w:type="dxa"/>
        <w:jc w:val="center"/>
        <w:tblInd w:w="0" w:type="dxa"/>
        <w:tblLayout w:type="fixed"/>
        <w:tblCellMar>
          <w:top w:w="28" w:type="dxa"/>
          <w:left w:w="28" w:type="dxa"/>
          <w:bottom w:w="28" w:type="dxa"/>
          <w:right w:w="28" w:type="dxa"/>
        </w:tblCellMar>
      </w:tblPr>
      <w:tblGrid>
        <w:gridCol w:w="634"/>
        <w:gridCol w:w="352"/>
        <w:gridCol w:w="355"/>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06"/>
        <w:gridCol w:w="109"/>
        <w:gridCol w:w="109"/>
        <w:gridCol w:w="109"/>
        <w:gridCol w:w="109"/>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56"/>
      </w:tblGrid>
      <w:tr>
        <w:trPr/>
        <w:tc>
          <w:tcPr>
            <w:tcW w:w="63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2"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 liability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34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based on milestone achievement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333" w:before="200" w:after="283"/>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before="200" w:after="18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br/>
        <w:t>The Company’s loan from the Connecticut Department of Economic and Community Development (“DECD”) is classified within Level 2 of the fair value hierarchy. The loan was recorded at its carrying value of $6.3 million at December 31, 2022 and September 30, 2023 with $0.2 million of recorded in other current liabilities on the consolidated balance sheets at September 30, 2023. The fair value was $4.8 million, which is estimated based on discounted cash flows using the yields of similar debt instruments of other companies with similar credit profiles.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the $114.3 million cash, cash equivalents, and marketable securities presented in the condensed consolidated balance sheets at September 30, 2023, $80.1 million was in money market funds, $6.1 million in U.S. treasury bonds and $21.1 million in corporate and municipal bonds, all of which are classified within Level 1 of the fair value hierarchy as the fair value was based on quoted prices in active markets. The $26.9 million marketable securities presented in the condensed consolidated balance sheet at September 30, 2023 have maturity dates ranging from 2024 through 2026. All of these marketable securities are classified as current assets as these investments are intended to be available to the Company for use in funding current operations. Of the $123.9 million cash and cash equivalents presented on the consolidated balance sheets at December 31, 2022, $16.9 million was in money market funds and classified within Level 1 of the fair value hierarchy as the fair value was based on quoted prices in active markets.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outstanding warrants include publicly traded warrants (the “Public Warrants”) which were originally issued in CMLS’s initial public offering (“the IPO”) and warrants sold in a private placement to CMLS Holdings LLC (the “Private Warrants”). The Company evaluated its warrants under ASC 815-40-Derivatives and Hedging—Contracts in Entity’s Own Equity, and concluded that they do not meet the criteria to be classified in stockholders’ equity. Since the Public Warrants and Private Warrants meet the definition of a derivative under ASC 815, the Company recorded these warrants as non-current liabilities on the balance sheet at fair value upon the closing of the Business Combination, with subsequent changes in their respective fair values recognized in non-operating income (expenses), net in the condensed consolidated statements of operations and comprehensive loss at each reporting date. At September 30, 2023, the Public Warrants are classified within Level 1 of the fair value hierarchy as they are traded in active markets. The Private Warrants are classified within Level 2 of the fair value hierarchy as management determined the fair value of each Private Warrant is the same as that of a Public Warrant because the terms are substantially the same. A loss of $0.4 million and $0.2 million was recorded for the three and nine months ended September 30, 2023 within the change in fair market value of warrant and earn-out contingent liabilities in the consolidated statements of operations and comprehensive loss based on remeasurement performed at the period end date.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earn-out contingent liabilities include the Company’s contingent obligation to issue earn-out shares for Legacy Sema4 stockholders (which obligation expired in July 2023) (“Earn-out Shares”) as well as the Company’s obligation to pay out the first Milestone Payment of $112.5 million to OKPO and the contingent obligation to make an additional second Milestone Payment of up to $37.5 million to OPKO if a certain revenue-based milestone is achieved for the fiscal year ended December 31, 2023.</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Earn-out Shares was determined based on a Monte Carlo simulation valuation model. At September 30, 2023 and December 31, 2022, the fair value was zero. During the nine months ended September 30, 2022, the Company recognized a $10.2 million gain reflecting the change in fair market value of warrant and earn-out contingent liabilities in the condensed consolidated statements of operations and comprehensive loss.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Milestone Payment contingent liability represents additional acquisition consideration to pay up to $37.5 million based on the achievement of Legacy GeneDx revenue-based milestone in fiscal year 2023 and the obligation to payout the first milestone of $112.5 million in shares of the Company’s Class A common stock. Subject to the terms and conditions of the Acquisition Merger Agreement, (a) the first Milestone Payment of $112.5 million became due and payable in full as Legacy GeneDx revenue exceeded $163 million for the fiscal year 2022 and (b) the second Milestone Payment of $37.5 million will become due and payable if the revenue of the Legacy GeneDx group for the fiscal year 2023 equals or exceeds $219 million; provided that 80% of the second Milestone Payment will become payable in respect of the second milestone period if the Legacy GeneDx group achieves 90% of the Milestone Event revenue target for such period, which amount will scale on a linear basis up to 100% of the second Milestone Payment at 100% of the revenue target. The first Milestone Payment resulted in the issuance of 701,460 shares of the Company’s Class A common stock on April 14, 2023. The second Milestone Payment will be satisfied through the payment and/or issuance of a combination of cash and shares of the Company’s Class A common stock (valued at $160.38 per share), with such mix to be determined at the Company’s sole discretion.</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and recorded the fair value of the Milestone Payments as zero at September 30, 2023. For the three and nine months ended September 30, 2023, a gain of $1.0 million and a gain of $0.9 million was recorded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333" w:before="200" w:after="283"/>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before="200" w:after="18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change in fair market value of warrant and earn-out contingent liabilities, respectively, in the condensed consolidated statements of operations and comprehensive loss based on re-measurement performed at the period end date. The fair value of the second milestone was determined based on a Monte Carlo simulation valuation model and the key assumptions include revenue projections, revenue volatility of 18%. The fair value of the first milestone was determined based on the Company’s expectation to settle the liability in shares and share price of $5.96 per share.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earn-out contingent liabilities are categorized as Level 3 of the fair value hierarchy as the Company utilizes unobservable inputs in estimating the fair value. There were no transfers between Level 1, Level 2 and Level 3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6. Property and Equipment, net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(in thousands):</w:t>
      </w:r>
    </w:p>
    <w:tbl>
      <w:tblPr>
        <w:tblW w:w="7526" w:type="dxa"/>
        <w:jc w:val="left"/>
        <w:tblInd w:w="0" w:type="dxa"/>
        <w:tblLayout w:type="fixed"/>
        <w:tblCellMar>
          <w:top w:w="28" w:type="dxa"/>
          <w:left w:w="28" w:type="dxa"/>
          <w:bottom w:w="28" w:type="dxa"/>
          <w:right w:w="28" w:type="dxa"/>
        </w:tblCellMar>
      </w:tblPr>
      <w:tblGrid>
        <w:gridCol w:w="1489"/>
        <w:gridCol w:w="1308"/>
        <w:gridCol w:w="1313"/>
        <w:gridCol w:w="313"/>
        <w:gridCol w:w="1070"/>
        <w:gridCol w:w="161"/>
        <w:gridCol w:w="109"/>
        <w:gridCol w:w="109"/>
        <w:gridCol w:w="109"/>
        <w:gridCol w:w="300"/>
        <w:gridCol w:w="1026"/>
        <w:gridCol w:w="219"/>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Equipment under finance leases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Building under finance lease</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in-progress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other equipment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139,724 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152,987 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(103,978)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(101,460)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51,527 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ans-serif" w:hAnsi="Times New Roman;sans-serif"/>
          <w:b w:val="false"/>
          <w:color w:val="000000"/>
          <w:sz w:val="20"/>
        </w:rPr>
        <w:t>For the three months ended September 30, 2023 and 2022, depreciation and amortization expense was $5.2 million and $7.0 million, respectively. For the nine months ended September 30, 2023 and 2022, depreciation and amortization expense was $17.1 million and $19.4 million, respectively. This included software amortization expense of $0.2 million and $1.7 million for the three months ended and $5.9 million and $5.0 million for the nine months ended September 30, 2023 and 2022, respectively. For intangible amortization, see Note 9, “</w:t>
      </w:r>
      <w:r>
        <w:rPr>
          <w:rFonts w:ascii="Times New Roman;sans-serif" w:hAnsi="Times New Roman;sans-serif"/>
          <w:b w:val="false"/>
          <w:i/>
          <w:color w:val="000000"/>
          <w:sz w:val="20"/>
        </w:rPr>
        <w:t>Goodwill and Intangible Assets</w:t>
      </w:r>
      <w:r>
        <w:rPr>
          <w:color w:val="000000"/>
        </w:rPr>
        <w:t>”</w:t>
      </w:r>
      <w:r>
        <w:rPr>
          <w:rFonts w:ascii="Times New Roman;sans-serif" w:hAnsi="Times New Roman;sans-serif"/>
          <w:b w:val="false"/>
          <w:color w:val="000000"/>
          <w:sz w:val="20"/>
        </w:rPr>
        <w: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the Company recorded a $3.4 million charge to accelerate the amortization for certain capitalized software projects associated with Legacy Sema4 that are not expected to be utilized.</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the Company recorded a $3.0 million gain on sale of assets during the period associated with the closure of Legacy Sema4 facilities.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Company entered into an agreement with ISMMS to use its commercially reasonable efforts to exercise the early termination option existing in the lease agreement between ISMMS and the lessor. This triggered lease modification accounting to shorten the total lease term, from a total of 23 years remaining to an estimated 13 years remaining, as the Company intends to exercise this option. The Company is required to make a payment of $8.4 million as an early termination fee if it chooses to exercise this option. This modification resulted in an increase in the operating lease liability by $2.0 million and an increase in the finance lease liability by $2.6 million, respectively, due to reassessment and reapplication of the incremental borrowing rate at the lease modification date.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the Company identified additional indicators of impairment related to the ISMMS sublease agreements. As a result, the Company recorded an $8.3 million non-cash impairment charge in its condensed consolidated statements of operations and comprehensive loss for the three months ended September 30, 2023, of which $4.8 million was allocated to the right-of-use asset associated with the sublease. For the nine months ended September 30, 2023, the Company recorded a $9.9 million non-cash impairment charge in its condensed consolidated statements of operations and comprehensive loss, of which $5.6 million was allocated to the right-of-use asset associated with the sublease, which included indicators of impairment related to the ISMMS sublease agreements during the first quarter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333" w:before="200" w:after="283"/>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before="200" w:after="18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is included within the condensed consolidated statements of operations and comprehensive loss as follows (in thousands):</w:t>
      </w:r>
    </w:p>
    <w:tbl>
      <w:tblPr>
        <w:tblW w:w="9377" w:type="dxa"/>
        <w:jc w:val="left"/>
        <w:tblInd w:w="0" w:type="dxa"/>
        <w:tblLayout w:type="fixed"/>
        <w:tblCellMar>
          <w:top w:w="28" w:type="dxa"/>
          <w:left w:w="28" w:type="dxa"/>
          <w:bottom w:w="28" w:type="dxa"/>
          <w:right w:w="28" w:type="dxa"/>
        </w:tblCellMar>
      </w:tblPr>
      <w:tblGrid>
        <w:gridCol w:w="1382"/>
        <w:gridCol w:w="1219"/>
        <w:gridCol w:w="1223"/>
        <w:gridCol w:w="253"/>
        <w:gridCol w:w="739"/>
        <w:gridCol w:w="130"/>
        <w:gridCol w:w="130"/>
        <w:gridCol w:w="130"/>
        <w:gridCol w:w="130"/>
        <w:gridCol w:w="253"/>
        <w:gridCol w:w="739"/>
        <w:gridCol w:w="130"/>
        <w:gridCol w:w="109"/>
        <w:gridCol w:w="109"/>
        <w:gridCol w:w="109"/>
        <w:gridCol w:w="223"/>
        <w:gridCol w:w="762"/>
        <w:gridCol w:w="115"/>
        <w:gridCol w:w="115"/>
        <w:gridCol w:w="115"/>
        <w:gridCol w:w="115"/>
        <w:gridCol w:w="223"/>
        <w:gridCol w:w="762"/>
        <w:gridCol w:w="162"/>
      </w:tblGrid>
      <w:tr>
        <w:trPr/>
        <w:tc>
          <w:tcPr>
            <w:tcW w:w="138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 expenses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7. Related Party Transactions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Related party revenues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Total related party revenues are included within diagnostic test revenue and other revenue in the condensed consolidated statements of operations and comprehensive loss as follows (in thousands):</w:t>
      </w:r>
    </w:p>
    <w:tbl>
      <w:tblPr>
        <w:tblW w:w="7942" w:type="dxa"/>
        <w:jc w:val="left"/>
        <w:tblInd w:w="0" w:type="dxa"/>
        <w:tblLayout w:type="fixed"/>
        <w:tblCellMar>
          <w:top w:w="28" w:type="dxa"/>
          <w:left w:w="28" w:type="dxa"/>
          <w:bottom w:w="28" w:type="dxa"/>
          <w:right w:w="28" w:type="dxa"/>
        </w:tblCellMar>
      </w:tblPr>
      <w:tblGrid>
        <w:gridCol w:w="863"/>
        <w:gridCol w:w="758"/>
        <w:gridCol w:w="763"/>
        <w:gridCol w:w="293"/>
        <w:gridCol w:w="648"/>
        <w:gridCol w:w="151"/>
        <w:gridCol w:w="151"/>
        <w:gridCol w:w="151"/>
        <w:gridCol w:w="151"/>
        <w:gridCol w:w="293"/>
        <w:gridCol w:w="648"/>
        <w:gridCol w:w="151"/>
        <w:gridCol w:w="109"/>
        <w:gridCol w:w="109"/>
        <w:gridCol w:w="109"/>
        <w:gridCol w:w="244"/>
        <w:gridCol w:w="712"/>
        <w:gridCol w:w="126"/>
        <w:gridCol w:w="126"/>
        <w:gridCol w:w="126"/>
        <w:gridCol w:w="126"/>
        <w:gridCol w:w="244"/>
        <w:gridCol w:w="712"/>
        <w:gridCol w:w="178"/>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related party revenues</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party revenues primarily include diagnostic testing revenues generated by GeneDx from BioReference Laboratories, Inc., which is a subsidiary of OPKO. The prices charged represent market rates. Revenue recorded from this contract was $0.7 million and $0.6 million for the three months ended and $2.1 million and $1.0 million for the nine months ended September 30, 2023 and 2022, respectively.</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Related party costs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Total related party costs are included within cost of services and other, net in the condensed consolidated statements of operations and comprehensive loss as follows (in thousands):</w:t>
      </w:r>
    </w:p>
    <w:tbl>
      <w:tblPr>
        <w:tblW w:w="7624" w:type="dxa"/>
        <w:jc w:val="left"/>
        <w:tblInd w:w="0" w:type="dxa"/>
        <w:tblLayout w:type="fixed"/>
        <w:tblCellMar>
          <w:top w:w="28" w:type="dxa"/>
          <w:left w:w="28" w:type="dxa"/>
          <w:bottom w:w="28" w:type="dxa"/>
          <w:right w:w="28" w:type="dxa"/>
        </w:tblCellMar>
      </w:tblPr>
      <w:tblGrid>
        <w:gridCol w:w="748"/>
        <w:gridCol w:w="659"/>
        <w:gridCol w:w="662"/>
        <w:gridCol w:w="253"/>
        <w:gridCol w:w="739"/>
        <w:gridCol w:w="130"/>
        <w:gridCol w:w="130"/>
        <w:gridCol w:w="130"/>
        <w:gridCol w:w="130"/>
        <w:gridCol w:w="253"/>
        <w:gridCol w:w="739"/>
        <w:gridCol w:w="130"/>
        <w:gridCol w:w="109"/>
        <w:gridCol w:w="109"/>
        <w:gridCol w:w="109"/>
        <w:gridCol w:w="244"/>
        <w:gridCol w:w="712"/>
        <w:gridCol w:w="126"/>
        <w:gridCol w:w="126"/>
        <w:gridCol w:w="126"/>
        <w:gridCol w:w="126"/>
        <w:gridCol w:w="244"/>
        <w:gridCol w:w="712"/>
        <w:gridCol w:w="178"/>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related party costs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8,219 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June 1, 2017, the Company signed a contribution and funding agreement and other agreements with ISMMS, whereby ISMMS contributed certain assets and liabilities related to the Company’s operations, provided certain services to the Company, and also committed to funding the Company up to $55.0 million in future capital contributions in exchange for equity in the Company, of which $55.0 million was drawn at December 31, 2019. Following the transaction, the Company commenced operations and began providing the services and performing research.</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Expenses recognized pursuant to service arrangements with ISMMS, including certain sub-lease arrangements the Company has through ISMMS, totaled $2.1 million and $2.0 million for the three months ended and $5.4 million and $6.2 million for the nine months ended September 30, 2023 and 2022, respectively. These amounts include certain lease expenses the Company incurs and pay to ISMMS for certain sub-lease arrangements. They are included in either cost of services or related party expenses in the condensed consolidated statements of operations and comprehensive loss depending on the particular activity to which the costs relate. Payables due to ISMMS for the other service arrangements were $3.8 million and $2.4 million at September 30, 2023 and December 31, 2022, respectively, these amounts include unpaid lease payments the Company accrued for. The payments to be made to ISMMS and are included within due to related parties on the Company’s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333" w:before="200" w:after="283"/>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before="200" w:after="180"/>
        <w:jc w:val="center"/>
        <w:rPr/>
      </w:pPr>
      <w:r>
        <w:rPr/>
      </w:r>
    </w:p>
    <w:p>
      <w:pPr>
        <w:pStyle w:val="TextBody"/>
        <w:bidi w:val="0"/>
        <w:spacing w:lineRule="auto" w:line="288" w:before="0" w:after="200"/>
        <w:jc w:val="both"/>
        <w:rPr>
          <w:rFonts w:ascii="Times New Roman;sans-serif" w:hAnsi="Times New Roman;sans-serif"/>
          <w:b w:val="false"/>
          <w:color w:val="000000"/>
          <w:sz w:val="20"/>
        </w:rPr>
      </w:pPr>
      <w:bookmarkStart w:id="0" w:name="ie877b27a8b5445098feec6e7e7da7a50_3641"/>
      <w:bookmarkEnd w:id="0"/>
      <w:r>
        <w:rPr>
          <w:rFonts w:ascii="Times New Roman;sans-serif" w:hAnsi="Times New Roman;sans-serif"/>
          <w:b w:val="false"/>
          <w:color w:val="000000"/>
          <w:sz w:val="20"/>
        </w:rPr>
        <w:t>Additionally, the Company has purchased $2.2 million of diagnostic testing kits and materials and $0.6 million and $1.4 million was recorded in cost of services for the three and nine months ended September 30, 2023, respectively, from an affiliate of a member of the Board of Directors who has served in the role since July 2021. The prices paid represent market rates. Payables due were $0.1 million and $0.4 million at September 30, 2023 and December 31, 2022, respectively.</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Legacy GeneDx and OPKO entered into a Transition Services Agreement dated at April 29, 2022 (the “OPKO TSA”) pursuant to which OPKO agreed to provide, at cost, certain services in support of the Acquisition of the Legacy GeneDx business through December 31, 2022, subject to certain limited exceptions, in order to facilitate the transactions contemplated by the Acquisition Merger Agreement, including human resources, information technology support, and finance and accounting. The Company recorded $0.3 million and $0.5 million of expense for the three months ended and $1.1 million and $0.8 million for the nine months ended September 30, 2023 and 2022, respectively, related to the agreement. At September 30, 2023 there were less than $0.1 million of unpaid costs, and at December 31, 2022 $0.4 million was unpaid and included in due to related parties in condensed consolidated balance sheets.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Company recorded a reduction of $1.3 million of receivables from OPKO related to the Acquisition closing working capital adjustment that was previously recorded at December 31, 2022. The amount was presented as prepaid expenses and other current assets in condensed consolidated balance sheets at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8. Long-Term Debt</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long-term debt matures as follows (in thousands):</w:t>
      </w:r>
    </w:p>
    <w:tbl>
      <w:tblPr>
        <w:tblW w:w="4805" w:type="dxa"/>
        <w:jc w:val="left"/>
        <w:tblInd w:w="0" w:type="dxa"/>
        <w:tblLayout w:type="fixed"/>
        <w:tblCellMar>
          <w:top w:w="28" w:type="dxa"/>
          <w:left w:w="28" w:type="dxa"/>
          <w:bottom w:w="28" w:type="dxa"/>
          <w:right w:w="28" w:type="dxa"/>
        </w:tblCellMar>
      </w:tblPr>
      <w:tblGrid>
        <w:gridCol w:w="1385"/>
        <w:gridCol w:w="1216"/>
        <w:gridCol w:w="1223"/>
        <w:gridCol w:w="211"/>
        <w:gridCol w:w="616"/>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 of current maturities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 xml:space="preserve">Connecticut Department of Economic and Community Development Funding Commitment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2017, ISMMS assigned a loan funding commitment from the DECD to the Company (the “DECD Loan Agreement”) to support the Genetic Sequencing Laboratory Project in Branford, Connecticut, with funding based on the achievement of certain project development phases. The DECD Loan Agreement provided for a total loan commitment of $15.5 million at a fixed annual interest rate of 2.0% for a term of 10 years. The Company was required to make interest-only payments through July 2023 and principal and interest payments commencing in August 2023. The final payment of principal and interest was due in July 2028. However, under the terms of the DECD Loan Agreement, the DECD granted a partial principal loan forgiveness of up to $12.3 million in the aggregate. Such forgiveness was contingent upon the Company achieving certain job creation and retention milestones and $4.5 million had been forgiven at December 31, 2022. This commitment was collateralized by a security interest in certain machinery and equipment the Company acquired from ISMMS, as defined in a separate security agreement.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 amended the DECD Loan Agreement, which resulted in the Company agreeing to pay $2.0 million in principal, obtaining $2.8 million in debt forgiveness for achieving its Phase 2 job milestone, and agreeing to two new forgiveness milestone targets for its Phase 3 job milestone (eligible for $2 million in forgiveness) and a final phase job milestone (eligible for $1 million in forgiveness) (the “2022 Amended DECD Loan Agreement”). Upon execution of this amendment, the Company paid the $2.0 million in principal and received $2.75 million in debt forgiveness, both of which were classified as current liabilities at December 31, 2022 and the Company recognized the debt forgiveness as other (expense) income, net in the condensed consolidated statements of operations and comprehensive loss for the nine months ended September 30, 2023. The terms of the 2022 Amended DECD Loan Agreement require the Company to make interest-only payments through July 2024 and principal and interest payments commencing in August 2024 through July 2029 at the same fixed annual interest rate of 2.0%. The other terms of the 2022 Amended DECD Loan Agreement remained the same.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333" w:before="200" w:after="283"/>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before="200" w:after="18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outstanding loan balance from the 2022 Amended DECD Loan Agreement was $6.3 million at September 30, 2023.</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Entry into Perceptive Term Loan Facility</w:t>
      </w:r>
    </w:p>
    <w:p>
      <w:pPr>
        <w:pStyle w:val="TextBody"/>
        <w:bidi w:val="0"/>
        <w:spacing w:lineRule="auto" w:line="288" w:before="0" w:after="200"/>
        <w:jc w:val="both"/>
        <w:rPr/>
      </w:pPr>
      <w:r>
        <w:rPr>
          <w:rFonts w:ascii="Times New Roman;sans-serif" w:hAnsi="Times New Roman;sans-serif"/>
          <w:b w:val="false"/>
          <w:color w:val="000000"/>
          <w:sz w:val="20"/>
          <w:shd w:fill="FFFFFF" w:val="clear"/>
        </w:rPr>
        <w:t xml:space="preserve">Subsequent to </w:t>
      </w:r>
      <w:r>
        <w:rPr>
          <w:rFonts w:ascii="Times New Roman;sans-serif" w:hAnsi="Times New Roman;sans-serif"/>
          <w:b w:val="false"/>
          <w:color w:val="000000"/>
          <w:sz w:val="20"/>
        </w:rPr>
        <w:t>September 30, 2023, on October 27, 2023, we entered into a Credit Agreement and Guaranty (the “Credit Agreement”) with Perceptive Credit Holdings IV, LP, as lender and administrative agent (“Perceptive”), which provides for a senior secured delayed draw term loan facility in an aggregate principal amount of up to $75.0 million (the “Perceptive Term Loan Facility”). An initial tranche of $50.0 million (the “Tranche A Loan”) was funded under the Perceptive Term Loan Facility on the Closing Date. In addition to the Tranche A Loan, the Perceptive Term Loan Facility includes an additional tranche of $25.0 million (the “Tranche B Loan,” and together with the Tranche A Loan, the “Term Loans”), which will be accessible by us so long as we satisfy certain customary conditions precedent, including a specified revenue milestone (the funding date of the Tranche B Loan, the “Tranche B Borrowing Date”). The Perceptive Term Loan Facility has a maturity date of October 27, 2028 (the “Maturity Date”) and provides for an interest-only period during the term of the loan with principal due at the maturity date. Our net proceeds from the Tranche A Loan were approximately $49 million, after deducting estimated debt issuance costs and expenses.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Perceptive Term Loan Facility will accrue interest at an annual rate equal to the sum of (a) Term SOFR (as defined in the Credit Agreement) and (b) an applicable margin of 7.5% (the “Applicable Margin”). Accrued interest on the Term Loans is payable monthly in arrears. Upon an Event of Default (as defined in the Credit Agreement), the Applicable Margin will automatically increase by an additional 4% per annum.</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Amortization and Prepayment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Maturity Date, there will be no scheduled principal payments under the Perceptive Term Loan Facility. On the Maturity Date, the Company is required to pay Perceptive the aggregate outstanding principal amount of the Term Loans and all accrued and unpaid interest thereon. The Term Loans may be prepaid at any time, subject to a prepayment premium equal to 0% to 10% of the aggregate outstanding principal amount being prepaid, depending on the date of prepayment.</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Security Instruments and Warrant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Credit Agreement, the Company also entered into a Security Agreement (the “Security Agreement”), dated as of the Closing Date, with Perceptive, pursuant to which all of its obligations under the Credit Agreement are secured by a first lien perfected security interest on substantially all of its existing and after-acquired assets, subject to customary exceptions.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on the Closing Date, as consideration for the Credit Agreement, the Company issued to Perceptive a warrant (the “Warrant”) to purchase up to 1,200,000 shares (the “Warrant Shares”) of its Class A common stock. 800,000 Warrant Shares (the “Initial Warrant Shares”) vested and became exercisable on the Closing Date and 400,000 Warrant Shares (the “Additional Warrant Shares”) will vest and become exercisable on the Tranche B Borrowing Date. The per share exercise price for the Initial Warrant Shares is $3.1752 (the “Initial Warrant Exercise Price”), which is equal to the 10-day volume weighted average price (the “10-day VWAP”) of the Company’s Class A common stock at the end of the business day immediately prior to the Closing Date, and the per share exercise price for the Additional Warrant Shares will be equal to the lower of (a) the Initial Warrant Exercise Price or (b) the 10-day VWAP ending on the end of the business day immediately preceding the Tranche B Borrowing Date. The Warrant will be exercisable, in whole or in part, until the 10th anniversary of the applicable vesting date.</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Termination of Loan and Security Agreement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15, 2021 the Company and Sema4 OpCo, Inc. (together, the “Borrower”) entered into a Loan and Security Agreement (the “SVB Agreement”) with Silicon Valley Bank (“SVB”) which provided for a revolving credit facility (the “Revolver”) up to an aggregate principal amount of $125.0 million, including a sublimit of $20.0 million for Letters of Credit (as such terms are defined in the SVB Agreement). No amounts had been drawn under the SVB Agreement at September 30, 2023.</w:t>
      </w:r>
    </w:p>
    <w:p>
      <w:pPr>
        <w:pStyle w:val="TextBody"/>
        <w:bidi w:val="0"/>
        <w:spacing w:lineRule="auto" w:line="288" w:before="0" w:after="200"/>
        <w:jc w:val="both"/>
        <w:rPr/>
      </w:pPr>
      <w:r>
        <w:rPr>
          <w:rFonts w:ascii="Times New Roman;sans-serif" w:hAnsi="Times New Roman;sans-serif"/>
          <w:b w:val="false"/>
          <w:color w:val="000000"/>
          <w:sz w:val="20"/>
          <w:shd w:fill="FFFFFF" w:val="clear"/>
        </w:rPr>
        <w:t xml:space="preserve">Subsequent to </w:t>
      </w:r>
      <w:r>
        <w:rPr>
          <w:rFonts w:ascii="Times New Roman;sans-serif" w:hAnsi="Times New Roman;sans-serif"/>
          <w:b w:val="false"/>
          <w:color w:val="000000"/>
          <w:sz w:val="20"/>
        </w:rPr>
        <w:t>September 30, 2023, i</w:t>
      </w:r>
      <w:r>
        <w:rPr>
          <w:rFonts w:ascii="Times New Roman;sans-serif" w:hAnsi="Times New Roman;sans-serif"/>
          <w:b w:val="false"/>
          <w:color w:val="000000"/>
          <w:sz w:val="20"/>
          <w:shd w:fill="FFFFFF" w:val="clear"/>
        </w:rPr>
        <w:t>n connection with the entry into the Credit Agreement, the SVB Agreement, dated as of November 15, 2021 (“SVB Loan and Security Agreement”), with SVB was terminated, effective as of the Closing Date, and SVB’s security interest in the Company’s assets and property was released.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333" w:before="200" w:after="283"/>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before="200" w:after="180"/>
        <w:jc w:val="center"/>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9. Goodwill and Intangible Assets</w:t>
      </w:r>
    </w:p>
    <w:p>
      <w:pPr>
        <w:pStyle w:val="TextBody"/>
        <w:bidi w:val="0"/>
        <w:spacing w:lineRule="auto" w:line="288" w:before="0" w:after="200"/>
        <w:jc w:val="both"/>
        <w:rPr/>
      </w:pPr>
      <w:r>
        <w:rPr>
          <w:rFonts w:ascii="Times New Roman;sans-serif" w:hAnsi="Times New Roman;sans-serif"/>
          <w:b w:val="false"/>
          <w:color w:val="000000"/>
          <w:sz w:val="20"/>
        </w:rPr>
        <w:t>As discussed in Note 3, “</w:t>
      </w:r>
      <w:r>
        <w:rPr>
          <w:rFonts w:ascii="Times New Roman;sans-serif" w:hAnsi="Times New Roman;sans-serif"/>
          <w:b w:val="false"/>
          <w:i/>
          <w:color w:val="000000"/>
          <w:sz w:val="20"/>
        </w:rPr>
        <w:t>Business Combinations</w:t>
      </w:r>
      <w:r>
        <w:rPr>
          <w:color w:val="000000"/>
        </w:rPr>
        <w:t>”</w:t>
      </w:r>
      <w:r>
        <w:rPr>
          <w:rFonts w:ascii="Times New Roman;sans-serif" w:hAnsi="Times New Roman;sans-serif"/>
          <w:b w:val="false"/>
          <w:color w:val="000000"/>
          <w:sz w:val="20"/>
        </w:rPr>
        <w:t>, upon the Acquisition of Legacy GeneDx in April 2022, the Company recorded initial goodwill of $185.9 million through its preliminary purchase allocation. The purchase price allocation for acquired businesses may be modified for up to one year from the date of acquisition if additional facts or circumstances lead to changes in the Company’s preliminary purchase accounting estimates. The Company is complete with measurement period adjustments at April 29, 2023.</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amounts of goodwill were as follows (in thousands):</w:t>
      </w:r>
    </w:p>
    <w:tbl>
      <w:tblPr>
        <w:tblW w:w="3576" w:type="dxa"/>
        <w:jc w:val="left"/>
        <w:tblInd w:w="0" w:type="dxa"/>
        <w:tblLayout w:type="fixed"/>
        <w:tblCellMar>
          <w:top w:w="28" w:type="dxa"/>
          <w:left w:w="28" w:type="dxa"/>
          <w:bottom w:w="28" w:type="dxa"/>
          <w:right w:w="28" w:type="dxa"/>
        </w:tblCellMar>
      </w:tblPr>
      <w:tblGrid>
        <w:gridCol w:w="1016"/>
        <w:gridCol w:w="893"/>
        <w:gridCol w:w="896"/>
        <w:gridCol w:w="211"/>
        <w:gridCol w:w="406"/>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Measurement period adjustments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carrying values and remaining useful lives of the acquired intangible assets identified based on the Company’s preliminary purchase accounting assessments at September 30, 2023 (in thousands):</w:t>
      </w:r>
    </w:p>
    <w:tbl>
      <w:tblPr>
        <w:tblW w:w="8557" w:type="dxa"/>
        <w:jc w:val="left"/>
        <w:tblInd w:w="0" w:type="dxa"/>
        <w:tblLayout w:type="fixed"/>
        <w:tblCellMar>
          <w:top w:w="28" w:type="dxa"/>
          <w:left w:w="28" w:type="dxa"/>
          <w:bottom w:w="28" w:type="dxa"/>
          <w:right w:w="28" w:type="dxa"/>
        </w:tblCellMar>
      </w:tblPr>
      <w:tblGrid>
        <w:gridCol w:w="858"/>
        <w:gridCol w:w="754"/>
        <w:gridCol w:w="757"/>
        <w:gridCol w:w="345"/>
        <w:gridCol w:w="1352"/>
        <w:gridCol w:w="178"/>
        <w:gridCol w:w="109"/>
        <w:gridCol w:w="109"/>
        <w:gridCol w:w="109"/>
        <w:gridCol w:w="419"/>
        <w:gridCol w:w="1433"/>
        <w:gridCol w:w="218"/>
        <w:gridCol w:w="109"/>
        <w:gridCol w:w="109"/>
        <w:gridCol w:w="109"/>
        <w:gridCol w:w="281"/>
        <w:gridCol w:w="1103"/>
        <w:gridCol w:w="205"/>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Tradenames and trademarks</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91,058 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196,000 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19,869 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176,131 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tradenames and trademarks of $0.7 million and $0.8 million was recorded in general and administrative for the three months ended and $2.3 million and $1.3 million for the nine months ended September 30, 2023 and 2022, respectively, within the condensed consolidated statements of operations and comprehensive loss. Amortization expense for developed technology was $1.5 million and $1.5 million for the three months ended September 30, 2023 and 2022, respectively, and $4.5 million and $2.5 million for the nine months ended September 30, 2023 and 2022, respectively, and in each case, was recorded in general and administrative expenses within the condensed consolidated statements of operations and comprehensive loss. Amortization expense for customer relationships of $1.3 million and $1.2 million for the three months ended and $3.7 million and $2.0 million for the nine months ended September 30, 2023 and 2022, respectively was recorded in selling and marketing within the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10. Litigation and Contingencies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various actions and claims arising in the normal course of business. The Company does not believe that the outcome of these matters will have a material effect on the Company’s condensed consolidated financial position, results of operations or cash flows. However, no assurance can be given that the final outcome of such proceedings will not materially impact the Company’s condensed consolidated financial condition or results of operations.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described below, the Company was not a party to any material legal proceedings at September 30, 2023, nor is it a party to any material legal proceedings at the date of issuance of these condensed consolidated financial statements; however, we may become involved in various claims and legal actions arising in the ordinary course of business.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7, 2022, a shareholder class action lawsuit was filed in the United States District Court for the District of Connecticut against the Company and certain of the Company’s current and former officers. Following the appointment of a lead plaintiff, an amended complaint was filed on January 30, 2023. As amended, the complaint purports to bring suit on behalf of stockholders who purchased the Company’s publicly traded securities between March 14, 2022 and August 15, 2022. The complaint purports to allege that defendants made false and misleading statements about the Company’s business, operations and prospects in violation of Sections 10(b) and 20(a) of the Exchange Act, and seeks unspecified compensatory damages, fees and costs. The defendants moved to dismiss the amended complaint on August 21, 2023. That motion is pending. The Company believes the allegations and claims made in the complaint are without merit.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333" w:before="200" w:after="283"/>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before="200" w:after="18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7, 2023, a stockholder commenced a lawsuit in the Delaware Court of Chancery. The suit is brought as a class action on behalf of stockholders of CMLS who did not redeem their shares in connection with the Business Combination. The suit names as defendants all directors of CMLS at the time of the transaction, including directors who continue to serve on the Company’s board of directors, as well as CMLS Holdings LLC (the “Former Sponsor”). The Company is not named as a defendant. The complaint alleges that the July 2, 2021 proxy statement mailed to CMLS stockholders in connection with the transaction contained false and misleading statements, and purports to assert a claim of breach of fiduciary duty against all individual defendants, and a similar claim against the Former Sponsor and certain individuals for breach of fiduciary duty as control persons. The suit seeks to recover unspecified damages on behalf of the alleged class, among other relief. After defendants moved to dismiss the case, plaintiff filed an amended complaint on July 6, 2023, revising certain allegations and adding third parties as defendants. The defendants answered the amended complaint on September 15, 2023. The Company believes the allegations and claims made in the amended complaint are without merit. The Company is subject to certain claims for advancement and indemnification by the individual defendants in this proceeding.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11. Stock-Based Compensation</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Stock Incentive Plans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2017 Equity Incentive Plan (the “2017 Plan”), as amended in February 2018, allowed the grant of options, restricted stock awards, stock appreciation rights and restricted stock units. No options granted under the 2017 Plan are exercisable after 10 years from the date of grant, and option awards generally vest over a four-year period.</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2017 Plan was terminated in connection with the adoption of the Company's 2021 Equity Incentive Plan (the “2021 Plan”). Any awards granted under the 2017 Plan that remained outstanding at the closing date of the Business Combination and were converted into awards with respect to the Company’s Class A common stock in connection with the consummation of the Business Combination continue to be subject to the terms of the 2017 Plan and applicable award agreements, except for a modification of the repurchase provision, which is discussed further below.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July 22, 2021, in connection with the Business Combination, the 2021 Plan became effective and 991,970 authorized shares of Class A common stock were reserved for issuance thereunder. The 2021 Plan is administered by the Compensation Committee of the Company’s Board of Directors, including determination of the vesting, exercisability and payment of the awards to be granted under the 2021 Plan. No awards granted under the 2021 Plan are exercisable after 10 years from the date of grant, and the awards granted under the 2021 Plan generally vest over a four-year period on a graded vesting basis.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April 14, 2023, the stockholders of the Company approved an amendment and restatement to the 2021 Plan to increase the aggregate number of shares of the Company’s Class A common stock authorized for issuance under the 2021 Plan by 787,879 shares and implement certain other clarifying changes.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July 21, 2023, the Company adopted the 2023 Equity Inducement Plan (the “Equity Inducement Plan”) and, subject to the adjustment provisions of the Equity Inducement Plan, reserved 500,000 shares of the Company’s Class A common stock for issuance pursuant to equity awards to be granted under the Equity Inducement Plan. In accordance with Rule 5635(c)(4) of the Nasdaq Listing Rules, the only persons eligible to receive grants of equity awards under the Equity Inducement Plan are individuals who were not previously an employee or director of the Company, or following a bona fide period of non-employment, as an inducement material to such persons entering into employment with the Company.</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2021 Employee Stock Purchase Plan (the “2021 ESPP”) became effective in connection with the Business Combination. The 2021 ESPP authorizes the issuance of shares of Class A common stock pursuant to purchase rights granted to employees. On each January 1 of each of 2022 through 2031, the aggregate number of shares of Class A common stock reserved for issuance under the 2021 Plan may be increased automatically by the number of shares equal to one percent (1%) of the total number of shares of all classes of common stock issued and outstanding immediately preceding December 31. The Company did not make any grants of purchase rights under the 2021 ESPP during the three and nine months ended September 30, 2023 and September 30, 2022. A total of 336,816 shares of Class A common stock have been reserved for future issuance under the 2021 ESPP.</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Stock Option Activity</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2017 Plan, the Company had a call option to repurchase awards for cash from the plan participants upon termination of the participant’s employment or consulting agreement (the “2017 Plan Call Option”). The options granted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333" w:before="200" w:after="283"/>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before="200" w:after="18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2017 Plan were accounted for as liability awards due to the 2017 Plan Call Option. The Company had a history of repurchase practice and the intention to repurchase the vested options. Therefore, the fair value of the liability awards was remeasured at each reporting period until the stockholder bears the risks and rewards of equity ownership for a reasonable period of time, which the Company concludes is at least six months.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Business Combination, the Company’s Board of Directors waived the Company’s right under the 2017 Plan Call Option to repurchase awards for cash from the plan participants upon termination of the participant’s employment or consulting agreement. As such, the Company modified the liability awards to equity awards and reclassified the modification date fair value of the awards to stockholders’ equity in the condensed consolidated financial statements at July 22, 2021.</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All stock options granted under the 2021 Plan are accounted for as equity awards.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stock option activity during the nine months ended September 30, 2023:</w:t>
      </w:r>
    </w:p>
    <w:tbl>
      <w:tblPr>
        <w:tblW w:w="8590" w:type="dxa"/>
        <w:jc w:val="left"/>
        <w:tblInd w:w="0" w:type="dxa"/>
        <w:tblLayout w:type="fixed"/>
        <w:tblCellMar>
          <w:top w:w="28" w:type="dxa"/>
          <w:left w:w="28" w:type="dxa"/>
          <w:bottom w:w="28" w:type="dxa"/>
          <w:right w:w="28" w:type="dxa"/>
        </w:tblCellMar>
      </w:tblPr>
      <w:tblGrid>
        <w:gridCol w:w="1316"/>
        <w:gridCol w:w="1155"/>
        <w:gridCol w:w="1159"/>
        <w:gridCol w:w="689"/>
        <w:gridCol w:w="689"/>
        <w:gridCol w:w="691"/>
        <w:gridCol w:w="109"/>
        <w:gridCol w:w="109"/>
        <w:gridCol w:w="109"/>
        <w:gridCol w:w="551"/>
        <w:gridCol w:w="1611"/>
        <w:gridCol w:w="402"/>
      </w:tblGrid>
      <w:tr>
        <w:trPr/>
        <w:tc>
          <w:tcPr>
            <w:tcW w:w="131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Stock 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44,080 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(50,444)</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 or canceled</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(169,279)</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78.82 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623,230 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exercisable at September 30, 2023 </w:t>
            </w:r>
          </w:p>
        </w:tc>
        <w:tc>
          <w:tcPr>
            <w:tcW w:w="13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769,312 </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18.03 </w:t>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unrecognized stock-based compensation cost related to the unvested portion of the Company’s stock options was $4.4 million, which is expected to be recognized on a graded-vesting basis over a weighted-average period of 1.5 years.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stock option awards for the nine months ended September 30, 2023 were estimated using the Black-Scholes option pricing model with the following assumptions:</w:t>
      </w:r>
    </w:p>
    <w:tbl>
      <w:tblPr>
        <w:tblW w:w="6030" w:type="dxa"/>
        <w:jc w:val="left"/>
        <w:tblInd w:w="0" w:type="dxa"/>
        <w:tblLayout w:type="fixed"/>
        <w:tblCellMar>
          <w:top w:w="28" w:type="dxa"/>
          <w:left w:w="28" w:type="dxa"/>
          <w:bottom w:w="28" w:type="dxa"/>
          <w:right w:w="28" w:type="dxa"/>
        </w:tblCellMar>
      </w:tblPr>
      <w:tblGrid>
        <w:gridCol w:w="1099"/>
        <w:gridCol w:w="963"/>
        <w:gridCol w:w="968"/>
        <w:gridCol w:w="878"/>
        <w:gridCol w:w="878"/>
        <w:gridCol w:w="1244"/>
      </w:tblGrid>
      <w:tr>
        <w:trPr/>
        <w:tc>
          <w:tcPr>
            <w:tcW w:w="109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105.00%</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4.03%</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Class A common stock</w:t>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$6.35</w:t>
            </w:r>
          </w:p>
        </w:tc>
      </w:tr>
    </w:tbl>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estimated a volatility factor for the Company’s options based on analysis of historical share prices of a peer group of public companies, the historical share prices of the Company, and the implied volatility of the Company’s call options. The Company estimated the expected term of options granted using the “simplified method,” which is the mid-point between the vesting date and the ending date of the contractual term. The Company did not rely on the historical holding periods of the Company’s options due to the limited availability of exercise data. The Company used a risk-free interest rate based on the U.S. Treasury yield curve in effect for bonds with maturities consistent with the expected term of the option.</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Restricted Stock Units (RSUs)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issued time-based RSUs to employees under the 2021 Plan and the Equity Inducement Plan. The RSUs automatically convert to shares of Class A common stock on a one-for-one basis as the awards vest. The Company measures the value of RSUs at fair value based on the closing price of the underlying Class A common stock on the grant date. The RSUs granted generally vest over a four year vesting period from the grant date, however, certain grants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333" w:before="200" w:after="283"/>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before="200" w:after="18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vesting term that begins vesting 12 months from the grant date. The following table summarizes the activity related to the Company's time-based RSUs:</w:t>
      </w:r>
    </w:p>
    <w:tbl>
      <w:tblPr>
        <w:tblW w:w="9520" w:type="dxa"/>
        <w:jc w:val="center"/>
        <w:tblInd w:w="0" w:type="dxa"/>
        <w:tblLayout w:type="fixed"/>
        <w:tblCellMar>
          <w:top w:w="28" w:type="dxa"/>
          <w:left w:w="28" w:type="dxa"/>
          <w:bottom w:w="28" w:type="dxa"/>
          <w:right w:w="28" w:type="dxa"/>
        </w:tblCellMar>
      </w:tblPr>
      <w:tblGrid>
        <w:gridCol w:w="967"/>
        <w:gridCol w:w="850"/>
        <w:gridCol w:w="852"/>
        <w:gridCol w:w="884"/>
        <w:gridCol w:w="884"/>
        <w:gridCol w:w="887"/>
        <w:gridCol w:w="109"/>
        <w:gridCol w:w="109"/>
        <w:gridCol w:w="109"/>
        <w:gridCol w:w="832"/>
        <w:gridCol w:w="2430"/>
        <w:gridCol w:w="607"/>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Unit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77.88 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granted</w:t>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vested</w:t>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63.20 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forfeited</w:t>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70.39 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265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18.14 </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Company issued 18,794 RSUs subject to both service and performance based vesting conditions to the Executive Chairman of the Company. The grant date was established during the first quarter period and vesting of the RSUs will be based on the achievement of performance goals established for calendar year 2023. </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Earn-out RSUs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grant date fair value determined for Triggering Event I, II and III was $60.06, $45.87 and $31.02 per unit, respectively. Any re-allocated RSUs due to the Legacy Sema4 option holders’ forfeiture activities during the nine month period ended September 30, 2023 were accounted for as new grants and the fair value determined for Triggering Event I, II and III was $0.00, $0.00 and $0.00 per unit, respectively. Based on the grant date fair value, the Company recorded a reversal of stock-based compensation of $0.8 million for the nine months ended September 30, 2023 due to the Legacy Sema4 option holders’ forfeiture activities. The Company recognized the stock-compensation cost over the longer of the derived service period or service period. The earn-out RSUs expired in July 2023. </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Stock Appreciation Rights (SAR) Activity</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historically granted SARs to one employee and one consultant with an exercise condition of a liquidation event. As a result of the Business Combination, settlement of the outstanding vested SARs in exchange for a cash payment and to cancel the outstanding unvested SARs was agreed upon and an expense of $3.8 million related to the vested SAR was recognized by the Company. There were no outstanding SARs at September 30, 2023.</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 reversal of stock-based compensation of $4.7 million and $17.3 million during the three months ended September 30, 2023 and 2022, respectively, and $20.3 million and $27.0 million during the nine months ended September 30, 2023 and 2022, respectively, due to forfeiture activities upon employee terminations. Stock-based compensation expense for all awards granted and outstanding is included within the condensed consolidated statements of operations and comprehensive loss as follows (in thousands):</w:t>
      </w:r>
    </w:p>
    <w:tbl>
      <w:tblPr>
        <w:tblW w:w="9002" w:type="dxa"/>
        <w:jc w:val="left"/>
        <w:tblInd w:w="0" w:type="dxa"/>
        <w:tblLayout w:type="fixed"/>
        <w:tblCellMar>
          <w:top w:w="28" w:type="dxa"/>
          <w:left w:w="28" w:type="dxa"/>
          <w:bottom w:w="28" w:type="dxa"/>
          <w:right w:w="28" w:type="dxa"/>
        </w:tblCellMar>
      </w:tblPr>
      <w:tblGrid>
        <w:gridCol w:w="1247"/>
        <w:gridCol w:w="1099"/>
        <w:gridCol w:w="1104"/>
        <w:gridCol w:w="271"/>
        <w:gridCol w:w="600"/>
        <w:gridCol w:w="140"/>
        <w:gridCol w:w="140"/>
        <w:gridCol w:w="140"/>
        <w:gridCol w:w="140"/>
        <w:gridCol w:w="271"/>
        <w:gridCol w:w="793"/>
        <w:gridCol w:w="140"/>
        <w:gridCol w:w="109"/>
        <w:gridCol w:w="109"/>
        <w:gridCol w:w="109"/>
        <w:gridCol w:w="225"/>
        <w:gridCol w:w="740"/>
        <w:gridCol w:w="116"/>
        <w:gridCol w:w="116"/>
        <w:gridCol w:w="116"/>
        <w:gridCol w:w="116"/>
        <w:gridCol w:w="225"/>
        <w:gridCol w:w="772"/>
        <w:gridCol w:w="16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benefit for the nine months ended September 30, 2023 and 2022 was $0.5 million and $49.1 million, respectively. Income taxes for these periods are recorded at the Company’s estimated annual effective income tax rate, subject to adjustments for discrete events should they occur. The Company’s estimated annual effective tax rate was 0.35% and 0.05% for the nine months ended September 30, 2023 and 2022, respectively.</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difference between the Company’s effective tax rates in 2023 and 2022 compared to the U.S. statutory tax rate of 21% is primarily due to changes in valuation allowances associated with the Company’s assessment of the likelihood of the recoverability of deferred tax assets. The Company currently has valuation allowances against a significant portion of its deferred tax assets primarily related to its net operating loss carryforwards and tax credit carryforwards.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333" w:before="200" w:after="283"/>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before="200" w:after="180"/>
        <w:jc w:val="center"/>
        <w:rPr/>
      </w:pPr>
      <w:r>
        <w:rPr/>
      </w:r>
    </w:p>
    <w:p>
      <w:pPr>
        <w:pStyle w:val="TextBody"/>
        <w:bidi w:val="0"/>
        <w:spacing w:lineRule="auto" w:line="288" w:before="0" w:after="200"/>
        <w:jc w:val="left"/>
        <w:rPr/>
      </w:pPr>
      <w:r>
        <w:rPr>
          <w:rFonts w:ascii="Times New Roman;sans-serif" w:hAnsi="Times New Roman;sans-serif"/>
          <w:b/>
          <w:color w:val="000000"/>
          <w:sz w:val="20"/>
        </w:rPr>
        <w:t>13. Net loss per Share</w:t>
      </w:r>
      <w:r>
        <w:rPr>
          <w:color w:val="000000"/>
        </w:rPr>
        <w:t xml:space="preserve">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and diluted loss per share attributable to common stockholders was calculated as follows (amounts in thousands, except for share and per share amounts): </w:t>
      </w:r>
    </w:p>
    <w:tbl>
      <w:tblPr>
        <w:tblW w:w="10205" w:type="dxa"/>
        <w:jc w:val="left"/>
        <w:tblInd w:w="0" w:type="dxa"/>
        <w:tblLayout w:type="fixed"/>
        <w:tblCellMar>
          <w:top w:w="28" w:type="dxa"/>
          <w:left w:w="28" w:type="dxa"/>
          <w:bottom w:w="28" w:type="dxa"/>
          <w:right w:w="28" w:type="dxa"/>
        </w:tblCellMar>
      </w:tblPr>
      <w:tblGrid>
        <w:gridCol w:w="1859"/>
        <w:gridCol w:w="1265"/>
        <w:gridCol w:w="1272"/>
        <w:gridCol w:w="240"/>
        <w:gridCol w:w="841"/>
        <w:gridCol w:w="110"/>
        <w:gridCol w:w="110"/>
        <w:gridCol w:w="110"/>
        <w:gridCol w:w="110"/>
        <w:gridCol w:w="240"/>
        <w:gridCol w:w="841"/>
        <w:gridCol w:w="110"/>
        <w:gridCol w:w="109"/>
        <w:gridCol w:w="109"/>
        <w:gridCol w:w="109"/>
        <w:gridCol w:w="211"/>
        <w:gridCol w:w="884"/>
        <w:gridCol w:w="109"/>
        <w:gridCol w:w="109"/>
        <w:gridCol w:w="109"/>
        <w:gridCol w:w="109"/>
        <w:gridCol w:w="211"/>
        <w:gridCol w:w="869"/>
        <w:gridCol w:w="159"/>
      </w:tblGrid>
      <w:tr>
        <w:trPr/>
        <w:tc>
          <w:tcPr>
            <w:tcW w:w="185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(240,219)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Denominator for basic and diluted earnings per share-weighted-average common shares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25,788,747 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11,538,308 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23,777,327 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9,741,250 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income per share</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Reverse Stock Split, the Company has retroactively adjusted the weighted-average number of shares of common stock outstanding prior to the Reverse Stock Split by a ratio of 1-for-33 to determine the number of shares of common stock into which they converted.</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the outstanding shares of potentially dilutive securities that were excluded from the computation of diluted net loss per share attributable to common stockholders for the period presented because including them would have been anti-dilutive: </w:t>
      </w:r>
    </w:p>
    <w:tbl>
      <w:tblPr>
        <w:tblW w:w="8185" w:type="dxa"/>
        <w:jc w:val="left"/>
        <w:tblInd w:w="0" w:type="dxa"/>
        <w:tblLayout w:type="fixed"/>
        <w:tblCellMar>
          <w:top w:w="28" w:type="dxa"/>
          <w:left w:w="28" w:type="dxa"/>
          <w:bottom w:w="28" w:type="dxa"/>
          <w:right w:w="28" w:type="dxa"/>
        </w:tblCellMar>
      </w:tblPr>
      <w:tblGrid>
        <w:gridCol w:w="1989"/>
        <w:gridCol w:w="1745"/>
        <w:gridCol w:w="1755"/>
        <w:gridCol w:w="488"/>
        <w:gridCol w:w="488"/>
        <w:gridCol w:w="156"/>
        <w:gridCol w:w="125"/>
        <w:gridCol w:w="125"/>
        <w:gridCol w:w="125"/>
        <w:gridCol w:w="488"/>
        <w:gridCol w:w="488"/>
        <w:gridCol w:w="213"/>
      </w:tblGrid>
      <w:tr>
        <w:trPr/>
        <w:tc>
          <w:tcPr>
            <w:tcW w:w="1989"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options and RSUs to purchase Class A common stock</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2,321,011 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1,699,949 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warrants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666,515 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666,515 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earn-out shares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532,367 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earn-out RSUs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2,987,526 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2,942,875 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14. Restructuring Costs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provides certain information concerning restructuring activity during the nine months ended September 30, 2023: </w:t>
      </w:r>
    </w:p>
    <w:tbl>
      <w:tblPr>
        <w:tblW w:w="10205" w:type="dxa"/>
        <w:jc w:val="center"/>
        <w:tblInd w:w="0" w:type="dxa"/>
        <w:tblLayout w:type="fixed"/>
        <w:tblCellMar>
          <w:top w:w="28" w:type="dxa"/>
          <w:left w:w="28" w:type="dxa"/>
          <w:bottom w:w="28" w:type="dxa"/>
          <w:right w:w="28" w:type="dxa"/>
        </w:tblCellMar>
      </w:tblPr>
      <w:tblGrid>
        <w:gridCol w:w="342"/>
        <w:gridCol w:w="301"/>
        <w:gridCol w:w="303"/>
        <w:gridCol w:w="539"/>
        <w:gridCol w:w="1574"/>
        <w:gridCol w:w="279"/>
        <w:gridCol w:w="109"/>
        <w:gridCol w:w="109"/>
        <w:gridCol w:w="109"/>
        <w:gridCol w:w="447"/>
        <w:gridCol w:w="1307"/>
        <w:gridCol w:w="231"/>
        <w:gridCol w:w="109"/>
        <w:gridCol w:w="109"/>
        <w:gridCol w:w="109"/>
        <w:gridCol w:w="299"/>
        <w:gridCol w:w="961"/>
        <w:gridCol w:w="154"/>
        <w:gridCol w:w="109"/>
        <w:gridCol w:w="109"/>
        <w:gridCol w:w="109"/>
        <w:gridCol w:w="533"/>
        <w:gridCol w:w="1558"/>
        <w:gridCol w:w="396"/>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Reserve Balance at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Charged to Costs and Expenses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Reserve Balance at September 30, 2023</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2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4,548 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2022, the Company announced its strategic realignment resulting in the exit of its reproductive and women’s health testing business, which included carrier screening, noninvasive prenatal, and other ancillary reproductive testing offerings. The Company ceased accepting samples for these tests on December 14, 2022 and notified its customers impacted by the decision immediately. As a result, the Company eliminated approximately 500 positions, and ceased operations at its Stamford, CT laboratory. When combined with the Company’s prior reductions in workforce during 2022, the exit resulted in the elimination of approximately 32.5% of the Company’s workforce which existed at the time of the announcement. During 2023, the Company has continued to realign the organization and reduced its overall workforce. The Company expects that all remaining cash severance payments will be complete in less than one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333" w:before="200" w:after="283"/>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before="200" w:after="18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restructuring costs for the three and nine months ended September 30, 2023 and 2022 were as follows:</w:t>
      </w:r>
    </w:p>
    <w:tbl>
      <w:tblPr>
        <w:tblW w:w="6499" w:type="dxa"/>
        <w:jc w:val="center"/>
        <w:tblInd w:w="0" w:type="dxa"/>
        <w:tblLayout w:type="fixed"/>
        <w:tblCellMar>
          <w:top w:w="28" w:type="dxa"/>
          <w:left w:w="28" w:type="dxa"/>
          <w:bottom w:w="28" w:type="dxa"/>
          <w:right w:w="28" w:type="dxa"/>
        </w:tblCellMar>
      </w:tblPr>
      <w:tblGrid>
        <w:gridCol w:w="342"/>
        <w:gridCol w:w="301"/>
        <w:gridCol w:w="303"/>
        <w:gridCol w:w="253"/>
        <w:gridCol w:w="739"/>
        <w:gridCol w:w="130"/>
        <w:gridCol w:w="130"/>
        <w:gridCol w:w="130"/>
        <w:gridCol w:w="130"/>
        <w:gridCol w:w="253"/>
        <w:gridCol w:w="739"/>
        <w:gridCol w:w="130"/>
        <w:gridCol w:w="109"/>
        <w:gridCol w:w="109"/>
        <w:gridCol w:w="109"/>
        <w:gridCol w:w="233"/>
        <w:gridCol w:w="680"/>
        <w:gridCol w:w="120"/>
        <w:gridCol w:w="120"/>
        <w:gridCol w:w="120"/>
        <w:gridCol w:w="120"/>
        <w:gridCol w:w="233"/>
        <w:gridCol w:w="796"/>
        <w:gridCol w:w="170"/>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18,554 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Cost Saving Initiatives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September 30, 2023, on October 30, 2023, the Company announced a continued strategic realignment of its organization to key priorities which includes the elimination of approximately 50 positions impacted on August 23, 2023 and approximately 35 positions impacted on October 30, 2023. Together these actions reduced the size of the Company’s workforce by 10% from the total number that existed at the time of the August reduction in force. In total, the Company announced cost saving initiatives, including but not limited to these reductions in force, that are expected to amount to approximately $40 million in annual cost reduction.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15. Supplemental Financial Information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consisted of the following (in thousands):</w:t>
      </w:r>
    </w:p>
    <w:tbl>
      <w:tblPr>
        <w:tblW w:w="5679" w:type="dxa"/>
        <w:jc w:val="left"/>
        <w:tblInd w:w="0" w:type="dxa"/>
        <w:tblLayout w:type="fixed"/>
        <w:tblCellMar>
          <w:top w:w="28" w:type="dxa"/>
          <w:left w:w="28" w:type="dxa"/>
          <w:bottom w:w="28" w:type="dxa"/>
          <w:right w:w="28" w:type="dxa"/>
        </w:tblCellMar>
      </w:tblPr>
      <w:tblGrid>
        <w:gridCol w:w="820"/>
        <w:gridCol w:w="720"/>
        <w:gridCol w:w="724"/>
        <w:gridCol w:w="313"/>
        <w:gridCol w:w="1070"/>
        <w:gridCol w:w="161"/>
        <w:gridCol w:w="109"/>
        <w:gridCol w:w="109"/>
        <w:gridCol w:w="109"/>
        <w:gridCol w:w="273"/>
        <w:gridCol w:w="1072"/>
        <w:gridCol w:w="199"/>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87,387 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123,933 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88,287 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138,303 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at December 31, 2022 included $12.1 million held in escrow in connection with the closing of the Acquisition which was released upon expiration of the one year escrow period in May 2023. Restricted cash at September 30, 2023 consisted of money market deposit accounts that secure an irrevocable standby letter of credit that serves as collateral for security deposit operating leases.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at September 30, 2022 included $0.9 million money market deposit accounts that secure an irrevocable standby letter of credit that serves as collateral for security deposit operating leases. Restricted cash as of September 30, 2022 also included $13.5 million escrow fund related to the closing of the Acquisition of GeneDx as mentioned above and was recorded in non-current assets on the condensed consolidated balance sheets.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 (in thousands):</w:t>
      </w:r>
    </w:p>
    <w:tbl>
      <w:tblPr>
        <w:tblW w:w="5110" w:type="dxa"/>
        <w:jc w:val="left"/>
        <w:tblInd w:w="0" w:type="dxa"/>
        <w:tblLayout w:type="fixed"/>
        <w:tblCellMar>
          <w:top w:w="28" w:type="dxa"/>
          <w:left w:w="28" w:type="dxa"/>
          <w:bottom w:w="28" w:type="dxa"/>
          <w:right w:w="28" w:type="dxa"/>
        </w:tblCellMar>
      </w:tblPr>
      <w:tblGrid>
        <w:gridCol w:w="614"/>
        <w:gridCol w:w="538"/>
        <w:gridCol w:w="542"/>
        <w:gridCol w:w="313"/>
        <w:gridCol w:w="1070"/>
        <w:gridCol w:w="161"/>
        <w:gridCol w:w="109"/>
        <w:gridCol w:w="109"/>
        <w:gridCol w:w="109"/>
        <w:gridCol w:w="300"/>
        <w:gridCol w:w="1026"/>
        <w:gridCol w:w="219"/>
      </w:tblGrid>
      <w:tr>
        <w:trPr/>
        <w:tc>
          <w:tcPr>
            <w:tcW w:w="6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31,682 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Other assets consisted of the following (in thousands):</w:t>
      </w:r>
    </w:p>
    <w:tbl>
      <w:tblPr>
        <w:tblW w:w="5591" w:type="dxa"/>
        <w:jc w:val="left"/>
        <w:tblInd w:w="0" w:type="dxa"/>
        <w:tblLayout w:type="fixed"/>
        <w:tblCellMar>
          <w:top w:w="28" w:type="dxa"/>
          <w:left w:w="28" w:type="dxa"/>
          <w:bottom w:w="28" w:type="dxa"/>
          <w:right w:w="28" w:type="dxa"/>
        </w:tblCellMar>
      </w:tblPr>
      <w:tblGrid>
        <w:gridCol w:w="787"/>
        <w:gridCol w:w="691"/>
        <w:gridCol w:w="697"/>
        <w:gridCol w:w="348"/>
        <w:gridCol w:w="1017"/>
        <w:gridCol w:w="180"/>
        <w:gridCol w:w="109"/>
        <w:gridCol w:w="109"/>
        <w:gridCol w:w="109"/>
        <w:gridCol w:w="332"/>
        <w:gridCol w:w="970"/>
        <w:gridCol w:w="242"/>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restricted cash</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7,385 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333" w:before="200" w:after="283"/>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before="200" w:after="18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payable and accrued expenses consisted of the following (in thousands): </w:t>
      </w:r>
    </w:p>
    <w:tbl>
      <w:tblPr>
        <w:tblW w:w="5621" w:type="dxa"/>
        <w:jc w:val="left"/>
        <w:tblInd w:w="0" w:type="dxa"/>
        <w:tblLayout w:type="fixed"/>
        <w:tblCellMar>
          <w:top w:w="28" w:type="dxa"/>
          <w:left w:w="28" w:type="dxa"/>
          <w:bottom w:w="28" w:type="dxa"/>
          <w:right w:w="28" w:type="dxa"/>
        </w:tblCellMar>
      </w:tblPr>
      <w:tblGrid>
        <w:gridCol w:w="799"/>
        <w:gridCol w:w="702"/>
        <w:gridCol w:w="704"/>
        <w:gridCol w:w="313"/>
        <w:gridCol w:w="1070"/>
        <w:gridCol w:w="161"/>
        <w:gridCol w:w="109"/>
        <w:gridCol w:w="109"/>
        <w:gridCol w:w="109"/>
        <w:gridCol w:w="300"/>
        <w:gridCol w:w="1026"/>
        <w:gridCol w:w="219"/>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purchases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Third party payor reserve </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84,878 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consisted of the following (in thousands):</w:t>
      </w:r>
    </w:p>
    <w:tbl>
      <w:tblPr>
        <w:tblW w:w="8215" w:type="dxa"/>
        <w:jc w:val="left"/>
        <w:tblInd w:w="0" w:type="dxa"/>
        <w:tblLayout w:type="fixed"/>
        <w:tblCellMar>
          <w:top w:w="28" w:type="dxa"/>
          <w:left w:w="28" w:type="dxa"/>
          <w:bottom w:w="28" w:type="dxa"/>
          <w:right w:w="28" w:type="dxa"/>
        </w:tblCellMar>
      </w:tblPr>
      <w:tblGrid>
        <w:gridCol w:w="1739"/>
        <w:gridCol w:w="1526"/>
        <w:gridCol w:w="1534"/>
        <w:gridCol w:w="313"/>
        <w:gridCol w:w="1070"/>
        <w:gridCol w:w="161"/>
        <w:gridCol w:w="109"/>
        <w:gridCol w:w="109"/>
        <w:gridCol w:w="109"/>
        <w:gridCol w:w="300"/>
        <w:gridCol w:w="1026"/>
        <w:gridCol w:w="219"/>
      </w:tblGrid>
      <w:tr>
        <w:trPr/>
        <w:tc>
          <w:tcPr>
            <w:tcW w:w="173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benefits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commissions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severance</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liabilities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the contingent consideration liabilities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49,705 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Other liabilities consisted of the following (in thousands):</w:t>
      </w:r>
    </w:p>
    <w:tbl>
      <w:tblPr>
        <w:tblW w:w="5875" w:type="dxa"/>
        <w:jc w:val="left"/>
        <w:tblInd w:w="0" w:type="dxa"/>
        <w:tblLayout w:type="fixed"/>
        <w:tblCellMar>
          <w:top w:w="28" w:type="dxa"/>
          <w:left w:w="28" w:type="dxa"/>
          <w:bottom w:w="28" w:type="dxa"/>
          <w:right w:w="28" w:type="dxa"/>
        </w:tblCellMar>
      </w:tblPr>
      <w:tblGrid>
        <w:gridCol w:w="892"/>
        <w:gridCol w:w="781"/>
        <w:gridCol w:w="786"/>
        <w:gridCol w:w="313"/>
        <w:gridCol w:w="1070"/>
        <w:gridCol w:w="161"/>
        <w:gridCol w:w="109"/>
        <w:gridCol w:w="109"/>
        <w:gridCol w:w="109"/>
        <w:gridCol w:w="300"/>
        <w:gridCol w:w="1026"/>
        <w:gridCol w:w="219"/>
      </w:tblGrid>
      <w:tr>
        <w:trPr/>
        <w:tc>
          <w:tcPr>
            <w:tcW w:w="89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contingent liability</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Third party payor reserve </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24,018 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16. Segment Reporting</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business is aligned with how the chief operating decision maker (“CODM”) reviews performance and makes decisions in managing the Company. At September 30, 2023, the Company has identified two reportable segments: (i) GeneDx inclusive of Legacy GeneDx and Legacy Sema4 data revenues and associated costs and (ii) Legacy Sema4 diagnostics. The GeneDx segment primarily provides pediatric and rare disease diagnostics with a focus on whole exome and genome sequencing and, to a lesser extent, data and information services. The Legacy Sema4 diagnostics segment provided reproductive and women’s health and somatic oncology diagnostic testing and screening products and has been completely shut down. Segment information is consistent with how management reviews the business, makes investing and resource allocation decisions and assesses operating performance. The CODM evaluates segment performance based on revenue and adjusted gross margin.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333" w:before="200" w:after="283"/>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before="200" w:after="180"/>
        <w:jc w:val="center"/>
        <w:rPr/>
      </w:pPr>
      <w:r>
        <w:rPr/>
      </w:r>
    </w:p>
    <w:tbl>
      <w:tblPr>
        <w:tblW w:w="10205" w:type="dxa"/>
        <w:jc w:val="left"/>
        <w:tblInd w:w="0" w:type="dxa"/>
        <w:tblLayout w:type="fixed"/>
        <w:tblCellMar>
          <w:top w:w="28" w:type="dxa"/>
          <w:left w:w="28" w:type="dxa"/>
          <w:bottom w:w="28" w:type="dxa"/>
          <w:right w:w="28" w:type="dxa"/>
        </w:tblCellMar>
      </w:tblPr>
      <w:tblGrid>
        <w:gridCol w:w="873"/>
        <w:gridCol w:w="648"/>
        <w:gridCol w:w="606"/>
        <w:gridCol w:w="211"/>
        <w:gridCol w:w="721"/>
        <w:gridCol w:w="109"/>
        <w:gridCol w:w="109"/>
        <w:gridCol w:w="109"/>
        <w:gridCol w:w="109"/>
        <w:gridCol w:w="246"/>
        <w:gridCol w:w="721"/>
        <w:gridCol w:w="127"/>
        <w:gridCol w:w="109"/>
        <w:gridCol w:w="109"/>
        <w:gridCol w:w="109"/>
        <w:gridCol w:w="211"/>
        <w:gridCol w:w="721"/>
        <w:gridCol w:w="109"/>
        <w:gridCol w:w="109"/>
        <w:gridCol w:w="109"/>
        <w:gridCol w:w="109"/>
        <w:gridCol w:w="211"/>
        <w:gridCol w:w="721"/>
        <w:gridCol w:w="109"/>
        <w:gridCol w:w="109"/>
        <w:gridCol w:w="109"/>
        <w:gridCol w:w="109"/>
        <w:gridCol w:w="230"/>
        <w:gridCol w:w="787"/>
        <w:gridCol w:w="118"/>
        <w:gridCol w:w="109"/>
        <w:gridCol w:w="109"/>
        <w:gridCol w:w="109"/>
        <w:gridCol w:w="211"/>
        <w:gridCol w:w="721"/>
        <w:gridCol w:w="159"/>
      </w:tblGrid>
      <w:tr>
        <w:trPr/>
        <w:tc>
          <w:tcPr>
            <w:tcW w:w="87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8"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r>
      <w:tr>
        <w:trPr/>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GeneDx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Legacy Sema4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GeneDx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Legacy Sema4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gross profit </w:t>
            </w:r>
            <w:r>
              <w:rPr>
                <w:rFonts w:ascii="Times New Roman;sans-serif" w:hAnsi="Times New Roman;sans-serif"/>
                <w:b w:val="false"/>
                <w:color w:val="000000"/>
                <w:sz w:val="13"/>
              </w:rPr>
              <w:t>(1)</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(6,006)</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04"/>
        <w:gridCol w:w="470"/>
        <w:gridCol w:w="472"/>
        <w:gridCol w:w="211"/>
        <w:gridCol w:w="826"/>
        <w:gridCol w:w="109"/>
        <w:gridCol w:w="109"/>
        <w:gridCol w:w="109"/>
        <w:gridCol w:w="109"/>
        <w:gridCol w:w="232"/>
        <w:gridCol w:w="680"/>
        <w:gridCol w:w="120"/>
        <w:gridCol w:w="109"/>
        <w:gridCol w:w="109"/>
        <w:gridCol w:w="109"/>
        <w:gridCol w:w="211"/>
        <w:gridCol w:w="826"/>
        <w:gridCol w:w="109"/>
        <w:gridCol w:w="109"/>
        <w:gridCol w:w="109"/>
        <w:gridCol w:w="109"/>
        <w:gridCol w:w="211"/>
        <w:gridCol w:w="721"/>
        <w:gridCol w:w="109"/>
        <w:gridCol w:w="109"/>
        <w:gridCol w:w="109"/>
        <w:gridCol w:w="109"/>
        <w:gridCol w:w="214"/>
        <w:gridCol w:w="840"/>
        <w:gridCol w:w="110"/>
        <w:gridCol w:w="109"/>
        <w:gridCol w:w="109"/>
        <w:gridCol w:w="109"/>
        <w:gridCol w:w="211"/>
        <w:gridCol w:w="826"/>
        <w:gridCol w:w="158"/>
      </w:tblGrid>
      <w:tr>
        <w:trPr/>
        <w:tc>
          <w:tcPr>
            <w:tcW w:w="90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9"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GeneDx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Legacy Sema4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GeneDx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Legacy Sema4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101,628 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173,344 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gross profit (loss) </w:t>
            </w:r>
            <w:r>
              <w:rPr>
                <w:rFonts w:ascii="Times New Roman;sans-serif" w:hAnsi="Times New Roman;sans-serif"/>
                <w:b w:val="false"/>
                <w:color w:val="000000"/>
                <w:sz w:val="13"/>
              </w:rPr>
              <w:t>(1)</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(39,688)</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(10,424)</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(1)Adjusted Cost of Services and Adjusted Gross Profit exclude depreciation and amortization expense, stock-based compensation expense and restructuring costs.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Prior period comparable results have been reclassified to conform with the Company’s current two reportable segment presentation.</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manages assets on a total company basis, not by reporting segment. The CODM does not regularly review any asset information by reporting segment and, accordingly, the Company does not report asset information by reporting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333" w:before="0" w:after="180"/>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our unaudited condensed consolidated financial statements and related notes appearing elsewhere in this Quarterly Report and our audited financial statements for the year ended December 31, 2022 and the related notes in our Annual Report on Form 10-K for the year ended December 31, 2022.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genomics company—one that sits at the intersection of diagnostics and data science, pairing decades of genomic expertise with an ability to interpret clinical data at scale. We are focused on delivering personalized and actionable health insights to inform diagnosis, direct treatment and improve drug discovery. We believe we are well-positioned to accelerate the use of genomics and leverage large-scale clinical data to enable precision medicine as the standard of care. Our initial focus is in pediatric and rare diseases, two areas in which we believe we have competitive advantage and can deliver on our vision today. </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Corporate History Overview</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Mount Sinai Genomics, Inc. d/b/a as Sema4 (“Legacy Sema4”) was established out of the Mount Sinai Health System and commenced operations as a commercial entity on June 1, 2017. Legacy Sema4 derived the majority of its revenue from diagnostic testing services, which primarily related to reproductive and women’s health and somatic tumor testing. In addition, between May 2020 through March 31, 2022, Legacy Sema4 provided COVID-19 diagnostic testing services.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GeneDx, LLC (formerly, GeneDx, Inc.) (“Legacy GeneDx”), which derives its revenue primarily from diagnostic testing services, including revenue related to exome sequencing and whole genome sequencing, was acquired by the Company on April 29, 2022 (the “Acquisition”). The diagnostic testing services businesses of Legacy Sema4 were discontinued as of the end of the first quarter of 2023, and our continuing operations now include the combination of the Legacy GeneDx diagnostic testing services business with the data and information business of Legacy Sema4. </w:t>
      </w:r>
    </w:p>
    <w:p>
      <w:pPr>
        <w:pStyle w:val="TextBody"/>
        <w:bidi w:val="0"/>
        <w:spacing w:lineRule="auto" w:line="288" w:before="0" w:after="200"/>
        <w:jc w:val="both"/>
        <w:rPr/>
      </w:pPr>
      <w:r>
        <w:rPr>
          <w:rFonts w:ascii="Times New Roman;sans-serif" w:hAnsi="Times New Roman;sans-serif"/>
          <w:b w:val="false"/>
          <w:color w:val="000000"/>
          <w:sz w:val="20"/>
        </w:rPr>
        <w:t>Additional information on Legacy GeneDx and Legacy Sema4 can be found in the audited financial statements in Note 1, “</w:t>
      </w:r>
      <w:r>
        <w:rPr>
          <w:rFonts w:ascii="Times New Roman;sans-serif" w:hAnsi="Times New Roman;sans-serif"/>
          <w:b w:val="false"/>
          <w:i/>
          <w:color w:val="000000"/>
          <w:sz w:val="20"/>
        </w:rPr>
        <w:t>Organization and Description of Business</w:t>
      </w:r>
      <w:r>
        <w:rPr>
          <w:color w:val="000000"/>
        </w:rPr>
        <w:t xml:space="preserve">” </w:t>
      </w:r>
      <w:r>
        <w:rPr>
          <w:rFonts w:ascii="Times New Roman;sans-serif" w:hAnsi="Times New Roman;sans-serif"/>
          <w:b w:val="false"/>
          <w:color w:val="000000"/>
          <w:sz w:val="20"/>
        </w:rPr>
        <w:t>included within our Annual Report on Form 10-K for the year ended December 31, 2022, and our condensed consolidated financial statements in Note 1, “</w:t>
      </w:r>
      <w:r>
        <w:rPr>
          <w:rFonts w:ascii="Times New Roman;sans-serif" w:hAnsi="Times New Roman;sans-serif"/>
          <w:b w:val="false"/>
          <w:i/>
          <w:color w:val="000000"/>
          <w:sz w:val="20"/>
        </w:rPr>
        <w:t>Organization and Description of Business</w:t>
      </w:r>
      <w:r>
        <w:rPr>
          <w:color w:val="000000"/>
        </w:rPr>
        <w:t xml:space="preserve">” </w:t>
      </w:r>
      <w:r>
        <w:rPr>
          <w:rFonts w:ascii="Times New Roman;sans-serif" w:hAnsi="Times New Roman;sans-serif"/>
          <w:b w:val="false"/>
          <w:color w:val="000000"/>
          <w:sz w:val="20"/>
        </w:rPr>
        <w:t xml:space="preserve">included within this Quarterly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bidi w:val="0"/>
        <w:spacing w:lineRule="auto" w:line="288" w:before="0" w:after="200"/>
        <w:jc w:val="both"/>
        <w:rPr/>
      </w:pPr>
      <w:r>
        <w:rPr>
          <w:rFonts w:ascii="Times New Roman;sans-serif" w:hAnsi="Times New Roman;sans-serif"/>
          <w:b w:val="false"/>
          <w:color w:val="000000"/>
          <w:sz w:val="20"/>
        </w:rPr>
        <w:t>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Times New Roman;sans-serif" w:hAnsi="Times New Roman;sans-serif"/>
          <w:b w:val="false"/>
          <w:i/>
          <w:color w:val="000000"/>
          <w:sz w:val="20"/>
        </w:rPr>
        <w:t>Item 1A. Risk Factors</w:t>
      </w:r>
      <w:r>
        <w:rPr>
          <w:color w:val="000000"/>
        </w:rPr>
        <w:t xml:space="preserve">” </w:t>
      </w:r>
      <w:r>
        <w:rPr>
          <w:rFonts w:ascii="Times New Roman;sans-serif" w:hAnsi="Times New Roman;sans-serif"/>
          <w:b w:val="false"/>
          <w:color w:val="000000"/>
          <w:sz w:val="20"/>
        </w:rPr>
        <w:t xml:space="preserve">in this Quarterly Report and in our Quarterly Report on Form 10-Q for the quarter ended June 30, 2023, which is incorporated by reference in this Quarterly Report, for further information. </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Number of resulted tests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test is resulted once the appropriate workflow is completed and details are provided to the ordered patients or healthcare professional for reviews, which corresponds to the timing of our revenue recognition. We believe the number of resulted tests in any period is important and useful to our investors because it directly correlates with long-term patient relationships and the size of our genomic database. </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Success obtaining and maintaining reimbursement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333" w:before="0" w:after="180"/>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Third-party payors may decide to deny payment or seek to recoup payments for tests performed by us that they contend were improperly billed, not medically necessary or against their coverage determinations, or for which they believe they have otherwise overpaid. As a result, we may be required to refund payments already received, and our revenues may be subject to retroactive adjustment as a result of these factors among others.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 </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Ability to lower the costs associated with performing our tests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Increasing adoption of our services by existing and new customers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Investment in platform innovation to support commercial growth</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are seeking to leverage and deploy our platforms to develop a pipeline of future disease-specific research and diagnostic and therapeutic products and services. We have limited experience in the development or commercialization of clinical or research products in connection with our database and platform.</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COVID-19 Impact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our test volumes improved to what would, at this time, be considered normalized market conditions. A COVID-19 resurgence in the United States could however have a material impact on our results of operations, cash flows, and financial condition.</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Coronavirus Aid, Relief and Economic Security Act (“CARES Act”), was signed into law. The CARES Act was a stimulus bill that, among other things, provided assistance to qualifying businesses and individuals and included funding for the healthcare system. We received $5.4 million in 2020 as part of the stimulus, comprised of $2.6 million received under the Provider Relief Fund (the “PRF”), and $2.8 million received under the Employee Retention Credit (the “ERC”). In 2021, we received an additional $5.6 million under the PRF.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333" w:before="0" w:after="180"/>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Funds provided under the PRF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funds received under the PRF distribution have been met. As a result, we recorded the funds received under the PRF in other expense (income), net in the statements of operations and comprehensive loss during the periods in which we received the funds.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Funds provided under the ERC are refundable tax credits for 50% of qualified wages paid to employees during the pandemic. A company is eligible for the ERC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have re-evaluated our position and concluded that the funds received under the ERC needed to be repaid back. Therefore, in July 2023, we remitted $2.7 million of payment and reduced a liability initially recorded in other current liabilities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Key Performance Indicators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 and financial condition together with our condensed consolidated financial statements and the related notes and other financial information included elsewhere in this report.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resulted and the mix of test results, with a focus on driving whole exome and whole genome sequencing, are key indicators that we use to assess the operational efficiency of our business. Once the appropriate workflow is completed, the test is resulted and details are provided to ordered patients or healthcare professionals for reviews.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we resulted 165,339 tests, of which all were processed by the Legacy GeneDx laboratory compared to the period ended September 30, 2022, in which we resulted approximately 276,171 tests in Legacy Sema4 and Legacy GeneDx laboratories. The volume decrease from 2022 to 2023 can be primarily attributed to the Company’s decision to terminate its Legacy Sema4 reproductive health and somatic oncology testing activities in 2022. This was partially compensated by the addition of volumes from Legacy GeneDx’s laboratory subsequent to the Acquisition’s closing, as elaborated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Key Components of Results of Operations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Diagnostic Test Revenue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revenue is derived from genetic and genomic diagnostic testing services for three groups of customers: healthcare professionals working with patients with third-party insurance coverage or without third-party insurance coverage, institutional clients such as hospitals, clinics, state governments and reference laboratories, and self-pay patients.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 The now discontinued Legacy Sema4 diagnostics business previously provided reproductive and women’s health testing and screening, as well as somatic tumor testing. Our ability to increase our diagnostic test revenue will depend on our ability to increase our market penetration, obtain contracted reimbursement coverage from third-party payors, enter into contracts with institutions, and increase our reimbursement rate for tests performed.</w:t>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Revenue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generate revenue from collaboration service agreements with biopharma companies and other third parties pursuant to which we provide health information and patient identification support services. Certain of these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333" w:before="0" w:after="180"/>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provide non-refundable payments, which we record as contract liabilities, and variable payments based upon the achievement of certain milestones during the contract term.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existing collaboration and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Cost of Services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services reflect the aggregate costs incurred in performing services, which include expenses for reagents and laboratory supplies, personnel-related expenses (comprising salaries and benefits) and stock-based compensation for employees directly involved in revenue generating activities, shipping and handling fees, costs of third-party reference lab testing and phlebotomy services, if any, and allocated genetic counseling, facility and IT costs associated with delivery services. Allocated costs include depreciation of laboratory equipment, facility occupancy, and information technology costs. The cost of services are recorded as the services are performed.</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Selling and Marketing Expenses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and marketing expenses primarily consist of personnel-related expenses (comprising salaries and benefits) and stock-based compensation for employees performing commercial sales, account management, marketing, and allocation of genetic counseling services for GeneDx. Allocated genetic counseling service cost for Legacy Sema4 is recorded as general and administrative expenses as the activities are not expected to support selling and marketing expenses of Legacy Sema4. Selling and marketing costs are expensed as incurred.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primarily consist of personnel-related expenses (comprising salaries and benefits) and stock-based compensation for employees in executive leadership, legal, finance and accounting, human resources, information technology, and other administrative functions. In addition, these expenses include office occupancy and information technology costs. General and administrative costs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333" w:before="0" w:after="180"/>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Nasdaq and of the SEC, director and officer insurance premiums. We expect these expenses to decrease as a percentage of revenue in the long term as revenue increases, although the percentage may fluctuate from period to period due to fluctuations in our compensation-related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Comparison of the three months ended September 30, 2023 and 2022</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periods presented:</w:t>
      </w:r>
    </w:p>
    <w:tbl>
      <w:tblPr>
        <w:tblW w:w="10205" w:type="dxa"/>
        <w:jc w:val="left"/>
        <w:tblInd w:w="0" w:type="dxa"/>
        <w:tblLayout w:type="fixed"/>
        <w:tblCellMar>
          <w:top w:w="28" w:type="dxa"/>
          <w:left w:w="28" w:type="dxa"/>
          <w:bottom w:w="28" w:type="dxa"/>
          <w:right w:w="28" w:type="dxa"/>
        </w:tblCellMar>
      </w:tblPr>
      <w:tblGrid>
        <w:gridCol w:w="1840"/>
        <w:gridCol w:w="1538"/>
        <w:gridCol w:w="1529"/>
        <w:gridCol w:w="211"/>
        <w:gridCol w:w="781"/>
        <w:gridCol w:w="109"/>
        <w:gridCol w:w="109"/>
        <w:gridCol w:w="109"/>
        <w:gridCol w:w="109"/>
        <w:gridCol w:w="211"/>
        <w:gridCol w:w="781"/>
        <w:gridCol w:w="109"/>
        <w:gridCol w:w="109"/>
        <w:gridCol w:w="109"/>
        <w:gridCol w:w="109"/>
        <w:gridCol w:w="211"/>
        <w:gridCol w:w="781"/>
        <w:gridCol w:w="109"/>
        <w:gridCol w:w="109"/>
        <w:gridCol w:w="109"/>
        <w:gridCol w:w="109"/>
        <w:gridCol w:w="233"/>
        <w:gridCol w:w="233"/>
        <w:gridCol w:w="548"/>
      </w:tblGrid>
      <w:tr>
        <w:trPr/>
        <w:tc>
          <w:tcPr>
            <w:tcW w:w="1840"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4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r>
      <w:tr>
        <w:trPr/>
        <w:tc>
          <w:tcPr>
            <w:tcW w:w="49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53" w:after="30"/>
              <w:ind w:left="0" w:right="0" w:firstLine="36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(expenses), net</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market value of warrant and earn-out contingent liabilities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income, net</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and comprehensive loss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00"/>
        <w:jc w:val="left"/>
        <w:rPr>
          <w:rFonts w:ascii="Times New Roman;sans-serif" w:hAnsi="Times New Roman;sans-serif"/>
          <w:b w:val="false"/>
          <w:i/>
          <w:color w:val="000000"/>
          <w:sz w:val="18"/>
        </w:rPr>
      </w:pPr>
      <w:r>
        <w:rPr>
          <w:rFonts w:ascii="Times New Roman;sans-serif" w:hAnsi="Times New Roman;sans-serif"/>
          <w:b w:val="false"/>
          <w:i/>
          <w:color w:val="000000"/>
          <w:sz w:val="18"/>
        </w:rPr>
        <w:t>NM - Not Meaningful</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decreased by $29.9 million, or 36%, to $53.3 million for the three months ended September 30, 2023, from $83.2 million for the three months ended September 30, 2022.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Diagnostic test revenue decreased by $29.5 million, or 36%, to $52.0 million for the three months ended September 30, 2023, from $81.5 million for the three months ended September 30, 2022. The decrease primarily reflected $36.1 million in lower revenues from the now discontinued Legacy Sema4 business. This decrease was partially offset by an increase from Legacy GeneDx diagnostic testing revenues of $3.6 million driven by a $10.0 million, or 42%, increase in whole exome and genome sequencing revenues resulting from a 71% increase in test volumes partially offset by lower average reimbursement rates from exome tests and declines in other non-exome test revenues.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decreased by $0.4 million, or 23%, to $1.3 million for the three months ended September 30, 2023, from $1.7 million for the three months ended September 30, 2022 due the lower revenues from the now discontinued Legacy Sema4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333" w:before="0" w:after="180"/>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increased by $11.7 million or 86%, to $25.3 million for the three months ended September 30, 2023, from $13.5 million for the three months ended September 30, 2022. The increase was driven by a combination of lower cost of services from the now discontinued Legacy Sema4 business and improved margins from Legacy GeneDx. The gross profit performance from Legacy GeneDx reflected favorable volume mix shift to higher margin whole exome and genome tests, partially offset by lower average cost per test associated with these tests.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increased by $0.9 million, or 7%, to $14.3 million for the three months ended September 30, 2023, from $13.4 million for the three months ended September 30, 2022. The increase was primarily attributable to costs associated with a Guardian newborn screening study which commenced in the fourth quarter of 2022. In addition, the prior period included a $7.6 million reversal of stock compensation expense resulting from forfeitures of unvested equity awards by employees terminated from the now discontinued Legacy Sema4 business.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Selling and Marketing</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 decreased by $17.6 million, or 51%, to $16.8 million for the three months ended September 30, 2023, from $34.4 million for the three months ended September 30, 2022. The decrease was primarily attributable to lower costs from the now discontinued Legacy Sema4 business, partially offset by an increase in Legacy GeneDx costs which were in line with the increase in revenue for the business.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decreased by $28.8 million, or 52%, to $26.1 million for the three months ended September 30, 2023, from $54.9 million for the three months ended September 30, 2022. The decrease was primarily attributable to lower current period costs from the now discontinued Legacy Sema4 business and a $4.9 million reversal of stock compensation expense in the current period resulting from forfeitures of unvested equity awards by employees terminated in connection with recent headcount reduction actions. The decrease was partially offset by $3.3 million of accelerated depreciation recorded in the current period to write down the remaining assets at the two closed Legacy Sema4 labs.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Impairment Loss</w:t>
      </w:r>
    </w:p>
    <w:p>
      <w:pPr>
        <w:pStyle w:val="TextBody"/>
        <w:bidi w:val="0"/>
        <w:spacing w:lineRule="auto" w:line="288" w:before="0" w:after="200"/>
        <w:jc w:val="both"/>
        <w:rPr/>
      </w:pPr>
      <w:r>
        <w:rPr>
          <w:rFonts w:ascii="Times New Roman;sans-serif" w:hAnsi="Times New Roman;sans-serif"/>
          <w:b w:val="false"/>
          <w:color w:val="000000"/>
          <w:sz w:val="20"/>
        </w:rPr>
        <w:t>The non-cash charge of $8.3 million reflected the impairment of certain capital and right-of-use asset leases. See Note 6, “</w:t>
      </w:r>
      <w:r>
        <w:rPr>
          <w:rFonts w:ascii="Times New Roman;sans-serif" w:hAnsi="Times New Roman;sans-serif"/>
          <w:b w:val="false"/>
          <w:i/>
          <w:color w:val="000000"/>
          <w:sz w:val="20"/>
        </w:rPr>
        <w:t>Property and Equipment, net</w:t>
      </w:r>
      <w:r>
        <w:rPr>
          <w:color w:val="000000"/>
        </w:rPr>
        <w:t xml:space="preserve">” </w:t>
      </w:r>
      <w:r>
        <w:rPr>
          <w:rFonts w:ascii="Times New Roman;sans-serif" w:hAnsi="Times New Roman;sans-serif"/>
          <w:b w:val="false"/>
          <w:color w:val="000000"/>
          <w:sz w:val="20"/>
        </w:rPr>
        <w:t>to our unaudited condensed consolidated financial statements for further information.</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Other Operating Expenses, Net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operating expenses, net were $2.8 million for the three months ended September 30, 2023 as compared with $1.7 million for the three months ended September 30, 2022. The increase reflected a non-cash charge of $1.0 million in the current period to reserve for obsolete Legacy Sema4 inventory. </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Non-Operating Income, Net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Non-operating income, net decreased by $12.7 million, due to the significant decline in fair value of our warrant and earn-out contingent liabilities taken in the prior period and $1.0 million contract termination costs in the current period associated with the now discontinued Legacy Sema4 business, partially offset by interest income in the current period due to higher interest rates associated with money market funds established with proceeds from our public offering of Class A common stock in the first quarter of 2023. </w:t>
      </w:r>
    </w:p>
    <w:p>
      <w:pPr>
        <w:pStyle w:val="TextBody"/>
        <w:bidi w:val="0"/>
        <w:spacing w:lineRule="auto" w:line="288" w:before="0" w:after="200"/>
        <w:jc w:val="both"/>
        <w:rPr/>
      </w:pPr>
      <w:r>
        <w:rPr>
          <w:rFonts w:ascii="Times New Roman;sans-serif" w:hAnsi="Times New Roman;sans-serif"/>
          <w:b w:val="false"/>
          <w:color w:val="000000"/>
          <w:sz w:val="20"/>
        </w:rPr>
        <w:t>See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our condensed consolidated financial statements for further information on the changes in fair value of our warrant and earn-out contingent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333" w:before="0" w:after="180"/>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Comparison of the nine months ended September 30, 2023 and 2022</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periods presented:</w:t>
      </w:r>
    </w:p>
    <w:tbl>
      <w:tblPr>
        <w:tblW w:w="10205" w:type="dxa"/>
        <w:jc w:val="left"/>
        <w:tblInd w:w="0" w:type="dxa"/>
        <w:tblLayout w:type="fixed"/>
        <w:tblCellMar>
          <w:top w:w="28" w:type="dxa"/>
          <w:left w:w="28" w:type="dxa"/>
          <w:bottom w:w="28" w:type="dxa"/>
          <w:right w:w="28" w:type="dxa"/>
        </w:tblCellMar>
      </w:tblPr>
      <w:tblGrid>
        <w:gridCol w:w="1792"/>
        <w:gridCol w:w="1485"/>
        <w:gridCol w:w="1474"/>
        <w:gridCol w:w="211"/>
        <w:gridCol w:w="884"/>
        <w:gridCol w:w="109"/>
        <w:gridCol w:w="109"/>
        <w:gridCol w:w="109"/>
        <w:gridCol w:w="109"/>
        <w:gridCol w:w="211"/>
        <w:gridCol w:w="884"/>
        <w:gridCol w:w="109"/>
        <w:gridCol w:w="109"/>
        <w:gridCol w:w="109"/>
        <w:gridCol w:w="109"/>
        <w:gridCol w:w="211"/>
        <w:gridCol w:w="779"/>
        <w:gridCol w:w="109"/>
        <w:gridCol w:w="109"/>
        <w:gridCol w:w="109"/>
        <w:gridCol w:w="109"/>
        <w:gridCol w:w="209"/>
        <w:gridCol w:w="209"/>
        <w:gridCol w:w="548"/>
      </w:tblGrid>
      <w:tr>
        <w:trPr/>
        <w:tc>
          <w:tcPr>
            <w:tcW w:w="1792"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4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53" w:after="30"/>
              <w:ind w:left="0" w:right="0" w:firstLine="36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net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(expenses), net</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market value of warrant and earn-out contingent liabilities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income, net</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00"/>
        <w:jc w:val="left"/>
        <w:rPr>
          <w:rFonts w:ascii="Times New Roman;sans-serif" w:hAnsi="Times New Roman;sans-serif"/>
          <w:b w:val="false"/>
          <w:i/>
          <w:color w:val="000000"/>
          <w:sz w:val="18"/>
        </w:rPr>
      </w:pPr>
      <w:r>
        <w:rPr>
          <w:rFonts w:ascii="Times New Roman;sans-serif" w:hAnsi="Times New Roman;sans-serif"/>
          <w:b w:val="false"/>
          <w:i/>
          <w:color w:val="000000"/>
          <w:sz w:val="18"/>
        </w:rPr>
        <w:t>NM - Not Meaningful</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decreased by $28.2 million, or 16%, to $145.1 million for the nine months ended September 30, 2023, from $173.3 million for the nine months ended September 30, 2022.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Diagnostic test revenue decreased by $27.5 million, or 16%, to $140.4 million for the nine months ended September 30, 2023, from $168.0 million for the nine months ended September 30, 2022. The decrease was attributable in lower revenues from the now discontinued Legacy Sema4 business, partially offset by an increase in diagnostic test revenue increase from Legacy GeneDx driven by an increase in whole exome and genome sequencing revenues resulting from higher test volumes partially offset by lower average reimbursement rates from exome tests and declines in other non-exome test revenues. In addition, the prior period only reflected Legacy GeneDx’s revenue following the closing of the Acquisition in April 2022.</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decreased by $0.6 million, or 12%, to $4.7 million for the nine months ended September 30, 2023, from $5 million for the nine months ended September 30, 2022 due the lower revenues from the now discontinued Legacy Sema4 business.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increased by $69.7 million for the nine months ended September 30, 2023, driven by a combination of lower cost of services from the now discontinued Legacy Sema4 business and improved margins from Legacy GeneDx. The gross profit performance from Legacy GeneDx reflected favorable volume mix shift to higher margin whole exome and genome tests, partially offset by lower average cost per test associated with these tests. In addition, the prior year only reflected GeneDx’s results following the closing of the Acquisition in April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333" w:before="0" w:after="180"/>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decreased by $15.8 million, or 26%, to $46.0 million for the nine months ended September 30, 2023, from $61.8 million for the nine months ended September 30, 2022. The decrease was primarily attributable to lower current year costs from the now discontinued Legacy Sema4 business, which included a $3.3 million reversal of stock compensation expense resulting from forfeitures of unvested equity awards by terminated employees. In addition, the prior year only reflected GeneDx’s research and development costs following the closing of the Acquisition in April 2022. The decrease was partially offset by costs associated with a Guardian newborn screening study which commenced in the fourth quarter of 2022.</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Selling and Marketing</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 decreased by $47.4 million, or 51%, to $45.4 million for the nine months ended September 30, 2023, from $92.8 million for the nine months ended September 30, 2022. The decrease was primarily attributable to lower current year costs of $77.0 million from the now discontinued Legacy Sema4 business. In addition, the prior year only reflected Legacy GeneDx’s selling and marketing costs following the closing of the Acquisition in April 2022. This decrease was partially offset by higher Legacy GeneDx costs, in line with the increase in post-Acquisition revenue.</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decreased by $65.8 million, or 38%, to $107.1 million for the nine months ended September 30, 2023, from $173.0 million for the nine months ended September 30, 2022. The decrease was primarily attributable to lower current year cost of $85.0 from the now discontinued Legacy Sema4 business and a $25.2 million reversal of stock compensation expense in the current period resulting from forfeitures of unvested equity awards by employees terminated in connection with fiscal 2023 headcount reduction actions. In addition, the prior year only reflected Legacy GeneDx’s general and administrative costs following the closing of the Acquisition in April 2022. The decrease was partially offset by $3.3 million of accelerated depreciation recorded in the current year to write-down the remaining assets at the two closed Legacy Sema4 labs.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Impairment Loss</w:t>
      </w:r>
    </w:p>
    <w:p>
      <w:pPr>
        <w:pStyle w:val="TextBody"/>
        <w:bidi w:val="0"/>
        <w:spacing w:lineRule="auto" w:line="288" w:before="0" w:after="200"/>
        <w:jc w:val="both"/>
        <w:rPr/>
      </w:pPr>
      <w:r>
        <w:rPr>
          <w:rFonts w:ascii="Times New Roman;sans-serif" w:hAnsi="Times New Roman;sans-serif"/>
          <w:b w:val="false"/>
          <w:color w:val="000000"/>
          <w:sz w:val="20"/>
        </w:rPr>
        <w:t>The non-cash charge of $10.4 million reflected the impairment of certain capital and right-of-use asset leases. See Note 6, “</w:t>
      </w:r>
      <w:r>
        <w:rPr>
          <w:rFonts w:ascii="Times New Roman;sans-serif" w:hAnsi="Times New Roman;sans-serif"/>
          <w:b w:val="false"/>
          <w:i/>
          <w:color w:val="000000"/>
          <w:sz w:val="20"/>
        </w:rPr>
        <w:t>Property and Equipment, net</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our condensed consolidated financial statements for further information.</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Other Operating Expenses, Net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operating expenses, net were $5.3 million for the nine months ended September 30, 2023 and included related party expenses of $4.6 million and non-cash charges of $3.6 million to reserve for obsolete Legacy Sema4 inventory, partially offset by a current year gain of $3.0 million recognized on the sale of certain assets sold as a result of an auction. Other operating expenses, net were $4.7 million for the nine months ended September 30, 2022 primarily reflected related party expenses. </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Non-Operating income, Net</w:t>
      </w:r>
    </w:p>
    <w:p>
      <w:pPr>
        <w:pStyle w:val="TextBody"/>
        <w:bidi w:val="0"/>
        <w:spacing w:lineRule="auto" w:line="288" w:before="0" w:after="200"/>
        <w:jc w:val="both"/>
        <w:rPr/>
      </w:pPr>
      <w:r>
        <w:rPr>
          <w:rFonts w:ascii="Times New Roman;sans-serif" w:hAnsi="Times New Roman;sans-serif"/>
          <w:b w:val="false"/>
          <w:color w:val="000000"/>
          <w:sz w:val="20"/>
        </w:rPr>
        <w:t>Non-operating income, net, decreased by $49.0 million, due to the significant decline in fair value of our warrant and earn-out contingent liabilities taken in the prior year and $1.0 million of contract termination costs in the current year associated with the now discontinued Legacy Sema4 business. This decrease was partially offset by interest income in the current year due to higher interest rates associated with money market funds established with proceeds from our public offering of Class A common stock in the first quarter of 2023 and the principal loan forgiveness of $2.8 million under the amendment to the DECD loan. See Note 8,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 xml:space="preserve">to our condensed consolidated financial statements for further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Reconciliation of Non-GAAP Financial Measures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results determined in accordance with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333" w:before="0" w:after="180"/>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all expenditures or future requirements for capital expenditures or contractual commitments;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our working capital needs;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costs of replacing the assets being depreciated, which will often have to be replaced in the future;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non-cash component of employee compensation expense; and</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the impact of earnings or charges resulting from matters we consider not to be reflective, on a recurring basis, of our ongoing operations.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Adjusted Gross Profit and Adjusted Gross Margin</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Adjusted Gross Profit is a non-GAAP financial measure that we define as revenue less cost of services, excluding depreciation and amortization expense, stock-based compensation expense and restructuring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gross profit to our Adjusted Gross Profit and of our gross margin to Adjusted Gross Margin for the three and nine months ended September 30, 2023 and 2022:</w:t>
      </w:r>
    </w:p>
    <w:tbl>
      <w:tblPr>
        <w:tblW w:w="9228" w:type="dxa"/>
        <w:jc w:val="left"/>
        <w:tblInd w:w="0" w:type="dxa"/>
        <w:tblLayout w:type="fixed"/>
        <w:tblCellMar>
          <w:top w:w="28" w:type="dxa"/>
          <w:left w:w="28" w:type="dxa"/>
          <w:bottom w:w="28" w:type="dxa"/>
          <w:right w:w="28" w:type="dxa"/>
        </w:tblCellMar>
      </w:tblPr>
      <w:tblGrid>
        <w:gridCol w:w="1193"/>
        <w:gridCol w:w="1051"/>
        <w:gridCol w:w="1056"/>
        <w:gridCol w:w="211"/>
        <w:gridCol w:w="721"/>
        <w:gridCol w:w="241"/>
        <w:gridCol w:w="109"/>
        <w:gridCol w:w="109"/>
        <w:gridCol w:w="109"/>
        <w:gridCol w:w="211"/>
        <w:gridCol w:w="721"/>
        <w:gridCol w:w="241"/>
        <w:gridCol w:w="109"/>
        <w:gridCol w:w="109"/>
        <w:gridCol w:w="109"/>
        <w:gridCol w:w="211"/>
        <w:gridCol w:w="826"/>
        <w:gridCol w:w="241"/>
        <w:gridCol w:w="109"/>
        <w:gridCol w:w="109"/>
        <w:gridCol w:w="109"/>
        <w:gridCol w:w="211"/>
        <w:gridCol w:w="826"/>
        <w:gridCol w:w="286"/>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173,344 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Gross Margin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47 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41 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(6)</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costs</w:t>
            </w:r>
            <w:r>
              <w:rPr>
                <w:color w:val="000000"/>
              </w:rPr>
              <w:t xml:space="preserve"> </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Gross Profit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61,486 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Adjusted Gross Margin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51 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42 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r>
    </w:tbl>
    <w:p>
      <w:pPr>
        <w:pStyle w:val="TextBody"/>
        <w:bidi w:val="0"/>
        <w:spacing w:lineRule="auto" w:line="288" w:before="0" w:after="20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(1)Represent costs incurred for restructuring activities, which include severance costs to impacted employees and third party consulting costs incurred during the periods presented.</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Adjusted EBITDA</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a non-GAAP financial measure that we define as net loss adjusted for interest expense (income), net, income tax benefit, depreciation and amortization, stock-based compensation expenses, transaction costs, other (income) expense, net, impairment loss, restructuring and business exit related charges, acquisition costs and change in fair market value of warrant and earn-out contingent liabilities. We believe Adjusted EBITDA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333" w:before="0" w:after="180"/>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our net loss to Adjusted EBITDA for the three and nine months ended September 30, 2023 and 2022:</w:t>
      </w:r>
    </w:p>
    <w:tbl>
      <w:tblPr>
        <w:tblW w:w="10205" w:type="dxa"/>
        <w:jc w:val="left"/>
        <w:tblInd w:w="0" w:type="dxa"/>
        <w:tblLayout w:type="fixed"/>
        <w:tblCellMar>
          <w:top w:w="28" w:type="dxa"/>
          <w:left w:w="28" w:type="dxa"/>
          <w:bottom w:w="28" w:type="dxa"/>
          <w:right w:w="28" w:type="dxa"/>
        </w:tblCellMar>
      </w:tblPr>
      <w:tblGrid>
        <w:gridCol w:w="1631"/>
        <w:gridCol w:w="1281"/>
        <w:gridCol w:w="1304"/>
        <w:gridCol w:w="214"/>
        <w:gridCol w:w="787"/>
        <w:gridCol w:w="110"/>
        <w:gridCol w:w="110"/>
        <w:gridCol w:w="110"/>
        <w:gridCol w:w="110"/>
        <w:gridCol w:w="214"/>
        <w:gridCol w:w="787"/>
        <w:gridCol w:w="110"/>
        <w:gridCol w:w="109"/>
        <w:gridCol w:w="109"/>
        <w:gridCol w:w="109"/>
        <w:gridCol w:w="211"/>
        <w:gridCol w:w="877"/>
        <w:gridCol w:w="109"/>
        <w:gridCol w:w="109"/>
        <w:gridCol w:w="109"/>
        <w:gridCol w:w="109"/>
        <w:gridCol w:w="211"/>
        <w:gridCol w:w="877"/>
        <w:gridCol w:w="498"/>
      </w:tblGrid>
      <w:tr>
        <w:trPr/>
        <w:tc>
          <w:tcPr>
            <w:tcW w:w="163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4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(240,219)</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(income) expense, net </w:t>
            </w:r>
            <w:r>
              <w:rPr>
                <w:rFonts w:ascii="Times New Roman;sans-serif" w:hAnsi="Times New Roman;sans-serif"/>
                <w:b w:val="false"/>
                <w:color w:val="000000"/>
                <w:sz w:val="13"/>
              </w:rPr>
              <w:t>(1)</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(49,142)</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25,269 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41,553 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Impairment loss </w:t>
            </w:r>
            <w:r>
              <w:rPr>
                <w:rFonts w:ascii="Times New Roman;sans-serif" w:hAnsi="Times New Roman;sans-serif"/>
                <w:b w:val="false"/>
                <w:color w:val="000000"/>
                <w:sz w:val="13"/>
              </w:rPr>
              <w:t>(2)</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Transaction, acquisition and business integration costs </w:t>
            </w:r>
            <w:r>
              <w:rPr>
                <w:rFonts w:ascii="Times New Roman;sans-serif" w:hAnsi="Times New Roman;sans-serif"/>
                <w:b w:val="false"/>
                <w:color w:val="000000"/>
                <w:sz w:val="13"/>
              </w:rPr>
              <w:t>(3)</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13,436 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costs</w:t>
            </w:r>
            <w:r>
              <w:rPr>
                <w:color w:val="000000"/>
              </w:rPr>
              <w:t xml:space="preserve"> </w:t>
            </w:r>
            <w:r>
              <w:rPr>
                <w:rFonts w:ascii="Times New Roman;sans-serif" w:hAnsi="Times New Roman;sans-serif"/>
                <w:b w:val="false"/>
                <w:color w:val="000000"/>
                <w:sz w:val="13"/>
              </w:rPr>
              <w:t>(4)</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18,554 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Change in fair market value of financial liabilities </w:t>
            </w:r>
            <w:r>
              <w:rPr>
                <w:rFonts w:ascii="Times New Roman;sans-serif" w:hAnsi="Times New Roman;sans-serif"/>
                <w:b w:val="false"/>
                <w:color w:val="000000"/>
                <w:sz w:val="13"/>
              </w:rPr>
              <w:t>(5)</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(54,350)</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Gain on sale of assets </w:t>
            </w:r>
            <w:r>
              <w:rPr>
                <w:rFonts w:ascii="Times New Roman;sans-serif" w:hAnsi="Times New Roman;sans-serif"/>
                <w:b w:val="false"/>
                <w:color w:val="000000"/>
                <w:sz w:val="13"/>
              </w:rPr>
              <w:t>(6)</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excess and obsolete inventory associated with Legacy Sema4</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(22,377)</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(70,046)</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(243,956)</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(1)Represents interest income from interest-bearing and money market deposit accounts and the total of interest expense related to our finance leases and interest-bearing loans and interest income earned on money market funds. This also includes the unused line fee and amortization of deferred transaction costs related to the loan and security agreement entered into with SVB.</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(2)Represents the impairment of certain capital and right-of-use asset leases.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(3)2022 amounts represent professional service costs incurred in connection with the Legacy GeneDx Acquisition, which include due diligence and legal costs.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(4)Represent costs incurred for restructuring activities, which include severance packages offered to impacted employees and third party consulting costs incurred during the periods presented.</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(5)Represents the change in fair market value of the liabilities associated with our public warrants, private placement warrants and the earn-out shares that were issuable under the terms of the merger agreement for our business combination.</w:t>
      </w:r>
    </w:p>
    <w:p>
      <w:pPr>
        <w:pStyle w:val="TextBody"/>
        <w:bidi w:val="0"/>
        <w:spacing w:lineRule="auto" w:line="288" w:before="0" w:after="20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(6)Represents a current year gain recognized on the sale of certain assets sold as a result of an auction.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2022, upon the closing of the Acquisition, we received gross proceeds of $200 million from the issuance of 1.5 million shares of our Class A common stock pursuant to subscription agreements with certain institutional investors, (the “Acquisition PIPE Investment”). The gross proceeds were partially used to pay for the cash consideration of the Acquisition and transaction costs incurred in connection with the Acquisition.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2023, we announced the closing of an underwritten public offering of 9,956,710 shares of our Class A common stock and a concurrent registered direct offering of 2,353,436 shares of our Class A common stock. On April 17, 2023, we issued the remaining 676,868 shares of our Class A common stock in the registered direct offering. The total gross proceeds were approximately $150 million.</w:t>
      </w:r>
    </w:p>
    <w:p>
      <w:pPr>
        <w:pStyle w:val="TextBody"/>
        <w:bidi w:val="0"/>
        <w:spacing w:lineRule="auto" w:line="288" w:before="0" w:after="200"/>
        <w:jc w:val="both"/>
        <w:rPr/>
      </w:pPr>
      <w:r>
        <w:rPr>
          <w:rFonts w:ascii="Times New Roman;sans-serif" w:hAnsi="Times New Roman;sans-serif"/>
          <w:b w:val="false"/>
          <w:color w:val="000000"/>
          <w:sz w:val="20"/>
        </w:rPr>
        <w:t>Subsequent to September 30, 2023, in addition, on October 27, 2023, we entered into a new, five-year senior secured credit facility with an affiliate of Perceptive Advisors and received an initial tranche of $50 million under the facility. See Note 8,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to our condensed consolidated financial statements for further information.</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believes that our cash and cash equivalents, including the proceeds from the initial tranche under the credit facility, and available-for-sale marketable securities provide us with sufficient liquidity for at least twelve months from the filing date of this Quarterly Report.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our condensed consolidated financial statements included in this Quarterly Report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the entry into other credit facilities or another form of third-party funding or by seeking other debt financing. For example, we have an effective shelf registration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333" w:before="0" w:after="180"/>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statement that we filed with the SEC in August of 2022, registering $300 million shares of our Class A common stock and other securities. Following the underwritten and registered direct offerings described above, approximately $150 million of securities remained available under this registration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Material Cash Requirements for Known Contractual Obligations and Commitments</w:t>
      </w:r>
    </w:p>
    <w:p>
      <w:pPr>
        <w:pStyle w:val="TextBody"/>
        <w:bidi w:val="0"/>
        <w:spacing w:lineRule="auto" w:line="288" w:before="0" w:after="200"/>
        <w:jc w:val="both"/>
        <w:rPr/>
      </w:pPr>
      <w:r>
        <w:rPr>
          <w:rFonts w:ascii="Times New Roman;sans-serif" w:hAnsi="Times New Roman;sans-serif"/>
          <w:b w:val="false"/>
          <w:color w:val="000000"/>
          <w:sz w:val="20"/>
        </w:rPr>
        <w:t>We anticipate fulfilling our contractual obligations and commitments with existing cash and cash equivalents and available-for-sale marketable securities, which amounted to $114.3 million at September 30, 2023, through additional capital raised to finance our operations; see “</w:t>
      </w: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or through an additional tranche of $25 million under the Perceptive credit facility, which is subject to certain conditions.</w:t>
      </w:r>
    </w:p>
    <w:p>
      <w:pPr>
        <w:pStyle w:val="TextBody"/>
        <w:bidi w:val="0"/>
        <w:spacing w:lineRule="auto" w:line="288" w:before="0" w:after="200"/>
        <w:jc w:val="both"/>
        <w:rPr/>
      </w:pPr>
      <w:r>
        <w:rPr>
          <w:rFonts w:ascii="Times New Roman;sans-serif" w:hAnsi="Times New Roman;sans-serif"/>
          <w:b w:val="false"/>
          <w:color w:val="000000"/>
          <w:sz w:val="20"/>
        </w:rPr>
        <w:t>We entered into a settlement agreement related to the Legacy Sema4 business with one of our third-party payors in 2022, in order to settle the claims related to coverage and billing matters allegedly resulting in overpayments by the payor to the Legacy Sema4 business including those related to multi-gene tests, such as carrier screening services. Under the settlement agreement, the total settlement amount is $42 million, to be paid by us to the payor in a series of installments over the next four years with the final installment payment scheduled to be on or before June 30, 2026. The first installment payment of $15 million was made on December 30, 2022 and the next installment of $5.0 million is due in December 2023. In consideration for the payments, the payor has agreed to provide releases of the disputed claims, which releases became effective on or about March 31, 2023. For further information regarding this matter, see Note 4, “</w:t>
      </w:r>
      <w:r>
        <w:rPr>
          <w:rFonts w:ascii="Times New Roman;sans-serif" w:hAnsi="Times New Roman;sans-serif"/>
          <w:b w:val="false"/>
          <w:i/>
          <w:color w:val="000000"/>
          <w:sz w:val="20"/>
        </w:rPr>
        <w:t>Revenue Recognition</w:t>
      </w:r>
      <w:r>
        <w:rPr>
          <w:color w:val="000000"/>
        </w:rPr>
        <w:t xml:space="preserve">” </w:t>
      </w:r>
      <w:r>
        <w:rPr>
          <w:rFonts w:ascii="Times New Roman;sans-serif" w:hAnsi="Times New Roman;sans-serif"/>
          <w:b w:val="false"/>
          <w:color w:val="000000"/>
          <w:sz w:val="20"/>
        </w:rPr>
        <w:t>included within our Annual Report on Form 10-K for the year ended December 31, 2022, and our condensed consolidated financial statements in Note 4, “</w:t>
      </w:r>
      <w:r>
        <w:rPr>
          <w:rFonts w:ascii="Times New Roman;sans-serif" w:hAnsi="Times New Roman;sans-serif"/>
          <w:b w:val="false"/>
          <w:i/>
          <w:color w:val="000000"/>
          <w:sz w:val="20"/>
        </w:rPr>
        <w:t>Revenue Recognition,</w:t>
      </w:r>
      <w:r>
        <w:rPr>
          <w:color w:val="000000"/>
        </w:rPr>
        <w:t xml:space="preserve">” </w:t>
      </w:r>
      <w:r>
        <w:rPr>
          <w:rFonts w:ascii="Times New Roman;sans-serif" w:hAnsi="Times New Roman;sans-serif"/>
          <w:b w:val="false"/>
          <w:color w:val="000000"/>
          <w:sz w:val="20"/>
        </w:rPr>
        <w:t xml:space="preserve">included within this Quarterly Report,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Cash Flows</w:t>
      </w:r>
    </w:p>
    <w:tbl>
      <w:tblPr>
        <w:tblW w:w="6278" w:type="dxa"/>
        <w:jc w:val="left"/>
        <w:tblInd w:w="0" w:type="dxa"/>
        <w:tblLayout w:type="fixed"/>
        <w:tblCellMar>
          <w:top w:w="28" w:type="dxa"/>
          <w:left w:w="28" w:type="dxa"/>
          <w:bottom w:w="28" w:type="dxa"/>
          <w:right w:w="28" w:type="dxa"/>
        </w:tblCellMar>
      </w:tblPr>
      <w:tblGrid>
        <w:gridCol w:w="1253"/>
        <w:gridCol w:w="1104"/>
        <w:gridCol w:w="1107"/>
        <w:gridCol w:w="211"/>
        <w:gridCol w:w="901"/>
        <w:gridCol w:w="109"/>
        <w:gridCol w:w="109"/>
        <w:gridCol w:w="109"/>
        <w:gridCol w:w="109"/>
        <w:gridCol w:w="211"/>
        <w:gridCol w:w="901"/>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during the nine months ended September 30, 2023 was $150.3 million, which reflected the cash expenditures associated with the net loss for the current period and unfavorable working capital associated with the wind down of the Legacy Sema4 accounts payable, primarily during the third quarter of 2023.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during the nine months ended September 30, 2022 was $254.5 million, which reflected the cash expenditures associated with the net loss for the prior year period and favorable working capital, primarily for accounts payable and accrued expenses to support combined Legacy GeneDx and Legacy Sema4 businesses.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during the nine months ended September 30, 2023 was $38.9 million, which primarily includes net purchases of marketable securities of $27.3 million, $12.1 million in consideration on escrow paid for the Legacy GeneDx Acquisition and $2.9 million in purchases of property and equipment, which was offset partially by $3.9 million in proceeds from the sale of assets.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during the nine months ended September 30, 2022 was $138.5 million, which was attributable to $127.0 million cash consideration for the Acquisition of Legacy GeneDx, $5.0 million in purchases of property and equipment and $6.5 million of costs related to development of internal-use software assets.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during the nine months ended September 30, 2023 was $139.1 million, which was primarily driven by the $143.0 million net proceeds from the underwritten public offering and concurrent registered direct offering, net of issuance costs, which was offset partially by the DECD loan payment of $2.0 million and $2.1 million of finance lease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333" w:before="0" w:after="180"/>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during the nine months ended September 30, 2022 was $197.3 million, which was driven by the $197.7 million proceeds from the Acquisition PIPE Investment, net of issuance costs of $2.3 million, and the exercise of stock options of $2.2 million which was offset by $2.6 million of finance lease principal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pStyle w:val="TextBody"/>
        <w:bidi w:val="0"/>
        <w:spacing w:lineRule="auto" w:line="288" w:before="0" w:after="200"/>
        <w:jc w:val="both"/>
        <w:rPr/>
      </w:pPr>
      <w:r>
        <w:rPr>
          <w:rFonts w:ascii="Times New Roman;sans-serif" w:hAnsi="Times New Roman;sans-serif"/>
          <w:b w:val="false"/>
          <w:color w:val="000000"/>
          <w:sz w:val="20"/>
        </w:rPr>
        <w:t>There have been no material changes to our critical accounting policies and estimates as compared to the critical accounting policies and estimates disclosed in our audited consolidated financial statements and notes thereto included within our Annual Report on Form 10-K for the year ended December 31, 2022, other than the Company’s policy for accounting for available-for-sale marketable securities. For further information, see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JOBS Act Accounting Election</w:t>
      </w:r>
    </w:p>
    <w:p>
      <w:pPr>
        <w:pStyle w:val="TextBody"/>
        <w:bidi w:val="0"/>
        <w:spacing w:lineRule="auto" w:line="288" w:before="0" w:after="200"/>
        <w:jc w:val="both"/>
        <w:rPr/>
      </w:pPr>
      <w:r>
        <w:rPr>
          <w:rFonts w:ascii="Times New Roman;sans-serif" w:hAnsi="Times New Roman;sans-serif"/>
          <w:b w:val="false"/>
          <w:color w:val="000000"/>
          <w:sz w:val="20"/>
        </w:rPr>
        <w:t xml:space="preserve">We are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See </w:t>
      </w:r>
      <w:r>
        <w:rPr>
          <w:rFonts w:ascii="Times New Roman;sans-serif" w:hAnsi="Times New Roman;sans-serif"/>
          <w:b w:val="false"/>
          <w:i/>
          <w:color w:val="000000"/>
          <w:sz w:val="20"/>
        </w:rPr>
        <w:t xml:space="preserve">Note 1 </w:t>
      </w:r>
      <w:r>
        <w:rPr>
          <w:rFonts w:ascii="Times New Roman;sans-serif" w:hAnsi="Times New Roman;sans-serif"/>
          <w:b w:val="false"/>
          <w:color w:val="000000"/>
          <w:sz w:val="20"/>
        </w:rPr>
        <w:t>to our condensed consolidated financial statements for further.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200"/>
        <w:jc w:val="both"/>
        <w:rPr/>
      </w:pPr>
      <w:r>
        <w:rPr>
          <w:rFonts w:ascii="Times New Roman;sans-serif" w:hAnsi="Times New Roman;sans-serif"/>
          <w:b w:val="false"/>
          <w:color w:val="000000"/>
          <w:sz w:val="20"/>
        </w:rPr>
        <w:t>Additional information on recent accounting pronouncements can be found in the audited financial statements in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included within our Annual Report on Form 10-K for the year ended December 31, 2022, and Note 2,</w:t>
      </w:r>
      <w:r>
        <w:rPr>
          <w:color w:val="000000"/>
        </w:rPr>
        <w:t xml:space="preserve">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These risks primarily relate to interest rates. Our cash, cash equivalents, available-for-sale marketable securities and restricted cash consists of bank deposits and money market funds, which totaled $115.2 million at September 30, 2023 and $138.3 million at December 31, 2022, respectively. Such interest-bearing instruments carry a degree of risk. However, because our investments are primarily high-quality credit instruments with short-term durations with high-quality institutions, we have not been exposed to, nor do we anticipate being exposed to, material risks due to changes in interest rates. A 100 basis point change in interest rates would not have a material effect on the fair market value of our cash, cash equivalents and restricted cash. The majority of our cash, cash equivalents and restricted cash are uninsured with account balances in excess of the Federal Deposit Insurance Company limits. On March 14, 2023, we announced full access to our capital with nearly 100% of our cash and cash equivalents held in an institution designated as systematically important financial institutions.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under our loan and security agreement (the “SVB Agreement”) with Silicon Valley Bank (“SVB”) in place at September 30, 2023, included variable interest rate terms for the outstanding principal amount of any advance. At September 30, 2023, no amounts had been drawn under the SVB Agreement. The SVB Agreement was terminated effective as of October 27, 2023, and SVB’s security interest in our assets and property was released. Our credit agreement with Perceptive Credit Holdings IV, LP includes variable interest rate terms for the outstanding principal amount of $50 million at October 27, 2023. Therefore, changes in interest rates can impact future interest payments we are obligated to pay.</w:t>
      </w:r>
    </w:p>
    <w:p>
      <w:pPr>
        <w:pStyle w:val="TextBody"/>
        <w:bidi w:val="0"/>
        <w:spacing w:lineRule="auto" w:line="288" w:before="0" w:after="200"/>
        <w:jc w:val="both"/>
        <w:rPr/>
      </w:pPr>
      <w:r>
        <w:rPr>
          <w:rFonts w:ascii="Times New Roman;sans-serif" w:hAnsi="Times New Roman;sans-serif"/>
          <w:b w:val="false"/>
          <w:color w:val="000000"/>
          <w:sz w:val="20"/>
        </w:rPr>
        <w:t>See Note 8,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to our condensed consolidated financial statements for further information.</w:t>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333" w:before="0" w:after="180"/>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w:t>
      </w:r>
    </w:p>
    <w:p>
      <w:pPr>
        <w:pStyle w:val="TextBody"/>
        <w:bidi w:val="0"/>
        <w:spacing w:lineRule="auto" w:line="288" w:before="0" w:after="200"/>
        <w:jc w:val="both"/>
        <w:rPr/>
      </w:pPr>
      <w:r>
        <w:rPr>
          <w:rFonts w:ascii="Times New Roman;sans-serif" w:hAnsi="Times New Roman;sans-serif"/>
          <w:b w:val="false"/>
          <w:color w:val="000000"/>
          <w:sz w:val="20"/>
        </w:rPr>
        <w:t>As required by Rules 13a-15 and 15d-15 under the Exchange Act, our Chief Executive Officer and Chief Financial Officer carried out an evaluation of the effectiveness of the design and operation of our disclosure controls and procedures at September 30, 2023. Based on that evaluation, our Chief Executive Officer and Chief Financial Officer concluded that our disclosure controls and procedures were not effective at September 30, 2023 because of the material weaknesses in internal control over financial reporting at December 31, 2022 that we previously identified in Item 9A. “</w:t>
      </w:r>
      <w:r>
        <w:rPr>
          <w:rFonts w:ascii="Times New Roman;sans-serif" w:hAnsi="Times New Roman;sans-serif"/>
          <w:b w:val="false"/>
          <w:i/>
          <w:color w:val="000000"/>
          <w:sz w:val="20"/>
        </w:rPr>
        <w:t>Controls and Procedures</w:t>
      </w:r>
      <w:r>
        <w:rPr>
          <w:color w:val="000000"/>
        </w:rPr>
        <w:t xml:space="preserve">” </w:t>
      </w:r>
      <w:r>
        <w:rPr>
          <w:rFonts w:ascii="Times New Roman;sans-serif" w:hAnsi="Times New Roman;sans-serif"/>
          <w:b w:val="false"/>
          <w:color w:val="000000"/>
          <w:sz w:val="20"/>
        </w:rPr>
        <w:t>of our Annual Report on Form 10-K for the year ended December 31, 2022 has not been fully remediated at September 30, 2023.</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identified material weaknesses in internal control over financial reporting, our management has concluded that our condensed consolidated financial statements included in the Quarterly Report on Form 10-Q are fairly stated in all material respects in accordance with accounting principles generally accepted in the United States of America (“U.S. GAAP”).</w:t>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Previously Reported Material Weaknesses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pStyle w:val="TextBody"/>
        <w:bidi w:val="0"/>
        <w:spacing w:lineRule="auto" w:line="288" w:before="0" w:after="200"/>
        <w:jc w:val="both"/>
        <w:rPr/>
      </w:pPr>
      <w:r>
        <w:rPr>
          <w:rFonts w:ascii="Times New Roman;sans-serif" w:hAnsi="Times New Roman;sans-serif"/>
          <w:b w:val="false"/>
          <w:color w:val="000000"/>
          <w:sz w:val="20"/>
        </w:rPr>
        <w:t>As described in more detail in Item 9A. “</w:t>
      </w:r>
      <w:r>
        <w:rPr>
          <w:rFonts w:ascii="Times New Roman;sans-serif" w:hAnsi="Times New Roman;sans-serif"/>
          <w:b w:val="false"/>
          <w:i/>
          <w:color w:val="000000"/>
          <w:sz w:val="20"/>
        </w:rPr>
        <w:t>Controls and Procedures</w:t>
      </w:r>
      <w:r>
        <w:rPr>
          <w:color w:val="000000"/>
        </w:rPr>
        <w:t xml:space="preserve">” </w:t>
      </w:r>
      <w:r>
        <w:rPr>
          <w:rFonts w:ascii="Times New Roman;sans-serif" w:hAnsi="Times New Roman;sans-serif"/>
          <w:b w:val="false"/>
          <w:color w:val="000000"/>
          <w:sz w:val="20"/>
        </w:rPr>
        <w:t xml:space="preserve">of our Annual Report on Form 10-K for the year ended December 31, 2022, the material weaknesses identified related to the fact that we did not design and maintain accounting policies, procedures and controls to ensure complete, accurate and timely financial reporting in accordance with U.S. GAAP. </w:t>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Remediation Plan</w:t>
      </w:r>
    </w:p>
    <w:p>
      <w:pPr>
        <w:pStyle w:val="TextBody"/>
        <w:bidi w:val="0"/>
        <w:spacing w:lineRule="auto" w:line="288" w:before="0" w:after="200"/>
        <w:jc w:val="both"/>
        <w:rPr/>
      </w:pPr>
      <w:r>
        <w:rPr>
          <w:rFonts w:ascii="Times New Roman;sans-serif" w:hAnsi="Times New Roman;sans-serif"/>
          <w:b w:val="false"/>
          <w:color w:val="000000"/>
          <w:sz w:val="20"/>
        </w:rPr>
        <w:t>Our management is actively engaged and committed to taking the steps necessary to remediate the control deficiencies that constituted the material weaknesses. The Company has continued to improve its organizational capabilities and continues to implement processes and controls to remediate the material weaknesses. Remediation actions undertaken during 2022 and planned are described in more detail in Item 9A. “</w:t>
      </w:r>
      <w:r>
        <w:rPr>
          <w:rFonts w:ascii="Times New Roman;sans-serif" w:hAnsi="Times New Roman;sans-serif"/>
          <w:b w:val="false"/>
          <w:i/>
          <w:color w:val="000000"/>
          <w:sz w:val="20"/>
        </w:rPr>
        <w:t>Controls and Procedures</w:t>
      </w:r>
      <w:r>
        <w:rPr>
          <w:color w:val="000000"/>
        </w:rPr>
        <w:t xml:space="preserve">” </w:t>
      </w:r>
      <w:r>
        <w:rPr>
          <w:rFonts w:ascii="Times New Roman;sans-serif" w:hAnsi="Times New Roman;sans-serif"/>
          <w:b w:val="false"/>
          <w:color w:val="000000"/>
          <w:sz w:val="20"/>
        </w:rPr>
        <w:t>of our Annual Report on Form 10-K for the year ended December 31, 2022.</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controls. As we continue to evaluate, and work to improve our controls, management may determine that additional measures to address control deficiencies or modifications to the remediation plan are necessary.</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have performed certain remediation activities to strengthen our controls to address the identified material weaknesses, control weaknesses are not considered remediated until new internal controls have been operational for a period of time, are tested, and management concludes that these controls are operating effectively. We will continue to monitor the effectiveness of our remediation measures in connection with our future assessments of the effectiveness of internal control over financial reporting and disclosure controls and procedures, and we will make any changes to the design of our plan and take such other actions that we deem appropriate given the circumstances. </w:t>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change in our internal control over financial reporting that occurred during the nine months ended September 30, 2023 covered by this Quarterly Report on Form 10-Q that has materially affected, or is reasonably likely to materially affect, our internal control over financial reporting, except that on January 1, 2023 a majority of the services provided by OPKO under the OPKO Transition Services Agreement that had been in place since the date of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333" w:before="0" w:after="180"/>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both"/>
        <w:rPr/>
      </w:pPr>
      <w:r>
        <w:rPr>
          <w:rFonts w:ascii="Times New Roman;sans-serif" w:hAnsi="Times New Roman;sans-serif"/>
          <w:b w:val="false"/>
          <w:color w:val="000000"/>
          <w:sz w:val="20"/>
        </w:rPr>
        <w:t>related to certain accounting processes and financial systems expired. We are continuing to take steps to remediate the material weaknesses in our internal control over financial reporting, as discussed above.</w:t>
      </w:r>
      <w:r>
        <w:rPr>
          <w:color w:val="000000"/>
        </w:rPr>
        <w:t xml:space="preserve"> </w:t>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Inherent Limitation on the Effectiveness of Internal Control</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333" w:before="0" w:after="180"/>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200"/>
        <w:jc w:val="both"/>
        <w:rPr/>
      </w:pPr>
      <w:r>
        <w:rPr>
          <w:rFonts w:ascii="Times New Roman;sans-serif" w:hAnsi="Times New Roman;sans-serif"/>
          <w:b w:val="false"/>
          <w:color w:val="000000"/>
          <w:sz w:val="20"/>
        </w:rPr>
        <w:t>Information required under this Item is contained above in Part I. Financial Information, Item 1, Note 10, “</w:t>
      </w:r>
      <w:r>
        <w:rPr>
          <w:rFonts w:ascii="Times New Roman;sans-serif" w:hAnsi="Times New Roman;sans-serif"/>
          <w:b w:val="false"/>
          <w:i/>
          <w:color w:val="000000"/>
          <w:sz w:val="20"/>
        </w:rPr>
        <w:t>Litigation and Contingencies,</w:t>
      </w:r>
      <w:r>
        <w:rPr>
          <w:color w:val="000000"/>
        </w:rPr>
        <w:t xml:space="preserve">” </w:t>
      </w:r>
      <w:r>
        <w:rPr>
          <w:rFonts w:ascii="Times New Roman;sans-serif" w:hAnsi="Times New Roman;sans-serif"/>
          <w:b w:val="false"/>
          <w:color w:val="000000"/>
          <w:sz w:val="20"/>
        </w:rPr>
        <w:t>included within this Quarterly Report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carefully review and consider the following risk factors and the other information contained or incorporated by reference in this Quarterly Report on Form 10-Q as well as in our other filings with the SEC before deciding whether to invest in our securities.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net revenue and future prospects. In such event, the trading price of our securities could decline, and you could lose all or part of your investment. This discussion does not address all of the risks that we face, and we may face additional risks and uncertainties that are not presently known to us, or that we currently deem immaterial, which may also impair our business or financial condition. The following discussion should be read in conjunction with the condensed consolidated financial statements and notes thereto included herein.</w:t>
      </w:r>
    </w:p>
    <w:p>
      <w:pPr>
        <w:pStyle w:val="TextBody"/>
        <w:bidi w:val="0"/>
        <w:spacing w:lineRule="auto" w:line="288" w:before="0" w:after="200"/>
        <w:jc w:val="both"/>
        <w:rPr/>
      </w:pPr>
      <w:r>
        <w:rPr>
          <w:rFonts w:ascii="Times New Roman;sans-serif" w:hAnsi="Times New Roman;sans-serif"/>
          <w:b w:val="false"/>
          <w:color w:val="000000"/>
          <w:sz w:val="20"/>
        </w:rPr>
        <w:t>Our business is subject to various risks, including those described in Part II,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(the “Risk Factor Section”) beginning on page 62 of our Quarterly Report for the quarterly period ended June 30, 2023, filed with the SEC on August 8, 2023, which Risk Factor Section is incorporated by reference herein.</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Except for as set forth below, there have been no material changes in the risk factors included in the Risk Factor Section.</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Our credit agreement contains operating and financial restrictions that may limit our business and financing activities.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Our credit agreement with Perceptive Credit Holdings IV, LP contains operating and financial restrictions that may limit our business and financing activities. In particular, our credit agreement includes customary affirmative and negative covenants and events of default, including negative covenants that restrict, among other things, our ability to incur indebtedness and liens, dispose of property and make investments. In addition, the credit agreement requires us to maintain aggregate unrestricted cash of not less than $5.0 million and minimum levels of quarterly core revenue through the third quarter of 2028. The operating and financial restrictions in the credit agreement, as well as any other financing arrangements that we may enter into, may limit our ability to finance our operations, or engage in, expand, or otherwise pursue our business activities and strategies. Our ability to comply with these or other covenants may be affected by events beyond our control, and future breaches of these or other covenants could result in a default under the credit agreement or any other financing arrangement. If not waived, future defaults could cause all of the outstanding indebtedness under our credit agreement or other financing arrangement to become immediately due and payable and terminate all commitments to extend further credit, if any. Furthermore, if we were unable to repay our credit agreement or other indebtedness then due and payable, secured lenders could proceed against the assets, if any, securing such indebtedness. A default would also likely significantly diminish the market price of our securities.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If we do not have or are unable to generate sufficient cash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as a going concern.</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If we do not meet the expectations of investors, stockholders or financial analysts, the market price of our securities may decline.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If we do not meet the expectations of investors or securities analysts, the market price of our securities may decline. In addition, fluctuations in the price of our securities could contribute to the loss of all or part of your investment. If an active market for our securities does not continue,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333" w:before="0" w:after="180"/>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Factors affecting the trading price of our securities may include: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actual or anticipated fluctuations in our quarterly financial results or the quarterly financial results of companies perceived to be similar to us;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the market’s expectations about our operating results;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public’s reaction to our press releases, our other public announcements and our filings with the SEC;</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speculation in the press or investment community;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announcements of technological innovation, new products, acquisitions, strategic alliances, significant agreements by us or competitors;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success of competitors;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operating results falling below our financial guidance or other projections or failing to meet the expectation of securities analysts or investors in a particular period;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financial estimates and recommendations by securities analysts concerning us or the market in general;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operating and stock price performance of other companies that investors deem comparable to us;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market new and enhanced products on a timely basis;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laws and regulations affecting our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commencement of, or involvement in, litigation involving us;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our capital structure, such as future issuances of securities or the incurrence of additional debt;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volume of shares of our Class A common stock available for public sale;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any major change in our Board or management;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sales of substantial amounts of Class A common stock by our directors, officers or significant stockholders or the perception that such sales could occur;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expiration of the market stand-off or contractual lock-up agreements;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realization of any of the risk factors described herein;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additions or departures of key personnel;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comply with the requirements of the Nasdaq;</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comply with the Sarbanes-Oxley Act or other laws or regulations;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actual, potential or perceived control, accounting or reporting problems;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accounting principles, policies and guidelines; and</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 xml:space="preserve">general economic and political conditions such as recessions, rising inflation and interest rates, uncertainty with respect to the U.S. federal budget, global conflicts such as the war in Ukraine and the war in Israel, fuel prices, international currency fluctuations and acts of war or terrorism.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 Further, the price of our Class A common stock may be subject to additional volatility as a result of our Reverse Stock Split. It is not uncommon for the market price of a company’s common stock to decline in the period following a reverse stock split.</w:t>
      </w:r>
    </w:p>
    <w:p>
      <w:pPr>
        <w:pStyle w:val="TextBody"/>
        <w:bidi w:val="0"/>
        <w:spacing w:lineRule="auto" w:line="288" w:before="0" w:after="200"/>
        <w:jc w:val="both"/>
        <w:rPr/>
      </w:pPr>
      <w:r>
        <w:rPr>
          <w:rFonts w:ascii="Times New Roman;sans-serif" w:hAnsi="Times New Roman;sans-serif"/>
          <w:b w:val="false"/>
          <w:color w:val="000000"/>
          <w:sz w:val="20"/>
        </w:rPr>
        <w:t>In the past, securities class action litigation has often been initiated against companies following periods of volatility in their stock price. In particular, on September 7, 2022, a shareholder class action lawsuit was filed in the United States District Court for the District of Connecticut against the Company and certain of the Company’s current and former officers. For further information, see “</w:t>
      </w:r>
      <w:r>
        <w:rPr>
          <w:rFonts w:ascii="Times New Roman;sans-serif" w:hAnsi="Times New Roman;sans-serif"/>
          <w:b w:val="false"/>
          <w:i/>
          <w:color w:val="000000"/>
          <w:sz w:val="20"/>
        </w:rPr>
        <w:t>Item 1. Legal Proceedings</w:t>
      </w:r>
      <w:r>
        <w:rPr>
          <w:rFonts w:ascii="Times New Roman;sans-serif" w:hAnsi="Times New Roman;sans-serif"/>
          <w:b w:val="false"/>
          <w:color w:val="000000"/>
          <w:sz w:val="20"/>
        </w:rPr>
        <w:t>.” This type of litigation could result in substantial costs and divert our management’s attention and resources, and could also require us to make substantial payments to satisfy judgments or to settle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200"/>
        <w:jc w:val="left"/>
        <w:rPr/>
      </w:pPr>
      <w:r>
        <w:rPr>
          <w:rFonts w:ascii="Times New Roman;sans-serif" w:hAnsi="Times New Roman;sans-serif"/>
          <w:b/>
          <w:color w:val="000000"/>
          <w:sz w:val="20"/>
        </w:rPr>
        <w:t>Issuer Purchases of Equity Securitie</w:t>
      </w:r>
      <w:r>
        <w:rPr>
          <w:rFonts w:ascii="Times New Roman;sans-serif" w:hAnsi="Times New Roman;sans-serif"/>
          <w:b w:val="false"/>
          <w:color w:val="000000"/>
          <w:sz w:val="20"/>
        </w:rPr>
        <w: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333" w:before="0" w:after="180"/>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6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20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2024 Annual Meeting of Stockholders</w:t>
      </w:r>
    </w:p>
    <w:p>
      <w:pPr>
        <w:pStyle w:val="TextBody"/>
        <w:bidi w:val="0"/>
        <w:spacing w:lineRule="auto" w:line="288" w:before="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information below supplements and supersedes the information contained in our proxy statement for the 2023 annual meeting of stockholders (the “2023 Proxy Statement”) with respect to the submission of stockholder proposals.</w:t>
      </w:r>
    </w:p>
    <w:p>
      <w:pPr>
        <w:pStyle w:val="TextBody"/>
        <w:bidi w:val="0"/>
        <w:spacing w:lineRule="auto" w:line="288" w:before="0" w:after="20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Future Stockholder Proposals</w:t>
      </w:r>
    </w:p>
    <w:p>
      <w:pPr>
        <w:pStyle w:val="TextBody"/>
        <w:bidi w:val="0"/>
        <w:spacing w:lineRule="auto" w:line="288" w:before="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anticipate that the 2024 annual meeting of stockholders will be held no later than June 2024. For any proposal to be considered for inclusion in the proxy statement and form of proxy for the Company's 2024 annual meeting of stockholders, it must be submitted in writing and comply with the requirements of Rule 14a-8 of the Exchange Act. Such proposals must be received by the Company at its principal executive offices a reasonable time before the Company begins to print and mail its 2024 annual meeting proxy materials in order to be considered for inclusion in the proxy materials for the 2024 annual meeting. Stockholder proposals submitted pursuant to Rule 14a-8 under the Exchange Act and intended to be presented at our 2024 annual meeting of stockholders must have been received by us not later than January 10, 2024 in order to be considered for inclusion in our proxy materials for that meeting.</w:t>
      </w:r>
    </w:p>
    <w:p>
      <w:pPr>
        <w:pStyle w:val="TextBody"/>
        <w:bidi w:val="0"/>
        <w:spacing w:lineRule="auto" w:line="288" w:before="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2023 Proxy Statement inadvertently identified January 10, 2023 as the deadline for the submission of proposals pursuant to Rule 14a-8 under the Exchange Act, which is incorrect.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as part of, or incorporated by reference into this Quarterly Report.</w:t>
      </w:r>
    </w:p>
    <w:tbl>
      <w:tblPr>
        <w:tblW w:w="10205" w:type="dxa"/>
        <w:jc w:val="left"/>
        <w:tblInd w:w="0" w:type="dxa"/>
        <w:tblLayout w:type="fixed"/>
        <w:tblCellMar>
          <w:top w:w="28" w:type="dxa"/>
          <w:left w:w="28" w:type="dxa"/>
          <w:bottom w:w="28" w:type="dxa"/>
          <w:right w:w="28" w:type="dxa"/>
        </w:tblCellMar>
      </w:tblPr>
      <w:tblGrid>
        <w:gridCol w:w="229"/>
        <w:gridCol w:w="174"/>
        <w:gridCol w:w="178"/>
        <w:gridCol w:w="109"/>
        <w:gridCol w:w="109"/>
        <w:gridCol w:w="109"/>
        <w:gridCol w:w="1821"/>
        <w:gridCol w:w="1648"/>
        <w:gridCol w:w="1653"/>
        <w:gridCol w:w="109"/>
        <w:gridCol w:w="109"/>
        <w:gridCol w:w="109"/>
        <w:gridCol w:w="175"/>
        <w:gridCol w:w="175"/>
        <w:gridCol w:w="176"/>
        <w:gridCol w:w="109"/>
        <w:gridCol w:w="109"/>
        <w:gridCol w:w="109"/>
        <w:gridCol w:w="225"/>
        <w:gridCol w:w="225"/>
        <w:gridCol w:w="226"/>
        <w:gridCol w:w="109"/>
        <w:gridCol w:w="109"/>
        <w:gridCol w:w="109"/>
        <w:gridCol w:w="223"/>
        <w:gridCol w:w="223"/>
        <w:gridCol w:w="224"/>
        <w:gridCol w:w="109"/>
        <w:gridCol w:w="109"/>
        <w:gridCol w:w="109"/>
        <w:gridCol w:w="289"/>
        <w:gridCol w:w="289"/>
        <w:gridCol w:w="417"/>
      </w:tblGrid>
      <w:tr>
        <w:trPr/>
        <w:tc>
          <w:tcPr>
            <w:tcW w:w="22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color w:val="000000"/>
                <w:sz w:val="18"/>
              </w:rPr>
            </w:pPr>
            <w:r>
              <w:rPr>
                <w:rFonts w:ascii="Times New Roman;sans-serif" w:hAnsi="Times New Roman;sans-serif"/>
                <w:b/>
                <w:color w:val="000000"/>
                <w:sz w:val="18"/>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Filed Herewith</w:t>
            </w:r>
          </w:p>
        </w:tc>
      </w:tr>
      <w:tr>
        <w:trPr/>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
              <w:r>
                <w:rPr>
                  <w:rStyle w:val="InternetLink"/>
                  <w:rFonts w:ascii="Times New Roman;sans-serif" w:hAnsi="Times New Roman;sans-serif"/>
                  <w:b w:val="false"/>
                  <w:color w:val="0000FF"/>
                  <w:sz w:val="18"/>
                  <w:u w:val="single"/>
                </w:rPr>
                <w:t>Third Amended and Restated Certificate of Incorporation of GeneDx Holdings Corp.</w:t>
              </w:r>
            </w:hyperlink>
          </w:p>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07/28/2021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4">
              <w:r>
                <w:rPr>
                  <w:rStyle w:val="InternetLink"/>
                  <w:rFonts w:ascii="Times New Roman;sans-serif" w:hAnsi="Times New Roman;sans-serif"/>
                  <w:b w:val="false"/>
                  <w:color w:val="0000FF"/>
                  <w:sz w:val="18"/>
                  <w:u w:val="single"/>
                </w:rPr>
                <w:t>First Certificate of Amendment of the Third Amended and Restated Certificate of Incorporation of GeneDx Holdings Corp.</w:t>
              </w:r>
            </w:hyperlink>
          </w:p>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01/09/2023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5">
              <w:r>
                <w:rPr>
                  <w:rStyle w:val="InternetLink"/>
                  <w:rFonts w:ascii="Times New Roman;sans-serif" w:hAnsi="Times New Roman;sans-serif"/>
                  <w:b w:val="false"/>
                  <w:color w:val="0000FF"/>
                  <w:sz w:val="18"/>
                  <w:u w:val="single"/>
                </w:rPr>
                <w:t>Second Certificate of Amendment to the Third Amended and Restated Certificate of Incorporation of GeneDx Holdings Corp.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04/17/2023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6">
              <w:r>
                <w:rPr>
                  <w:rStyle w:val="InternetLink"/>
                  <w:rFonts w:ascii="Times New Roman;sans-serif" w:hAnsi="Times New Roman;sans-serif"/>
                  <w:b w:val="false"/>
                  <w:color w:val="0000FF"/>
                  <w:sz w:val="18"/>
                  <w:u w:val="single"/>
                </w:rPr>
                <w:t>Third Certificate of Amendment to the Third Amended and Restated Certificate of Incorporation of GeneDx Holdings Corp.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04/28/2023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7">
              <w:r>
                <w:rPr>
                  <w:rStyle w:val="InternetLink"/>
                  <w:rFonts w:ascii="Times New Roman;sans-serif" w:hAnsi="Times New Roman;sans-serif"/>
                  <w:b w:val="false"/>
                  <w:color w:val="0000FF"/>
                  <w:sz w:val="18"/>
                  <w:u w:val="single"/>
                </w:rPr>
                <w:t>Amended and Restated Bylaws of GeneDx Holdings Corp.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01/09/2023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ceocertificationfor-ex311x.htm">
              <w:r>
                <w:rPr>
                  <w:rStyle w:val="InternetLink"/>
                  <w:rFonts w:ascii="Times New Roman;sans-serif" w:hAnsi="Times New Roman;sans-serif"/>
                  <w:b w:val="false"/>
                  <w:color w:val="0000FF"/>
                  <w:sz w:val="18"/>
                  <w:u w:val="single"/>
                </w:rPr>
                <w:t>Certification of Principal Executive Officer Pursuant to Securities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cfocertificationfor-ex312x.htm">
              <w:r>
                <w:rPr>
                  <w:rStyle w:val="InternetLink"/>
                  <w:rFonts w:ascii="Times New Roman;sans-serif" w:hAnsi="Times New Roman;sans-serif"/>
                  <w:b w:val="false"/>
                  <w:color w:val="0000FF"/>
                  <w:sz w:val="18"/>
                  <w:u w:val="single"/>
                </w:rPr>
                <w:t>Certification of Principal Financial Officer Pursuant to Securities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ceocertificationfor-ex321x.htm">
              <w:r>
                <w:rPr>
                  <w:rStyle w:val="InternetLink"/>
                  <w:rFonts w:ascii="Times New Roman;sans-serif" w:hAnsi="Times New Roman;sans-serif"/>
                  <w:b w:val="false"/>
                  <w:color w:val="0000FF"/>
                  <w:sz w:val="18"/>
                  <w:u w:val="single"/>
                </w:rPr>
                <w:t>Certification of Principal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cfocertificationfor-ex322x.htm">
              <w:r>
                <w:rPr>
                  <w:rStyle w:val="InternetLink"/>
                  <w:rFonts w:ascii="Times New Roman;sans-serif" w:hAnsi="Times New Roman;sans-serif"/>
                  <w:b w:val="false"/>
                  <w:color w:val="0000FF"/>
                  <w:sz w:val="18"/>
                  <w:u w:val="single"/>
                </w:rPr>
                <w:t>Certification of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333" w:before="0" w:after="0"/>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6"/>
        <w:gridCol w:w="217"/>
        <w:gridCol w:w="218"/>
        <w:gridCol w:w="109"/>
        <w:gridCol w:w="109"/>
        <w:gridCol w:w="109"/>
        <w:gridCol w:w="2197"/>
        <w:gridCol w:w="2165"/>
        <w:gridCol w:w="217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5"/>
      </w:tblGrid>
      <w:tr>
        <w:trPr/>
        <w:tc>
          <w:tcPr>
            <w:tcW w:w="2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Labels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with applicable taxonomy extension information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bl>
    <w:tbl>
      <w:tblPr>
        <w:tblW w:w="1322" w:type="dxa"/>
        <w:jc w:val="left"/>
        <w:tblInd w:w="0" w:type="dxa"/>
        <w:tblLayout w:type="fixed"/>
        <w:tblCellMar>
          <w:top w:w="28" w:type="dxa"/>
          <w:left w:w="28" w:type="dxa"/>
          <w:bottom w:w="28" w:type="dxa"/>
          <w:right w:w="28" w:type="dxa"/>
        </w:tblCellMar>
      </w:tblPr>
      <w:tblGrid>
        <w:gridCol w:w="124"/>
        <w:gridCol w:w="109"/>
        <w:gridCol w:w="109"/>
        <w:gridCol w:w="109"/>
        <w:gridCol w:w="255"/>
        <w:gridCol w:w="255"/>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Furnished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333" w:before="0" w:after="180"/>
        <w:jc w:val="left"/>
        <w:rPr/>
      </w:pPr>
      <w:hyperlink w:anchor="i4764bbe6c0744bf59bc5f5c745d7108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Securities Exchange Act of 1934, the registrant has duly caused this report to be signed on its behalf by the undersigned, thereunto duly authorized.</w:t>
      </w:r>
    </w:p>
    <w:tbl>
      <w:tblPr>
        <w:tblW w:w="8836" w:type="dxa"/>
        <w:jc w:val="left"/>
        <w:tblInd w:w="0" w:type="dxa"/>
        <w:tblLayout w:type="fixed"/>
        <w:tblCellMar>
          <w:top w:w="28" w:type="dxa"/>
          <w:left w:w="28" w:type="dxa"/>
          <w:bottom w:w="28" w:type="dxa"/>
          <w:right w:w="28" w:type="dxa"/>
        </w:tblCellMar>
      </w:tblPr>
      <w:tblGrid>
        <w:gridCol w:w="759"/>
        <w:gridCol w:w="668"/>
        <w:gridCol w:w="672"/>
        <w:gridCol w:w="416"/>
        <w:gridCol w:w="416"/>
        <w:gridCol w:w="416"/>
        <w:gridCol w:w="1591"/>
        <w:gridCol w:w="1591"/>
        <w:gridCol w:w="2307"/>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7"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GENEDX HOLDINGS CORP.</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3, 2023</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Katherine Stueland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4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 (Principal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3, 2023</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Kevin Feeley</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Kevin Feeley</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4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319"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right"/>
        <w:rPr/>
      </w:pPr>
      <w:r>
        <w:rPr/>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CERTIFICATIONS</w:t>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PURSUANT TO RULES 13a-14(a) AND 15d-14(a)</w:t>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UNDER THE SECURITIES EXCHANGE ACT OF 1934, AS ADOPTED PURSUANT TO</w:t>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SECTION 302 OF THE SARBANES-OXLEY ACT OF 2002</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 Katherine Stueland, certify that:</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1.I have reviewed this quarterly report on Form 10-Q of GeneDx Holdings Corp. (the “registrant”);</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4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5.The registrant’s other certifying officer and I have disclosed, based on our most recent evaluation of internal control over financial reporting, to the registrant’s auditors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802" w:type="dxa"/>
        <w:jc w:val="left"/>
        <w:tblInd w:w="0" w:type="dxa"/>
        <w:tblLayout w:type="fixed"/>
        <w:tblCellMar>
          <w:top w:w="28" w:type="dxa"/>
          <w:left w:w="28" w:type="dxa"/>
          <w:bottom w:w="28" w:type="dxa"/>
          <w:right w:w="28" w:type="dxa"/>
        </w:tblCellMar>
      </w:tblPr>
      <w:tblGrid>
        <w:gridCol w:w="894"/>
        <w:gridCol w:w="788"/>
        <w:gridCol w:w="792"/>
        <w:gridCol w:w="149"/>
        <w:gridCol w:w="149"/>
        <w:gridCol w:w="151"/>
        <w:gridCol w:w="840"/>
        <w:gridCol w:w="840"/>
        <w:gridCol w:w="1199"/>
      </w:tblGrid>
      <w:tr>
        <w:trPr/>
        <w:tc>
          <w:tcPr>
            <w:tcW w:w="89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November 3, 2023</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Katherine Stueland</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Katherine Stueland</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ableContents"/>
              <w:bidi w:val="0"/>
              <w:spacing w:lineRule="auto" w:line="240" w:before="0" w:after="30"/>
              <w:jc w:val="left"/>
              <w:rPr>
                <w:rFonts w:ascii="Times New Roman;sans-serif" w:hAnsi="Times New Roman;sans-serif"/>
                <w:b w:val="false"/>
                <w:color w:val="000000"/>
                <w:sz w:val="24"/>
              </w:rPr>
            </w:pPr>
            <w:r>
              <w:rPr>
                <w:rFonts w:ascii="Times New Roman;sans-serif" w:hAnsi="Times New Roman;sans-serif"/>
                <w:b w:val="false"/>
                <w:color w:val="000000"/>
                <w:sz w:val="24"/>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right"/>
        <w:rPr/>
      </w:pPr>
      <w:r>
        <w:rPr/>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CERTIFICATIONS</w:t>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PURSUANT TO RULES 13a-14(a) AND 15d-14(a)</w:t>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UNDER THE SECURITIES EXCHANGE ACT OF 1934, AS ADOPTED PURSUANT TO</w:t>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SECTION 302 OF THE SARBANES-OXLEY ACT OF 2002</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 Kevin Feeley, certify that:</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1.I have reviewed this quarterly report on Form 10-Q of GeneDx Holdings Corp. (the “registrant”);</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4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5.The registrant’s other certifying officer and I have disclosed, based on our most recent evaluation of internal control over financial reporting, to the registrant’s auditors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728" w:type="dxa"/>
        <w:jc w:val="left"/>
        <w:tblInd w:w="0" w:type="dxa"/>
        <w:tblLayout w:type="fixed"/>
        <w:tblCellMar>
          <w:top w:w="28" w:type="dxa"/>
          <w:left w:w="28" w:type="dxa"/>
          <w:bottom w:w="28" w:type="dxa"/>
          <w:right w:w="28" w:type="dxa"/>
        </w:tblCellMar>
      </w:tblPr>
      <w:tblGrid>
        <w:gridCol w:w="894"/>
        <w:gridCol w:w="788"/>
        <w:gridCol w:w="792"/>
        <w:gridCol w:w="149"/>
        <w:gridCol w:w="149"/>
        <w:gridCol w:w="151"/>
        <w:gridCol w:w="819"/>
        <w:gridCol w:w="819"/>
        <w:gridCol w:w="1167"/>
      </w:tblGrid>
      <w:tr>
        <w:trPr/>
        <w:tc>
          <w:tcPr>
            <w:tcW w:w="89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November 3, 2023</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Kevin Feeley</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Kevin Feeley</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Financial Officer</w:t>
            </w:r>
          </w:p>
          <w:p>
            <w:pPr>
              <w:pStyle w:val="TableContents"/>
              <w:bidi w:val="0"/>
              <w:spacing w:lineRule="auto" w:line="240" w:before="0" w:after="30"/>
              <w:jc w:val="left"/>
              <w:rPr>
                <w:rFonts w:ascii="Times New Roman;sans-serif" w:hAnsi="Times New Roman;sans-serif"/>
                <w:b w:val="false"/>
                <w:color w:val="000000"/>
                <w:sz w:val="24"/>
              </w:rPr>
            </w:pPr>
            <w:r>
              <w:rPr>
                <w:rFonts w:ascii="Times New Roman;sans-serif" w:hAnsi="Times New Roman;sans-serif"/>
                <w:b w:val="false"/>
                <w:color w:val="000000"/>
                <w:sz w:val="24"/>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Times New Roman;sans-serif" w:hAnsi="Times New Roman;sans-serif"/>
          <w:b/>
          <w:color w:val="000000"/>
          <w:sz w:val="24"/>
        </w:rPr>
      </w:pPr>
      <w:r>
        <w:rPr>
          <w:rFonts w:ascii="Times New Roman;sans-serif" w:hAnsi="Times New Roman;sans-serif"/>
          <w:b/>
          <w:color w:val="000000"/>
          <w:sz w:val="24"/>
        </w:rPr>
        <w:t>Exhibit 32.1</w:t>
      </w:r>
    </w:p>
    <w:p>
      <w:pPr>
        <w:pStyle w:val="TextBody"/>
        <w:bidi w:val="0"/>
        <w:spacing w:before="0" w:after="0"/>
        <w:jc w:val="right"/>
        <w:rPr/>
      </w:pPr>
      <w:r>
        <w:rPr/>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 PURSUANT TO</w:t>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18 U.S.C. SECTION 1350,</w:t>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AS ADOPTED PURSUANT TO</w:t>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SECTION 906 OF THE SARBANES-OXLEY ACT OF 2002</w:t>
      </w:r>
    </w:p>
    <w:p>
      <w:pPr>
        <w:pStyle w:val="TextBody"/>
        <w:bidi w:val="0"/>
        <w:spacing w:before="0" w:after="0"/>
        <w:jc w:val="center"/>
        <w:rPr/>
      </w:pPr>
      <w:r>
        <w:rPr/>
      </w:r>
    </w:p>
    <w:p>
      <w:pPr>
        <w:pStyle w:val="TextBody"/>
        <w:bidi w:val="0"/>
        <w:spacing w:lineRule="auto" w:line="31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 connection with the Quarterly Report of GeneDx Holdings Corp. (the “registrant”) on Form 10-Q for the quarterly period ended September 30, 2023, as filed with the Securities and Exchange Commission (the “Report”), I, Katherine Stueland, Chief Executive Officer of the registrant, certify, pursuant to 18 U.S.C. §1350, as added by §906 of the Sarbanes-Oxley Act of 2002, that:</w:t>
      </w:r>
    </w:p>
    <w:p>
      <w:pPr>
        <w:pStyle w:val="TextBody"/>
        <w:bidi w:val="0"/>
        <w:spacing w:lineRule="auto" w:line="312"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color w:val="000000"/>
          <w:sz w:val="24"/>
        </w:rPr>
        <w:t>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color w:val="000000"/>
          <w:sz w:val="24"/>
        </w:rPr>
        <w:t>To my knowledge, the information contained in the Report fairly presents, in all material respects, the financial condition and results of operations of the registrant.</w:t>
      </w:r>
    </w:p>
    <w:p>
      <w:pPr>
        <w:pStyle w:val="TextBody"/>
        <w:bidi w:val="0"/>
        <w:spacing w:before="0" w:after="0"/>
        <w:jc w:val="both"/>
        <w:rPr/>
      </w:pPr>
      <w:r>
        <w:rPr/>
      </w:r>
    </w:p>
    <w:tbl>
      <w:tblPr>
        <w:tblW w:w="5802" w:type="dxa"/>
        <w:jc w:val="left"/>
        <w:tblInd w:w="0" w:type="dxa"/>
        <w:tblLayout w:type="fixed"/>
        <w:tblCellMar>
          <w:top w:w="28" w:type="dxa"/>
          <w:left w:w="28" w:type="dxa"/>
          <w:bottom w:w="28" w:type="dxa"/>
          <w:right w:w="28" w:type="dxa"/>
        </w:tblCellMar>
      </w:tblPr>
      <w:tblGrid>
        <w:gridCol w:w="894"/>
        <w:gridCol w:w="788"/>
        <w:gridCol w:w="792"/>
        <w:gridCol w:w="149"/>
        <w:gridCol w:w="149"/>
        <w:gridCol w:w="151"/>
        <w:gridCol w:w="840"/>
        <w:gridCol w:w="840"/>
        <w:gridCol w:w="1199"/>
      </w:tblGrid>
      <w:tr>
        <w:trPr/>
        <w:tc>
          <w:tcPr>
            <w:tcW w:w="89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November 3, 2023</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Katherine Stueland</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Katherine Stueland</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Chief Executive Officer </w:t>
            </w:r>
          </w:p>
          <w:p>
            <w:pPr>
              <w:pStyle w:val="TableContents"/>
              <w:bidi w:val="0"/>
              <w:spacing w:lineRule="auto" w:line="240" w:before="0" w:after="30"/>
              <w:jc w:val="left"/>
              <w:rPr>
                <w:rFonts w:ascii="Times New Roman;sans-serif" w:hAnsi="Times New Roman;sans-serif"/>
                <w:b w:val="false"/>
                <w:color w:val="000000"/>
                <w:sz w:val="24"/>
              </w:rPr>
            </w:pPr>
            <w:r>
              <w:rPr>
                <w:rFonts w:ascii="Times New Roman;sans-serif" w:hAnsi="Times New Roman;sans-serif"/>
                <w:b w:val="false"/>
                <w:color w:val="000000"/>
                <w:sz w:val="24"/>
              </w:rPr>
              <w:t>(Principal Executive Officer)</w:t>
            </w:r>
          </w:p>
        </w:tc>
      </w:tr>
    </w:tbl>
    <w:p>
      <w:pPr>
        <w:pStyle w:val="TextBody"/>
        <w:bidi w:val="0"/>
        <w:spacing w:before="0" w:after="0"/>
        <w:jc w:val="left"/>
        <w:rPr/>
      </w:pPr>
      <w:r>
        <w:rPr/>
      </w:r>
    </w:p>
    <w:p>
      <w:pPr>
        <w:pStyle w:val="TextBody"/>
        <w:bidi w:val="0"/>
        <w:spacing w:before="0" w:after="0"/>
        <w:jc w:val="righ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Times New Roman;sans-serif" w:hAnsi="Times New Roman;sans-serif"/>
          <w:b/>
          <w:color w:val="000000"/>
          <w:sz w:val="24"/>
        </w:rPr>
      </w:pPr>
      <w:r>
        <w:rPr>
          <w:rFonts w:ascii="Times New Roman;sans-serif" w:hAnsi="Times New Roman;sans-serif"/>
          <w:b/>
          <w:color w:val="000000"/>
          <w:sz w:val="24"/>
        </w:rPr>
        <w:t>Exhibit 32.2</w:t>
      </w:r>
    </w:p>
    <w:p>
      <w:pPr>
        <w:pStyle w:val="TextBody"/>
        <w:bidi w:val="0"/>
        <w:spacing w:before="0" w:after="0"/>
        <w:jc w:val="right"/>
        <w:rPr/>
      </w:pPr>
      <w:r>
        <w:rPr/>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 PURSUANT TO</w:t>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18 U.S.C. SECTION 1350,</w:t>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AS ADOPTED PURSUANT TO</w:t>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SECTION 906 OF THE SARBANES-OXLEY ACT OF 2002</w:t>
      </w:r>
    </w:p>
    <w:p>
      <w:pPr>
        <w:pStyle w:val="TextBody"/>
        <w:bidi w:val="0"/>
        <w:spacing w:before="0" w:after="0"/>
        <w:jc w:val="center"/>
        <w:rPr/>
      </w:pPr>
      <w:r>
        <w:rPr/>
      </w:r>
    </w:p>
    <w:p>
      <w:pPr>
        <w:pStyle w:val="TextBody"/>
        <w:bidi w:val="0"/>
        <w:spacing w:lineRule="auto" w:line="31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 connection with the Quarterly Report of GeneDx Holdings Corp. (the “registrant”) on Form 10-Q for the quarterly period ended September 30, 2023, as filed with the Securities and Exchange Commission (the “Report”), I, Kevin Feeley, Chief Financial Officer of the registrant, certify, pursuant to 18 U.S.C. §1350, as added by §906 of the Sarbanes-Oxley Act of 2002, that:</w:t>
      </w:r>
    </w:p>
    <w:p>
      <w:pPr>
        <w:pStyle w:val="TextBody"/>
        <w:bidi w:val="0"/>
        <w:spacing w:lineRule="auto" w:line="312"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color w:val="000000"/>
          <w:sz w:val="24"/>
        </w:rPr>
        <w:t>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color w:val="000000"/>
          <w:sz w:val="24"/>
        </w:rPr>
        <w:t>To my knowledge, the information contained in the Report fairly presents, in all material respects, the financial condition and results of operations of the registrant.</w:t>
      </w:r>
    </w:p>
    <w:p>
      <w:pPr>
        <w:pStyle w:val="TextBody"/>
        <w:bidi w:val="0"/>
        <w:spacing w:before="0" w:after="0"/>
        <w:jc w:val="both"/>
        <w:rPr/>
      </w:pPr>
      <w:r>
        <w:rPr/>
      </w:r>
    </w:p>
    <w:tbl>
      <w:tblPr>
        <w:tblW w:w="5728" w:type="dxa"/>
        <w:jc w:val="left"/>
        <w:tblInd w:w="0" w:type="dxa"/>
        <w:tblLayout w:type="fixed"/>
        <w:tblCellMar>
          <w:top w:w="28" w:type="dxa"/>
          <w:left w:w="28" w:type="dxa"/>
          <w:bottom w:w="28" w:type="dxa"/>
          <w:right w:w="28" w:type="dxa"/>
        </w:tblCellMar>
      </w:tblPr>
      <w:tblGrid>
        <w:gridCol w:w="894"/>
        <w:gridCol w:w="788"/>
        <w:gridCol w:w="792"/>
        <w:gridCol w:w="149"/>
        <w:gridCol w:w="149"/>
        <w:gridCol w:w="151"/>
        <w:gridCol w:w="819"/>
        <w:gridCol w:w="819"/>
        <w:gridCol w:w="1167"/>
      </w:tblGrid>
      <w:tr>
        <w:trPr/>
        <w:tc>
          <w:tcPr>
            <w:tcW w:w="89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November 3, 2023</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Kevin Feeley</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Kevin Feeley</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Chief Financial Officer </w:t>
            </w:r>
          </w:p>
          <w:p>
            <w:pPr>
              <w:pStyle w:val="TableContents"/>
              <w:bidi w:val="0"/>
              <w:spacing w:lineRule="auto" w:line="240" w:before="0" w:after="30"/>
              <w:jc w:val="left"/>
              <w:rPr>
                <w:rFonts w:ascii="Times New Roman;sans-serif" w:hAnsi="Times New Roman;sans-serif"/>
                <w:b w:val="false"/>
                <w:color w:val="000000"/>
                <w:sz w:val="24"/>
              </w:rPr>
            </w:pPr>
            <w:r>
              <w:rPr>
                <w:rFonts w:ascii="Times New Roman;sans-serif" w:hAnsi="Times New Roman;sans-serif"/>
                <w:b w:val="false"/>
                <w:color w:val="000000"/>
                <w:sz w:val="24"/>
              </w:rPr>
              <w:t>(Principal Financial Officer)</w:t>
            </w:r>
          </w:p>
        </w:tc>
      </w:tr>
    </w:tbl>
    <w:p>
      <w:pPr>
        <w:pStyle w:val="TextBody"/>
        <w:bidi w:val="0"/>
        <w:spacing w:before="0" w:after="0"/>
        <w:jc w:val="left"/>
        <w:rPr/>
      </w:pPr>
      <w:r>
        <w:rPr/>
      </w:r>
    </w:p>
    <w:p>
      <w:pPr>
        <w:pStyle w:val="TextBody"/>
        <w:bidi w:val="0"/>
        <w:spacing w:before="0" w:after="0"/>
        <w:jc w:val="right"/>
        <w:rPr/>
      </w:pPr>
      <w:r>
        <w:rPr/>
      </w:r>
    </w:p>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18331/000162828021014760/exhibit31-super8xk.htm" TargetMode="External"/><Relationship Id="rId4" Type="http://schemas.openxmlformats.org/officeDocument/2006/relationships/hyperlink" Target="https://www.sec.gov/Archives/edgar/data/1818331/000181833123000006/sema4-certificateofamendme.htm" TargetMode="External"/><Relationship Id="rId5" Type="http://schemas.openxmlformats.org/officeDocument/2006/relationships/hyperlink" Target="https://www.sec.gov/Archives/edgar/data/1818331/000162828023011808/exhibit31-8xkx4172023.htm" TargetMode="External"/><Relationship Id="rId6" Type="http://schemas.openxmlformats.org/officeDocument/2006/relationships/hyperlink" Target="https://www.sec.gov/Archives/edgar/data/1818331/000181833123000030/exhibit31exhibita-genedxxc.htm" TargetMode="External"/><Relationship Id="rId7" Type="http://schemas.openxmlformats.org/officeDocument/2006/relationships/hyperlink" Target="https://www.sec.gov/Archives/edgar/data/1818331/000181833123000006/sema4-amendedandrestatedby.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26935</Words>
  <Characters>150180</Characters>
  <CharactersWithSpaces>175477</CharactersWithSpaces>
  <Paragraphs>2678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