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4763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76377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00" w:space="440"/>
            <w:col w:w="844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Turner Nat</w:t>
              </w:r>
            </w:hyperlink>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7"/>
          </w:tcPr>
          <w:p>
            <w:pPr>
              <w:ind w:left="60"/>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140"/>
              <w:spacing w:after="0" w:line="117"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200"/>
              <w:spacing w:after="0" w:line="117"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40" w:type="dxa"/>
            <w:vAlign w:val="bottom"/>
            <w:gridSpan w:val="5"/>
            <w:vMerge w:val="restart"/>
          </w:tcPr>
          <w:p>
            <w:pPr>
              <w:ind w:left="300"/>
              <w:spacing w:after="0"/>
              <w:rPr>
                <w:sz w:val="20"/>
                <w:szCs w:val="20"/>
                <w:color w:val="auto"/>
              </w:rPr>
            </w:pPr>
            <w:r>
              <w:rPr>
                <w:rFonts w:ascii="Arial" w:cs="Arial" w:eastAsia="Arial" w:hAnsi="Arial"/>
                <w:sz w:val="16"/>
                <w:szCs w:val="16"/>
                <w:color w:val="0000FF"/>
              </w:rPr>
              <w:t>07/22/2021</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6"/>
                <w:szCs w:val="16"/>
                <w:color w:val="0000FF"/>
              </w:rPr>
              <w:t>C/O SEMA4 HOLDINGS CORP.</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5"/>
            <w:vMerge w:val="continue"/>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8"/>
            <w:vMerge w:val="restart"/>
          </w:tcPr>
          <w:p>
            <w:pPr>
              <w:ind w:left="20"/>
              <w:spacing w:after="0"/>
              <w:rPr>
                <w:sz w:val="20"/>
                <w:szCs w:val="20"/>
                <w:color w:val="auto"/>
              </w:rPr>
            </w:pPr>
            <w:r>
              <w:rPr>
                <w:rFonts w:ascii="Arial" w:cs="Arial" w:eastAsia="Arial" w:hAnsi="Arial"/>
                <w:sz w:val="16"/>
                <w:szCs w:val="16"/>
                <w:color w:val="0000FF"/>
              </w:rPr>
              <w:t>333 LUDLOW ST, NORTH TOWER, 8TH FL.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STAMFORD</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CT</w:t>
            </w:r>
          </w:p>
        </w:tc>
        <w:tc>
          <w:tcPr>
            <w:tcW w:w="1020" w:type="dxa"/>
            <w:vAlign w:val="bottom"/>
          </w:tcPr>
          <w:p>
            <w:pPr>
              <w:ind w:left="40"/>
              <w:spacing w:after="0"/>
              <w:rPr>
                <w:sz w:val="20"/>
                <w:szCs w:val="20"/>
                <w:color w:val="auto"/>
              </w:rPr>
            </w:pPr>
            <w:r>
              <w:rPr>
                <w:rFonts w:ascii="Arial" w:cs="Arial" w:eastAsia="Arial" w:hAnsi="Arial"/>
                <w:sz w:val="16"/>
                <w:szCs w:val="16"/>
                <w:color w:val="0000FF"/>
              </w:rPr>
              <w:t>06902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60"/>
              <w:spacing w:after="0" w:line="126"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7"/>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4"/>
                <w:szCs w:val="14"/>
                <w:color w:val="auto"/>
              </w:rPr>
            </w:pPr>
          </w:p>
        </w:tc>
        <w:tc>
          <w:tcPr>
            <w:tcW w:w="19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jc w:val="center"/>
              <w:ind w:righ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gridSpan w:val="6"/>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center"/>
              <w:ind w:right="42"/>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Borders>
              <w:bottom w:val="single" w:sz="8" w:color="2C2C2C"/>
            </w:tcBorders>
            <w:gridSpan w:val="6"/>
          </w:tcPr>
          <w:p>
            <w:pPr>
              <w:ind w:left="920"/>
              <w:spacing w:after="0"/>
              <w:rPr>
                <w:sz w:val="20"/>
                <w:szCs w:val="20"/>
                <w:color w:val="auto"/>
              </w:rPr>
            </w:pPr>
            <w:r>
              <w:rPr>
                <w:rFonts w:ascii="Arial" w:cs="Arial" w:eastAsia="Arial" w:hAnsi="Arial"/>
                <w:sz w:val="16"/>
                <w:szCs w:val="16"/>
                <w:color w:val="0000FF"/>
              </w:rPr>
              <w:t>07/22/2021</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25,000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6"/>
                <w:szCs w:val="16"/>
                <w:color w:val="0000FF"/>
              </w:rPr>
              <w:t>25,000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2"/>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jc w:val="right"/>
              <w:ind w:right="342"/>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vMerge w:val="restart"/>
          </w:tcPr>
          <w:p>
            <w:pPr>
              <w:ind w:left="4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40" w:type="dxa"/>
            <w:vAlign w:val="bottom"/>
          </w:tcPr>
          <w:p>
            <w:pPr>
              <w:jc w:val="center"/>
              <w:ind w:right="19"/>
              <w:spacing w:after="0"/>
              <w:rPr>
                <w:sz w:val="20"/>
                <w:szCs w:val="20"/>
                <w:color w:val="auto"/>
              </w:rPr>
            </w:pPr>
            <w:r>
              <w:rPr>
                <w:rFonts w:ascii="Arial" w:cs="Arial" w:eastAsia="Arial" w:hAnsi="Arial"/>
                <w:sz w:val="13"/>
                <w:szCs w:val="13"/>
                <w:color w:val="0000FF"/>
                <w:w w:val="89"/>
              </w:rPr>
              <w:t>Class A</w:t>
            </w:r>
          </w:p>
        </w:tc>
        <w:tc>
          <w:tcPr>
            <w:tcW w:w="600" w:type="dxa"/>
            <w:vAlign w:val="bottom"/>
            <w:gridSpan w:val="2"/>
            <w:vMerge w:val="restart"/>
          </w:tcPr>
          <w:p>
            <w:pPr>
              <w:jc w:val="right"/>
              <w:ind w:right="31"/>
              <w:spacing w:after="0"/>
              <w:rPr>
                <w:sz w:val="20"/>
                <w:szCs w:val="20"/>
                <w:color w:val="auto"/>
              </w:rPr>
            </w:pPr>
            <w:r>
              <w:rPr>
                <w:rFonts w:ascii="Arial" w:cs="Arial" w:eastAsia="Arial" w:hAnsi="Arial"/>
                <w:sz w:val="16"/>
                <w:szCs w:val="16"/>
                <w:color w:val="0000FF"/>
                <w:w w:val="98"/>
              </w:rPr>
              <w:t>25,000</w:t>
            </w:r>
          </w:p>
        </w:tc>
        <w:tc>
          <w:tcPr>
            <w:tcW w:w="60" w:type="dxa"/>
            <w:vAlign w:val="bottom"/>
          </w:tcPr>
          <w:p>
            <w:pPr>
              <w:spacing w:after="0"/>
              <w:rPr>
                <w:sz w:val="15"/>
                <w:szCs w:val="15"/>
                <w:color w:val="auto"/>
              </w:rPr>
            </w:pPr>
          </w:p>
        </w:tc>
        <w:tc>
          <w:tcPr>
            <w:tcW w:w="680" w:type="dxa"/>
            <w:vAlign w:val="bottom"/>
            <w:vMerge w:val="restart"/>
          </w:tcPr>
          <w:p>
            <w:pPr>
              <w:jc w:val="right"/>
              <w:ind w:right="281"/>
              <w:spacing w:after="0"/>
              <w:rPr>
                <w:sz w:val="20"/>
                <w:szCs w:val="20"/>
                <w:color w:val="auto"/>
              </w:rPr>
            </w:pPr>
            <w:r>
              <w:rPr>
                <w:rFonts w:ascii="Arial" w:cs="Arial" w:eastAsia="Arial" w:hAnsi="Arial"/>
                <w:sz w:val="10"/>
                <w:szCs w:val="10"/>
                <w:color w:val="008000"/>
              </w:rPr>
              <w:t>(1)</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Common</w:t>
            </w: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97"/>
              <w:spacing w:after="0" w:line="138" w:lineRule="exact"/>
              <w:rPr>
                <w:sz w:val="20"/>
                <w:szCs w:val="20"/>
                <w:color w:val="auto"/>
              </w:rPr>
            </w:pPr>
            <w:r>
              <w:rPr>
                <w:rFonts w:ascii="Arial" w:cs="Arial" w:eastAsia="Arial" w:hAnsi="Arial"/>
                <w:sz w:val="13"/>
                <w:szCs w:val="13"/>
                <w:color w:val="0000FF"/>
              </w:rPr>
              <w:t>07/22/2021</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line="138" w:lineRule="exact"/>
              <w:rPr>
                <w:sz w:val="20"/>
                <w:szCs w:val="20"/>
                <w:color w:val="auto"/>
              </w:rPr>
            </w:pPr>
            <w:r>
              <w:rPr>
                <w:rFonts w:ascii="Arial" w:cs="Arial" w:eastAsia="Arial" w:hAnsi="Arial"/>
                <w:sz w:val="13"/>
                <w:szCs w:val="13"/>
                <w:color w:val="0000FF"/>
              </w:rPr>
              <w:t>25,000</w:t>
            </w: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tcPr>
          <w:p>
            <w:pPr>
              <w:ind w:left="40"/>
              <w:spacing w:after="0" w:line="138"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jc w:val="right"/>
              <w:ind w:right="43"/>
              <w:spacing w:after="0" w:line="13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jc w:val="center"/>
              <w:ind w:right="19"/>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Private</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center"/>
              <w:ind w:right="19"/>
              <w:spacing w:after="0"/>
              <w:rPr>
                <w:sz w:val="20"/>
                <w:szCs w:val="20"/>
                <w:color w:val="auto"/>
              </w:rPr>
            </w:pPr>
            <w:r>
              <w:rPr>
                <w:rFonts w:ascii="Arial" w:cs="Arial" w:eastAsia="Arial" w:hAnsi="Arial"/>
                <w:sz w:val="13"/>
                <w:szCs w:val="13"/>
                <w:color w:val="0000FF"/>
                <w:w w:val="89"/>
              </w:rPr>
              <w:t>Class A</w:t>
            </w:r>
          </w:p>
        </w:tc>
        <w:tc>
          <w:tcPr>
            <w:tcW w:w="600" w:type="dxa"/>
            <w:vAlign w:val="bottom"/>
            <w:gridSpan w:val="2"/>
            <w:vMerge w:val="restart"/>
          </w:tcPr>
          <w:p>
            <w:pPr>
              <w:jc w:val="right"/>
              <w:spacing w:after="0"/>
              <w:rPr>
                <w:sz w:val="20"/>
                <w:szCs w:val="20"/>
                <w:color w:val="auto"/>
              </w:rPr>
            </w:pPr>
            <w:r>
              <w:rPr>
                <w:rFonts w:ascii="Arial" w:cs="Arial" w:eastAsia="Arial" w:hAnsi="Arial"/>
                <w:sz w:val="16"/>
                <w:szCs w:val="16"/>
                <w:color w:val="0000FF"/>
                <w:w w:val="89"/>
              </w:rPr>
              <w:t>166,666</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3"/>
                <w:szCs w:val="13"/>
                <w:color w:val="0000FF"/>
              </w:rPr>
              <w:t>By NTWJ</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3"/>
                <w:szCs w:val="13"/>
                <w:color w:val="0000FF"/>
                <w:w w:val="94"/>
              </w:rPr>
              <w:t>Placement</w:t>
            </w:r>
          </w:p>
        </w:tc>
        <w:tc>
          <w:tcPr>
            <w:tcW w:w="640" w:type="dxa"/>
            <w:vAlign w:val="bottom"/>
            <w:gridSpan w:val="2"/>
          </w:tcPr>
          <w:p>
            <w:pPr>
              <w:jc w:val="center"/>
              <w:ind w:right="10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20" w:type="dxa"/>
            <w:vAlign w:val="bottom"/>
          </w:tcPr>
          <w:p>
            <w:pPr>
              <w:spacing w:after="0"/>
              <w:rPr>
                <w:sz w:val="11"/>
                <w:szCs w:val="11"/>
                <w:color w:val="auto"/>
              </w:rPr>
            </w:pPr>
          </w:p>
        </w:tc>
        <w:tc>
          <w:tcPr>
            <w:tcW w:w="1080" w:type="dxa"/>
            <w:vAlign w:val="bottom"/>
          </w:tcPr>
          <w:p>
            <w:pPr>
              <w:jc w:val="right"/>
              <w:ind w:right="197"/>
              <w:spacing w:after="0" w:line="134" w:lineRule="exact"/>
              <w:rPr>
                <w:sz w:val="20"/>
                <w:szCs w:val="20"/>
                <w:color w:val="auto"/>
              </w:rPr>
            </w:pPr>
            <w:r>
              <w:rPr>
                <w:rFonts w:ascii="Arial" w:cs="Arial" w:eastAsia="Arial" w:hAnsi="Arial"/>
                <w:sz w:val="13"/>
                <w:szCs w:val="13"/>
                <w:color w:val="0000FF"/>
              </w:rPr>
              <w:t>07/22/2021</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ind w:left="100"/>
              <w:spacing w:after="0" w:line="134" w:lineRule="exact"/>
              <w:rPr>
                <w:sz w:val="20"/>
                <w:szCs w:val="20"/>
                <w:color w:val="auto"/>
              </w:rPr>
            </w:pPr>
            <w:r>
              <w:rPr>
                <w:rFonts w:ascii="Arial" w:cs="Arial" w:eastAsia="Arial" w:hAnsi="Arial"/>
                <w:sz w:val="13"/>
                <w:szCs w:val="13"/>
                <w:color w:val="0000FF"/>
              </w:rPr>
              <w:t>A</w:t>
            </w:r>
          </w:p>
        </w:tc>
        <w:tc>
          <w:tcPr>
            <w:tcW w:w="600" w:type="dxa"/>
            <w:vAlign w:val="bottom"/>
          </w:tcPr>
          <w:p>
            <w:pPr>
              <w:ind w:left="60"/>
              <w:spacing w:after="0" w:line="134" w:lineRule="exact"/>
              <w:rPr>
                <w:sz w:val="20"/>
                <w:szCs w:val="20"/>
                <w:color w:val="auto"/>
              </w:rPr>
            </w:pPr>
            <w:r>
              <w:rPr>
                <w:rFonts w:ascii="Arial" w:cs="Arial" w:eastAsia="Arial" w:hAnsi="Arial"/>
                <w:sz w:val="13"/>
                <w:szCs w:val="13"/>
                <w:color w:val="0000FF"/>
              </w:rPr>
              <w:t>166,666</w:t>
            </w:r>
          </w:p>
        </w:tc>
        <w:tc>
          <w:tcPr>
            <w:tcW w:w="460" w:type="dxa"/>
            <w:vAlign w:val="bottom"/>
          </w:tcPr>
          <w:p>
            <w:pPr>
              <w:spacing w:after="0"/>
              <w:rPr>
                <w:sz w:val="11"/>
                <w:szCs w:val="11"/>
                <w:color w:val="auto"/>
              </w:rPr>
            </w:pPr>
          </w:p>
        </w:tc>
        <w:tc>
          <w:tcPr>
            <w:tcW w:w="740" w:type="dxa"/>
            <w:vAlign w:val="bottom"/>
            <w:gridSpan w:val="2"/>
          </w:tcPr>
          <w:p>
            <w:pPr>
              <w:ind w:left="260"/>
              <w:spacing w:after="0"/>
              <w:rPr>
                <w:sz w:val="20"/>
                <w:szCs w:val="20"/>
                <w:color w:val="auto"/>
              </w:rPr>
            </w:pPr>
            <w:r>
              <w:rPr>
                <w:rFonts w:ascii="Arial" w:cs="Arial" w:eastAsia="Arial" w:hAnsi="Arial"/>
                <w:sz w:val="10"/>
                <w:szCs w:val="10"/>
                <w:color w:val="008000"/>
              </w:rPr>
              <w:t>(2)</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640" w:type="dxa"/>
            <w:vAlign w:val="bottom"/>
          </w:tcPr>
          <w:p>
            <w:pPr>
              <w:ind w:left="40"/>
              <w:spacing w:after="0" w:line="134"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181"/>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820" w:type="dxa"/>
            <w:vAlign w:val="bottom"/>
            <w:gridSpan w:val="2"/>
          </w:tcPr>
          <w:p>
            <w:pPr>
              <w:jc w:val="right"/>
              <w:ind w:right="164"/>
              <w:spacing w:after="0" w:line="134" w:lineRule="exact"/>
              <w:rPr>
                <w:sz w:val="20"/>
                <w:szCs w:val="20"/>
                <w:color w:val="auto"/>
              </w:rPr>
            </w:pPr>
            <w:r>
              <w:rPr>
                <w:rFonts w:ascii="Arial" w:cs="Arial" w:eastAsia="Arial" w:hAnsi="Arial"/>
                <w:sz w:val="13"/>
                <w:szCs w:val="13"/>
                <w:color w:val="0000FF"/>
              </w:rPr>
              <w:t>166,666</w:t>
            </w:r>
          </w:p>
        </w:tc>
        <w:tc>
          <w:tcPr>
            <w:tcW w:w="640" w:type="dxa"/>
            <w:vAlign w:val="bottom"/>
          </w:tcPr>
          <w:p>
            <w:pPr>
              <w:ind w:left="360"/>
              <w:spacing w:after="0" w:line="134"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tcPr>
          <w:p>
            <w:pPr>
              <w:ind w:left="160"/>
              <w:spacing w:after="0" w:line="134" w:lineRule="exact"/>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r>
        <w:trPr>
          <w:trHeight w:val="230"/>
        </w:trPr>
        <w:tc>
          <w:tcPr>
            <w:tcW w:w="2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Warrants</w:t>
            </w:r>
          </w:p>
        </w:tc>
        <w:tc>
          <w:tcPr>
            <w:tcW w:w="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center"/>
              <w:ind w:right="19"/>
              <w:spacing w:after="0"/>
              <w:rPr>
                <w:sz w:val="20"/>
                <w:szCs w:val="20"/>
                <w:color w:val="auto"/>
              </w:rPr>
            </w:pPr>
            <w:r>
              <w:rPr>
                <w:rFonts w:ascii="Arial" w:cs="Arial" w:eastAsia="Arial" w:hAnsi="Arial"/>
                <w:sz w:val="13"/>
                <w:szCs w:val="13"/>
                <w:color w:val="0000FF"/>
                <w:w w:val="85"/>
              </w:rPr>
              <w:t>Stock</w:t>
            </w:r>
          </w:p>
        </w:tc>
        <w:tc>
          <w:tcPr>
            <w:tcW w:w="2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Arial" w:cs="Arial" w:eastAsia="Arial" w:hAnsi="Arial"/>
                <w:sz w:val="13"/>
                <w:szCs w:val="13"/>
                <w:color w:val="0000FF"/>
              </w:rPr>
              <w:t>LLC</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-1991360</wp:posOffset>
            </wp:positionV>
            <wp:extent cx="28575" cy="1997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9707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hanging="2"/>
        <w:spacing w:after="0" w:line="231"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closing (the "Closing") of the business combination (the "Business Combination") between the Issuer (which was formerly known as CM Life Sciences, Inc. or "CMLS") and Mount Sinai Genomics, Inc. d/b/a Sema4 ("Sema4"), among other things, each share of CMLS's Class B common stock converted pursuant to the terms of such stock into shares of the Issuer's Class A Common Stock on a one-for-one basis.</w:t>
      </w:r>
    </w:p>
    <w:p>
      <w:pPr>
        <w:spacing w:after="0" w:line="31" w:lineRule="exact"/>
        <w:rPr>
          <w:rFonts w:ascii="Arial" w:cs="Arial" w:eastAsia="Arial" w:hAnsi="Arial"/>
          <w:sz w:val="13"/>
          <w:szCs w:val="13"/>
          <w:color w:val="008000"/>
        </w:rPr>
      </w:pPr>
    </w:p>
    <w:p>
      <w:pPr>
        <w:ind w:left="40" w:right="180" w:hanging="2"/>
        <w:spacing w:after="0" w:line="280"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In connection with the consummation of the Business Combination, all of the private placement warrants of CMLS held by the Reporting Person, which previously entitled the Reporting Person to purchase one share of CMLS's Class A Common Stock at a price of $11.50 per whole share at any time commencing on the later of 12 months from the closing of CMLS's initial public offering or 30 days after the completion of an initial business combination of CMLS, were converted into private placement warrants of Issuer (each a "New Private Placement Warrant") simultaneously with the closing of the Business Combination, with each whole New Private Placement Warrant entitling the holder thereof to the right to purchase one share of Issuer's Class A Common Stock.</w:t>
      </w:r>
    </w:p>
    <w:p>
      <w:pPr>
        <w:spacing w:after="0" w:line="10" w:lineRule="exact"/>
        <w:rPr>
          <w:rFonts w:ascii="Arial" w:cs="Arial" w:eastAsia="Arial" w:hAnsi="Arial"/>
          <w:sz w:val="11"/>
          <w:szCs w:val="11"/>
          <w:color w:val="008000"/>
        </w:rPr>
      </w:pPr>
    </w:p>
    <w:p>
      <w:pPr>
        <w:ind w:left="40" w:right="300" w:hanging="2"/>
        <w:spacing w:after="0" w:line="237"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held of record by NTWJ Holdings, LLC ("NTWJ"). Mr. Turner is a managing member of NTWJ. As such, Mr. Turner may be deemed to have beneficial ownership of such securities. Mr. Turner disclaims beneficial ownership of the reported securities except to the extent of his pecuniary interest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60" w:type="dxa"/>
            <w:vAlign w:val="bottom"/>
            <w:gridSpan w:val="3"/>
          </w:tcPr>
          <w:p>
            <w:pPr>
              <w:spacing w:after="0"/>
              <w:rPr>
                <w:sz w:val="20"/>
                <w:szCs w:val="20"/>
                <w:color w:val="auto"/>
              </w:rPr>
            </w:pPr>
            <w:r>
              <w:rPr>
                <w:rFonts w:ascii="Arial" w:cs="Arial" w:eastAsia="Arial" w:hAnsi="Arial"/>
                <w:sz w:val="16"/>
                <w:szCs w:val="16"/>
                <w:color w:val="0000FF"/>
              </w:rPr>
              <w:t>/s/ Daniel Clark, Attorney-in-</w:t>
            </w:r>
          </w:p>
        </w:tc>
        <w:tc>
          <w:tcPr>
            <w:tcW w:w="880" w:type="dxa"/>
            <w:vAlign w:val="bottom"/>
            <w:gridSpan w:val="2"/>
            <w:vMerge w:val="restart"/>
          </w:tcPr>
          <w:p>
            <w:pPr>
              <w:ind w:left="140"/>
              <w:spacing w:after="0"/>
              <w:rPr>
                <w:sz w:val="20"/>
                <w:szCs w:val="20"/>
                <w:color w:val="auto"/>
              </w:rPr>
            </w:pPr>
            <w:r>
              <w:rPr>
                <w:rFonts w:ascii="Arial" w:cs="Arial" w:eastAsia="Arial" w:hAnsi="Arial"/>
                <w:sz w:val="16"/>
                <w:szCs w:val="16"/>
                <w:color w:val="0000FF"/>
                <w:w w:val="89"/>
              </w:rPr>
              <w:t>07/26/2021</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640" w:type="dxa"/>
            <w:vAlign w:val="bottom"/>
            <w:tcBorders>
              <w:top w:val="single" w:sz="8" w:color="auto"/>
            </w:tcBorders>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40" w:type="dxa"/>
            <w:vAlign w:val="bottom"/>
            <w:tcBorders>
              <w:top w:val="single" w:sz="8" w:color="auto"/>
            </w:tcBorders>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194" w:lineRule="exact"/>
        <w:rPr>
          <w:sz w:val="20"/>
          <w:szCs w:val="20"/>
          <w:color w:val="auto"/>
        </w:rPr>
      </w:pPr>
    </w:p>
    <w:p>
      <w:pPr>
        <w:ind w:right="1899" w:firstLine="781"/>
        <w:spacing w:after="0" w:line="250"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each of Shawn Assad, and Daniel Clark as his or her true and lawful attorney-in-fact to:</w:t>
      </w:r>
    </w:p>
    <w:p>
      <w:pPr>
        <w:spacing w:after="0" w:line="185" w:lineRule="exact"/>
        <w:rPr>
          <w:sz w:val="20"/>
          <w:szCs w:val="20"/>
          <w:color w:val="auto"/>
        </w:rPr>
      </w:pPr>
    </w:p>
    <w:p>
      <w:pPr>
        <w:ind w:right="1119" w:firstLine="782"/>
        <w:spacing w:after="0" w:line="248" w:lineRule="auto"/>
        <w:tabs>
          <w:tab w:leader="none" w:pos="15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6"/>
          <w:szCs w:val="16"/>
          <w:color w:val="auto"/>
        </w:rPr>
      </w:pPr>
    </w:p>
    <w:p>
      <w:pPr>
        <w:ind w:right="21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6"/>
          <w:szCs w:val="16"/>
          <w:color w:val="auto"/>
        </w:rPr>
      </w:pPr>
    </w:p>
    <w:p>
      <w:pPr>
        <w:ind w:right="227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1934 (the "Exchange Act") and the rules thereunder with respect to transactions in the Company's securities;</w:t>
      </w:r>
    </w:p>
    <w:p>
      <w:pPr>
        <w:spacing w:after="0" w:line="184" w:lineRule="exact"/>
        <w:rPr>
          <w:rFonts w:ascii="Courier New" w:cs="Courier New" w:eastAsia="Courier New" w:hAnsi="Courier New"/>
          <w:sz w:val="16"/>
          <w:szCs w:val="16"/>
          <w:color w:val="auto"/>
        </w:rPr>
      </w:pPr>
    </w:p>
    <w:p>
      <w:pPr>
        <w:ind w:right="1219" w:firstLine="782"/>
        <w:spacing w:after="0" w:line="248" w:lineRule="auto"/>
        <w:tabs>
          <w:tab w:leader="none" w:pos="15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ID, or Form</w:t>
      </w:r>
    </w:p>
    <w:p>
      <w:pPr>
        <w:spacing w:after="0" w:line="1" w:lineRule="exact"/>
        <w:rPr>
          <w:rFonts w:ascii="Courier New" w:cs="Courier New" w:eastAsia="Courier New" w:hAnsi="Courier New"/>
          <w:sz w:val="16"/>
          <w:szCs w:val="16"/>
          <w:color w:val="auto"/>
        </w:rPr>
      </w:pPr>
    </w:p>
    <w:p>
      <w:pPr>
        <w:jc w:val="both"/>
        <w:ind w:right="24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4 or 5 report and any amendments thereto and timely file such reports with the U.S.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right="1899" w:firstLine="782"/>
        <w:spacing w:after="0" w:line="248" w:lineRule="auto"/>
        <w:tabs>
          <w:tab w:leader="none" w:pos="15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6"/>
          <w:szCs w:val="16"/>
          <w:color w:val="auto"/>
        </w:rPr>
      </w:pPr>
    </w:p>
    <w:p>
      <w:pPr>
        <w:ind w:right="217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87" w:lineRule="exact"/>
        <w:rPr>
          <w:sz w:val="20"/>
          <w:szCs w:val="20"/>
          <w:color w:val="auto"/>
        </w:rPr>
      </w:pPr>
    </w:p>
    <w:p>
      <w:pPr>
        <w:ind w:right="2179"/>
        <w:spacing w:after="0" w:line="24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94" w:lineRule="exact"/>
        <w:rPr>
          <w:sz w:val="20"/>
          <w:szCs w:val="20"/>
          <w:color w:val="auto"/>
        </w:rPr>
      </w:pPr>
    </w:p>
    <w:p>
      <w:pPr>
        <w:ind w:right="2179"/>
        <w:spacing w:after="0" w:line="248"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93" w:lineRule="exact"/>
        <w:rPr>
          <w:sz w:val="20"/>
          <w:szCs w:val="20"/>
          <w:color w:val="auto"/>
        </w:rPr>
      </w:pPr>
    </w:p>
    <w:p>
      <w:pPr>
        <w:ind w:right="2179"/>
        <w:spacing w:after="0" w:line="249"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87"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July, 2021.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Nat Turner</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229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2021-07-26T19:32:19Z</dcterms:created>
  <dcterms:modified xsi:type="dcterms:W3CDTF">2021-07-26T19:32:19Z</dcterms:modified>
</cp:coreProperties>
</file>