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4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4011295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498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984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Meister Keith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C/O CORVEX MANAGEMENT LP</w:t>
            </w:r>
          </w:p>
        </w:tc>
      </w:tr>
      <w:tr>
        <w:trPr>
          <w:trHeight w:val="260"/>
        </w:trPr>
        <w:tc>
          <w:tcPr>
            <w:tcW w:w="20" w:type="dxa"/>
            <w:vAlign w:val="bottom"/>
          </w:tcPr>
          <w:p>
            <w:pPr>
              <w:spacing w:after="0"/>
              <w:rPr>
                <w:sz w:val="22"/>
                <w:szCs w:val="22"/>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667 MADISON AVENUE</w:t>
            </w: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10065</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60" w:type="dxa"/>
            <w:vAlign w:val="bottom"/>
            <w:tcBorders>
              <w:bottom w:val="single" w:sz="8" w:color="2C2C2C"/>
            </w:tcBorders>
          </w:tcPr>
          <w:p>
            <w:pPr>
              <w:spacing w:after="0"/>
              <w:rPr>
                <w:sz w:val="10"/>
                <w:szCs w:val="10"/>
                <w:color w:val="auto"/>
              </w:rPr>
            </w:pPr>
          </w:p>
        </w:tc>
        <w:tc>
          <w:tcPr>
            <w:tcW w:w="140" w:type="dxa"/>
            <w:vAlign w:val="bottom"/>
            <w:tcBorders>
              <w:top w:val="single" w:sz="8" w:color="0000EE"/>
              <w:bottom w:val="single" w:sz="8" w:color="2C2C2C"/>
            </w:tcBorders>
          </w:tcPr>
          <w:p>
            <w:pPr>
              <w:spacing w:after="0"/>
              <w:rPr>
                <w:sz w:val="10"/>
                <w:szCs w:val="10"/>
                <w:color w:val="auto"/>
              </w:rPr>
            </w:pPr>
          </w:p>
        </w:tc>
        <w:tc>
          <w:tcPr>
            <w:tcW w:w="1900" w:type="dxa"/>
            <w:vAlign w:val="bottom"/>
            <w:tcBorders>
              <w:top w:val="single" w:sz="8" w:color="0000EE"/>
              <w:bottom w:val="single" w:sz="8" w:color="2C2C2C"/>
            </w:tcBorders>
          </w:tcPr>
          <w:p>
            <w:pPr>
              <w:spacing w:after="0"/>
              <w:rPr>
                <w:sz w:val="10"/>
                <w:szCs w:val="10"/>
                <w:color w:val="auto"/>
              </w:rPr>
            </w:pPr>
          </w:p>
        </w:tc>
        <w:tc>
          <w:tcPr>
            <w:tcW w:w="1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90" w:lineRule="exact"/>
              <w:rPr>
                <w:sz w:val="20"/>
                <w:szCs w:val="20"/>
                <w:color w:val="auto"/>
              </w:rPr>
            </w:pPr>
            <w:r>
              <w:rPr>
                <w:rFonts w:ascii="Arial" w:cs="Arial" w:eastAsia="Arial" w:hAnsi="Arial"/>
                <w:sz w:val="10"/>
                <w:szCs w:val="10"/>
                <w:color w:val="auto"/>
              </w:rPr>
              <w:t>Director</w:t>
            </w:r>
          </w:p>
        </w:tc>
        <w:tc>
          <w:tcPr>
            <w:tcW w:w="1440" w:type="dxa"/>
            <w:vAlign w:val="bottom"/>
          </w:tcPr>
          <w:p>
            <w:pPr>
              <w:ind w:left="320"/>
              <w:spacing w:after="0" w:line="90"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06/20/2024</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30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9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120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9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12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120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0" w:type="dxa"/>
            <w:vAlign w:val="bottom"/>
            <w:gridSpan w:val="4"/>
            <w:vMerge w:val="restart"/>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5,828</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right"/>
              <w:ind w:right="2"/>
              <w:spacing w:after="0"/>
              <w:rPr>
                <w:sz w:val="20"/>
                <w:szCs w:val="20"/>
                <w:color w:val="auto"/>
              </w:rPr>
            </w:pPr>
            <w:r>
              <w:rPr>
                <w:rFonts w:ascii="Times New Roman" w:cs="Times New Roman" w:eastAsia="Times New Roman" w:hAnsi="Times New Roman"/>
                <w:sz w:val="17"/>
                <w:szCs w:val="17"/>
                <w:color w:val="0000FF"/>
              </w:rPr>
              <w:t>7,205</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80" w:type="dxa"/>
            <w:vAlign w:val="bottom"/>
            <w:gridSpan w:val="3"/>
            <w:vMerge w:val="restart"/>
          </w:tcPr>
          <w:p>
            <w:pPr>
              <w:jc w:val="right"/>
              <w:ind w:right="142"/>
              <w:spacing w:after="0"/>
              <w:rPr>
                <w:sz w:val="20"/>
                <w:szCs w:val="20"/>
                <w:color w:val="auto"/>
              </w:rPr>
            </w:pPr>
            <w:r>
              <w:rPr>
                <w:rFonts w:ascii="Times New Roman" w:cs="Times New Roman" w:eastAsia="Times New Roman" w:hAnsi="Times New Roman"/>
                <w:sz w:val="17"/>
                <w:szCs w:val="17"/>
                <w:color w:val="0000FF"/>
              </w:rPr>
              <w:t>3,640,663</w:t>
            </w:r>
          </w:p>
        </w:tc>
        <w:tc>
          <w:tcPr>
            <w:tcW w:w="60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Pr>
          <w:p>
            <w:pPr>
              <w:spacing w:after="0"/>
              <w:rPr>
                <w:sz w:val="21"/>
                <w:szCs w:val="21"/>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6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4"/>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8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20" w:type="dxa"/>
            <w:vAlign w:val="bottom"/>
            <w:gridSpan w:val="10"/>
          </w:tcPr>
          <w:p>
            <w:pPr>
              <w:ind w:left="6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9"/>
              </w:rPr>
              <w:t>Derivative Security</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5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100" w:type="dxa"/>
            <w:vAlign w:val="bottom"/>
          </w:tcPr>
          <w:p>
            <w:pPr>
              <w:spacing w:after="0"/>
              <w:rPr>
                <w:sz w:val="15"/>
                <w:szCs w:val="15"/>
                <w:color w:val="auto"/>
              </w:rPr>
            </w:pP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9"/>
              </w:rPr>
              <w:t>5,828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06/20/2024</w:t>
            </w:r>
          </w:p>
        </w:tc>
        <w:tc>
          <w:tcPr>
            <w:tcW w:w="1100" w:type="dxa"/>
            <w:vAlign w:val="bottom"/>
          </w:tcPr>
          <w:p>
            <w:pPr>
              <w:spacing w:after="0"/>
              <w:rPr>
                <w:sz w:val="5"/>
                <w:szCs w:val="5"/>
                <w:color w:val="auto"/>
              </w:rPr>
            </w:pPr>
          </w:p>
        </w:tc>
        <w:tc>
          <w:tcPr>
            <w:tcW w:w="44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5,828</w:t>
            </w: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300" w:type="dxa"/>
            <w:vAlign w:val="bottom"/>
          </w:tcPr>
          <w:p>
            <w:pPr>
              <w:spacing w:after="0"/>
              <w:rPr>
                <w:sz w:val="5"/>
                <w:szCs w:val="5"/>
                <w:color w:val="auto"/>
              </w:rPr>
            </w:pPr>
          </w:p>
        </w:tc>
        <w:tc>
          <w:tcPr>
            <w:tcW w:w="6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44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460" w:firstLine="3"/>
        <w:spacing w:after="0" w:line="293"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by CMLS Holdings Stock reported herein. Corvex is not an investment adviser to CMLS Holdings.</w:t>
      </w:r>
    </w:p>
    <w:p>
      <w:pPr>
        <w:spacing w:after="0" w:line="1" w:lineRule="exact"/>
        <w:rPr>
          <w:rFonts w:ascii="Times New Roman" w:cs="Times New Roman" w:eastAsia="Times New Roman" w:hAnsi="Times New Roman"/>
          <w:sz w:val="12"/>
          <w:szCs w:val="12"/>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3,307,519 shares of Class A Common Stock of the Issuer are held for the accounts of the Corvex Funds for which Corvex Management LP ("Corvex") acts as investment adviser. The general partner of Corvex is controlled by Mr. Meister.</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06/24/2024</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076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2024-06-24T16:53:01Z</dcterms:created>
  <dcterms:modified xsi:type="dcterms:W3CDTF">2024-06-24T16:53:01Z</dcterms:modified>
</cp:coreProperties>
</file>