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Leproust Emily M.</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GeneDx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WGS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06/18/2026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333 LUDLOW ST., NORTH TOWER, 6TH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06/18/2026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9"/>
              </w:rPr>
              <w:t>3,576</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00"/>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24,852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4,248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06/18/2026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4,248</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4,248</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3,576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06/18/2026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3" w:lineRule="exact"/>
        <w:rPr>
          <w:rFonts w:ascii="Times New Roman" w:cs="Times New Roman" w:eastAsia="Times New Roman" w:hAnsi="Times New Roman"/>
          <w:sz w:val="13"/>
          <w:szCs w:val="13"/>
          <w:color w:val="008000"/>
        </w:rPr>
      </w:pPr>
    </w:p>
    <w:p>
      <w:pPr>
        <w:ind w:left="40" w:right="3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shall vest on the earlier of the (i) date of the 2027 annual meeting of the Issuer's stockholders, or (ii) first anniversary of the grant date, subject to the Reporting Person's continued service to the Issuer through the vesting date. These RSUs do not have an expiration date; they either vest or are cancelled prior to the vesting date.</w:t>
      </w:r>
    </w:p>
    <w:p>
      <w:pPr>
        <w:spacing w:after="0" w:line="17" w:lineRule="exact"/>
        <w:rPr>
          <w:rFonts w:ascii="Times New Roman" w:cs="Times New Roman" w:eastAsia="Times New Roman" w:hAnsi="Times New Roman"/>
          <w:sz w:val="13"/>
          <w:szCs w:val="13"/>
          <w:color w:val="008000"/>
        </w:rPr>
      </w:pPr>
    </w:p>
    <w:p>
      <w:pPr>
        <w:ind w:left="40" w:right="52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vested or vests on the earlier of the: (i) date of the 2026 annual meeting of the Issuer's stockholders, or (ii) first anniversary of the grant date, subject to the Reporting Person's continued service to the Issuer through the vesting date. These RSUs do not have an expiration date; they either vest or are cancelled prior to the vesting date.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1"/>
          <w:szCs w:val="31"/>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3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365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2026-06-23T15:43:33Z</dcterms:created>
  <dcterms:modified xsi:type="dcterms:W3CDTF">2026-06-23T15:43:33Z</dcterms:modified>
</cp:coreProperties>
</file>