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CM Life Sciences,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CM Life Sciences,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May 6, 2021</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On Thursday, May 6, 2021, Mount Sinai Genomics, Inc. d/b/a Sema4 (“Sema4”), CM Life Science Inc.’s business combination target, issued a press release entitled “Sema4 and CM Life Sciences Announce the Filing of the Schedule-14A Proxy Statement in Connection With the Proposed Merger” A copy of the press release and weblink are set forth below:</w:t>
      </w:r>
    </w:p>
    <w:p>
      <w:pPr>
        <w:spacing w:after="0" w:line="18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u w:val="single" w:color="auto"/>
          <w:color w:val="auto"/>
        </w:rPr>
        <w:t>https://www.businesswire.com/news/home/20210506006275/en/Sema4-and-CM-Life-Sciences-Announce-the-Filing-of-the-Schedule-14A-Proxy-Statement-in-Connection-with-the-Proposed-Merger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64592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62915"/>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and CM Life Sciences Announce the Filing of the Schedule-14A Proxy Statement in Connection with the Proposed Merger</w:t>
      </w:r>
    </w:p>
    <w:p>
      <w:pPr>
        <w:spacing w:after="0" w:line="3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STAMFORD, CT — May 6, 2020 —</w:t>
      </w:r>
      <w:r>
        <w:rPr>
          <w:rFonts w:ascii="Arial" w:cs="Arial" w:eastAsia="Arial" w:hAnsi="Arial"/>
          <w:sz w:val="17"/>
          <w:szCs w:val="17"/>
          <w:color w:val="auto"/>
        </w:rPr>
        <w:t>Sema4, a patient-centered health intelligence company leveraging AI and machine learning to derive data-driven</w:t>
      </w:r>
      <w:r>
        <w:rPr>
          <w:rFonts w:ascii="Arial" w:cs="Arial" w:eastAsia="Arial" w:hAnsi="Arial"/>
          <w:sz w:val="17"/>
          <w:szCs w:val="17"/>
          <w:b w:val="1"/>
          <w:bCs w:val="1"/>
          <w:color w:val="auto"/>
        </w:rPr>
        <w:t xml:space="preserve"> </w:t>
      </w:r>
      <w:r>
        <w:rPr>
          <w:rFonts w:ascii="Arial" w:cs="Arial" w:eastAsia="Arial" w:hAnsi="Arial"/>
          <w:sz w:val="17"/>
          <w:szCs w:val="17"/>
          <w:color w:val="auto"/>
        </w:rPr>
        <w:t>insights, and CM Life Sciences (Nasdaq: CMLF), a special purpose acquisition company, or SPAC, sponsored by affiliates of Casdin Capital, LLC and Corvex Management LP, today announced the filing of the preliminary proxy statement related to their proposed business combination.</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filing of the preliminary proxy statement initiates the formal Securities and Exchange Commission (SEC) review process required to finalize the definitive proxy statement that will be sent to CM Life Sciences shareholders. “This is an important milestone and begins the process of transitioning Sema4 into an independent public company and leader in the clinical genomics space. There is tremendous growth potential ahead for the company and we are excited by the opportunities that will be enabled by this transaction,” commented Eli Casdin, Chief Executive Officer of CM Life Sciences.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each day goes by, Sema4 grows as a leader in patient-centered genomic and clinical data,” remarked Eric Schadt, PhD, Founder and Chief Executive Officer of Sema4. “Meanwhile, we continue to be on track to achieve the 2021 financial and strategic goals and importantly build a business that is powered to execute on the long term potential of an AI-powered platform to health system partners, providers and their patients.”</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look forward to consummating the transaction following SEC review and approval from our shareholders, which is anticipated by the end of July,” said Keith Meister, Chairman of CM Life Sciences.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 For more information, please visit sema4.com and connect with Sema4 on Twitter, LinkedIn, Facebook and YouTube.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CM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CM Life Sciences was founded to take advantage of a dynamic life science sector buoyed by innovation yet fragmented, where many companies are under-resourced and under-scaled. Significant and under-appreciated opportunities for consolidation are ready for engagement by a team versed in the trends and themes, and who can bring together the strongest of the new companies and management teams to capitalize on near- and far-term opportunities. For more information, please visit https://cmlifesciencesspac.com/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the SEC review process for CM Life Sciences’ proxy statement for the transaction, shareholder approval for the transaction, expansion plans, projected future results, Sema4’s 2021 financial and strategic goals and Sema4’s business, growth and market opportunities.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annual report on Form 10-K, as amended, the proxy statement discussed above and other documents filed by CM Life Sciences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-4123055</wp:posOffset>
            </wp:positionV>
            <wp:extent cx="7132320" cy="4251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 / 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proposed transaction, CM Life Sciences has filed a preliminary proxy statement with the SEC, and CM Life Sciences will file a definitive proxy statement with the SEC, which will be sent to the stockholders of CM Life Sciences. CM Life Sciences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through the website maintained by the SEC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7132320" cy="960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documents filed by CM Life Sciences with the SEC also may be obtained free of charge at CM Life Sciences’ website at https://cmlifesciencesspac.com/ or upon written request to CM Life Sciences, c/o Corvex Management, 667 Madison Ave, New York, NY 10065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reported in CM Life Sciences’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preliminary proxy statement and will be contained in the definitive proxy statement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132320" cy="960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60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Media contact:</w:t>
            </w:r>
          </w:p>
        </w:tc>
        <w:tc>
          <w:tcPr>
            <w:tcW w:w="8800" w:type="dxa"/>
            <w:vAlign w:val="bottom"/>
          </w:tcPr>
          <w:p>
            <w:pPr>
              <w:ind w:left="600"/>
              <w:spacing w:after="0"/>
              <w:rPr>
                <w:sz w:val="20"/>
                <w:szCs w:val="20"/>
                <w:color w:val="auto"/>
              </w:rPr>
            </w:pPr>
            <w:r>
              <w:rPr>
                <w:rFonts w:ascii="Arial" w:cs="Arial" w:eastAsia="Arial" w:hAnsi="Arial"/>
                <w:sz w:val="18"/>
                <w:szCs w:val="18"/>
                <w:color w:val="auto"/>
              </w:rPr>
              <w:t>Investor contact: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Radley Moss</w:t>
            </w:r>
          </w:p>
        </w:tc>
        <w:tc>
          <w:tcPr>
            <w:tcW w:w="8800" w:type="dxa"/>
            <w:vAlign w:val="bottom"/>
          </w:tcPr>
          <w:p>
            <w:pPr>
              <w:ind w:left="600"/>
              <w:spacing w:after="0"/>
              <w:rPr>
                <w:sz w:val="20"/>
                <w:szCs w:val="20"/>
                <w:color w:val="auto"/>
              </w:rPr>
            </w:pPr>
            <w:r>
              <w:rPr>
                <w:rFonts w:ascii="Arial" w:cs="Arial" w:eastAsia="Arial" w:hAnsi="Arial"/>
                <w:sz w:val="18"/>
                <w:szCs w:val="18"/>
                <w:color w:val="auto"/>
              </w:rPr>
              <w:t>David Deuchler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radley.moss@sema4.com</w:t>
            </w:r>
          </w:p>
        </w:tc>
        <w:tc>
          <w:tcPr>
            <w:tcW w:w="8800" w:type="dxa"/>
            <w:vAlign w:val="bottom"/>
          </w:tcPr>
          <w:p>
            <w:pPr>
              <w:ind w:left="600"/>
              <w:spacing w:after="0"/>
              <w:rPr>
                <w:sz w:val="20"/>
                <w:szCs w:val="20"/>
                <w:color w:val="auto"/>
              </w:rPr>
            </w:pPr>
            <w:r>
              <w:rPr>
                <w:rFonts w:ascii="Arial" w:cs="Arial" w:eastAsia="Arial" w:hAnsi="Arial"/>
                <w:sz w:val="18"/>
                <w:szCs w:val="18"/>
                <w:color w:val="auto"/>
              </w:rPr>
              <w:t>Gilmartin Group</w:t>
            </w:r>
          </w:p>
        </w:tc>
      </w:tr>
      <w:tr>
        <w:trPr>
          <w:trHeight w:val="230"/>
        </w:trPr>
        <w:tc>
          <w:tcPr>
            <w:tcW w:w="2440" w:type="dxa"/>
            <w:vAlign w:val="bottom"/>
          </w:tcPr>
          <w:p>
            <w:pPr>
              <w:spacing w:after="0"/>
              <w:rPr>
                <w:sz w:val="20"/>
                <w:szCs w:val="20"/>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Investor-all@sema4.com</w:t>
            </w:r>
          </w:p>
        </w:tc>
      </w:tr>
      <w:tr>
        <w:trPr>
          <w:trHeight w:val="581"/>
        </w:trPr>
        <w:tc>
          <w:tcPr>
            <w:tcW w:w="2440" w:type="dxa"/>
            <w:vAlign w:val="bottom"/>
          </w:tcPr>
          <w:p>
            <w:pPr>
              <w:spacing w:after="0"/>
              <w:rPr>
                <w:sz w:val="24"/>
                <w:szCs w:val="24"/>
                <w:color w:val="auto"/>
              </w:rPr>
            </w:pPr>
          </w:p>
        </w:tc>
        <w:tc>
          <w:tcPr>
            <w:tcW w:w="8800" w:type="dxa"/>
            <w:vAlign w:val="bottom"/>
          </w:tcPr>
          <w:p>
            <w:pPr>
              <w:ind w:left="2360"/>
              <w:spacing w:after="0"/>
              <w:rPr>
                <w:sz w:val="20"/>
                <w:szCs w:val="20"/>
                <w:color w:val="auto"/>
              </w:rPr>
            </w:pPr>
            <w:r>
              <w:rPr>
                <w:rFonts w:ascii="Arial" w:cs="Arial" w:eastAsia="Arial" w:hAnsi="Arial"/>
                <w:sz w:val="18"/>
                <w:szCs w:val="18"/>
                <w:color w:val="auto"/>
              </w:rPr>
              <w:t>[End of Press Release]</w:t>
            </w:r>
          </w:p>
        </w:tc>
      </w:tr>
      <w:tr>
        <w:trPr>
          <w:trHeight w:val="574"/>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140"/>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240"/>
          </w:cols>
          <w:pgMar w:left="320" w:top="688" w:right="339" w:bottom="784"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the SEC review process for CM Life Sciences’ proxy statement for the transaction, shareholder approval for the transaction, expansion plans, projected future results, Sema4’s 2021 financial and strategic goals and Sema4’s business, growth and market opportunities.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annual report on Form 10-K, as amended, the proxy statement discussed above and other documents filed by CM Life Sciences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-4123055</wp:posOffset>
            </wp:positionV>
            <wp:extent cx="7132320" cy="4251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Additional Information and Where to Find It / 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proposed transaction, CM Life Sciences has filed a preliminary proxy statement with the SEC, and CM Life Sciences will file a definitive proxy statement with the SEC, which will be sent to the stockholders of CM Life Sciences. CM Life Sciences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through the website maintained by the SEC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7132320" cy="960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documents filed by CM Life Sciences with the SEC also may be obtained free of charge at CM Life Sciences’ website at https://cmlifesciencesspac.com/ or upon written request to CM Life Sciences, c/o Corvex Management, 667 Madison Ave, New York, NY 10065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reported in CM Life Sciences’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preliminary proxy statement and will be contained in the definitive proxy statement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7132320" cy="960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2021-05-07T05:38:04Z</dcterms:created>
  <dcterms:modified xsi:type="dcterms:W3CDTF">2021-05-07T05:38:04Z</dcterms:modified>
</cp:coreProperties>
</file>