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CURRENT REPORT</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18, 2025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001-39482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88265</wp:posOffset>
            </wp:positionV>
            <wp:extent cx="1440180"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18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262" w:right="359" w:bottom="1440" w:gutter="0" w:footer="0" w:header="0"/>
        </w:sectPr>
      </w:pPr>
    </w:p>
    <w:p>
      <w:pPr>
        <w:spacing w:after="0" w:line="154"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85-1966622</w:t>
      </w:r>
    </w:p>
    <w:p>
      <w:pPr>
        <w:spacing w:after="0" w:line="54" w:lineRule="exact"/>
        <w:rPr>
          <w:sz w:val="24"/>
          <w:szCs w:val="24"/>
          <w:color w:val="auto"/>
        </w:rPr>
      </w:pPr>
    </w:p>
    <w:p>
      <w:pPr>
        <w:sectPr>
          <w:pgSz w:w="11900" w:h="16838" w:orient="portrait"/>
          <w:cols w:equalWidth="0" w:num="2">
            <w:col w:w="7260" w:space="720"/>
            <w:col w:w="3240"/>
          </w:cols>
          <w:pgMar w:left="320" w:top="1262" w:right="35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1" w:lineRule="exact"/>
        <w:rPr>
          <w:sz w:val="24"/>
          <w:szCs w:val="24"/>
          <w:color w:val="auto"/>
        </w:rPr>
      </w:pPr>
    </w:p>
    <w:p>
      <w:pPr>
        <w:sectPr>
          <w:pgSz w:w="11900" w:h="16838" w:orient="portrait"/>
          <w:cols w:equalWidth="0" w:num="2">
            <w:col w:w="6400" w:space="720"/>
            <w:col w:w="4100"/>
          </w:cols>
          <w:pgMar w:left="320" w:top="1262" w:right="35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333 Ludlow Street, North Tower; 6th Floor</w:t>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729-1206</w:t>
      </w:r>
    </w:p>
    <w:p>
      <w:pPr>
        <w:spacing w:after="0" w:line="337"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22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20" w:type="dxa"/>
            <w:vAlign w:val="bottom"/>
          </w:tcPr>
          <w:p>
            <w:pPr>
              <w:spacing w:after="0"/>
              <w:rPr>
                <w:sz w:val="18"/>
                <w:szCs w:val="18"/>
                <w:color w:val="auto"/>
              </w:rPr>
            </w:pPr>
          </w:p>
        </w:tc>
        <w:tc>
          <w:tcPr>
            <w:tcW w:w="5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WGS</w:t>
            </w:r>
          </w:p>
        </w:tc>
        <w:tc>
          <w:tcPr>
            <w:tcW w:w="80" w:type="dxa"/>
            <w:vAlign w:val="bottom"/>
          </w:tcPr>
          <w:p>
            <w:pPr>
              <w:spacing w:after="0"/>
              <w:rPr>
                <w:sz w:val="18"/>
                <w:szCs w:val="18"/>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80"/>
        </w:trPr>
        <w:tc>
          <w:tcPr>
            <w:tcW w:w="20" w:type="dxa"/>
            <w:vAlign w:val="bottom"/>
          </w:tcPr>
          <w:p>
            <w:pPr>
              <w:spacing w:after="0"/>
              <w:rPr>
                <w:sz w:val="15"/>
                <w:szCs w:val="15"/>
                <w:color w:val="auto"/>
              </w:rPr>
            </w:pPr>
          </w:p>
        </w:tc>
        <w:tc>
          <w:tcPr>
            <w:tcW w:w="5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Warrants to purchase one share of Class A common stock, each at an</w:t>
            </w:r>
          </w:p>
        </w:tc>
        <w:tc>
          <w:tcPr>
            <w:tcW w:w="17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9"/>
              </w:rPr>
              <w:t>WGSWW</w:t>
            </w:r>
          </w:p>
        </w:tc>
        <w:tc>
          <w:tcPr>
            <w:tcW w:w="42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0" w:type="dxa"/>
            <w:vAlign w:val="bottom"/>
          </w:tcPr>
          <w:p>
            <w:pPr>
              <w:spacing w:after="0"/>
              <w:rPr>
                <w:sz w:val="20"/>
                <w:szCs w:val="20"/>
                <w:color w:val="auto"/>
              </w:rPr>
            </w:pPr>
          </w:p>
        </w:tc>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price of $379.50 per share</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r>
    </w:tbl>
    <w:p>
      <w:pPr>
        <w:spacing w:after="0" w:line="193"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18, 2025, GeneDx Holdings Corp., a Delaware corporation (the “Company”), held its Annual Meeting of Stockholders (the “Annual Meeting”). At the Annual Meeting, the Company’s stockholders (the “Stockholders”) considered and voted on the matters listed below. The proposals are described in detail in the Company’s Definitive Proxy Statement on Schedule 14A filed with the Securities and Exchange Commission on April 30, 2025.</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28,533,204 shares of the Class A common stock issued and outstanding on April 21, 2025, the record date for the Annual Meeting. The Stockholders voted on the following proposals at the Annual Meeting, each of which was approved.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voting results from the Annual Meeting are set forth below.</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5"/>
              </w:rPr>
              <w:t>(1)</w:t>
            </w:r>
          </w:p>
        </w:tc>
        <w:tc>
          <w:tcPr>
            <w:tcW w:w="1064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Proposal No. 1 </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Class I Director Election Proposal </w:t>
            </w:r>
            <w:r>
              <w:rPr>
                <w:rFonts w:ascii="Times New Roman" w:cs="Times New Roman" w:eastAsia="Times New Roman" w:hAnsi="Times New Roman"/>
                <w:sz w:val="18"/>
                <w:szCs w:val="18"/>
                <w:color w:val="auto"/>
              </w:rPr>
              <w:t>— To elect two Class I directors of the Company, each to serve a three-year term</w:t>
            </w:r>
          </w:p>
        </w:tc>
      </w:tr>
      <w:tr>
        <w:trPr>
          <w:trHeight w:val="216"/>
        </w:trPr>
        <w:tc>
          <w:tcPr>
            <w:tcW w:w="260" w:type="dxa"/>
            <w:vAlign w:val="bottom"/>
          </w:tcPr>
          <w:p>
            <w:pPr>
              <w:spacing w:after="0"/>
              <w:rPr>
                <w:sz w:val="18"/>
                <w:szCs w:val="18"/>
                <w:color w:val="auto"/>
              </w:rPr>
            </w:pPr>
          </w:p>
        </w:tc>
        <w:tc>
          <w:tcPr>
            <w:tcW w:w="10640" w:type="dxa"/>
            <w:vAlign w:val="bottom"/>
            <w:gridSpan w:val="14"/>
          </w:tcPr>
          <w:p>
            <w:pPr>
              <w:ind w:left="60"/>
              <w:spacing w:after="0"/>
              <w:rPr>
                <w:sz w:val="20"/>
                <w:szCs w:val="20"/>
                <w:color w:val="auto"/>
              </w:rPr>
            </w:pPr>
            <w:r>
              <w:rPr>
                <w:rFonts w:ascii="Times New Roman" w:cs="Times New Roman" w:eastAsia="Times New Roman" w:hAnsi="Times New Roman"/>
                <w:sz w:val="18"/>
                <w:szCs w:val="18"/>
                <w:color w:val="auto"/>
              </w:rPr>
              <w:t>expiring at the Company’s 2028 annual meeting of stockholders and until such director’s successor is duly elected and qualified or until such</w:t>
            </w:r>
          </w:p>
        </w:tc>
      </w:tr>
      <w:tr>
        <w:trPr>
          <w:trHeight w:val="234"/>
        </w:trPr>
        <w:tc>
          <w:tcPr>
            <w:tcW w:w="260" w:type="dxa"/>
            <w:vAlign w:val="bottom"/>
          </w:tcPr>
          <w:p>
            <w:pPr>
              <w:spacing w:after="0"/>
              <w:rPr>
                <w:sz w:val="20"/>
                <w:szCs w:val="20"/>
                <w:color w:val="auto"/>
              </w:rPr>
            </w:pPr>
          </w:p>
        </w:tc>
        <w:tc>
          <w:tcPr>
            <w:tcW w:w="660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director’s earlier death, resignation, disqualification or removal:</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89"/>
        </w:trPr>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gridSpan w:val="2"/>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60" w:type="dxa"/>
            <w:vAlign w:val="bottom"/>
            <w:gridSpan w:val="2"/>
          </w:tcPr>
          <w:p>
            <w:pPr>
              <w:spacing w:after="0"/>
              <w:rPr>
                <w:sz w:val="16"/>
                <w:szCs w:val="16"/>
                <w:color w:val="auto"/>
              </w:rPr>
            </w:pPr>
          </w:p>
        </w:tc>
      </w:tr>
      <w:tr>
        <w:trPr>
          <w:trHeight w:val="223"/>
        </w:trPr>
        <w:tc>
          <w:tcPr>
            <w:tcW w:w="2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24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Votes For</w:t>
            </w:r>
          </w:p>
        </w:tc>
        <w:tc>
          <w:tcPr>
            <w:tcW w:w="600" w:type="dxa"/>
            <w:vAlign w:val="bottom"/>
            <w:tcBorders>
              <w:top w:val="single" w:sz="8" w:color="auto"/>
              <w:bottom w:val="single" w:sz="8" w:color="auto"/>
              <w:right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380" w:type="dxa"/>
            <w:vAlign w:val="bottom"/>
            <w:tcBorders>
              <w:top w:val="single" w:sz="8" w:color="auto"/>
              <w:bottom w:val="single" w:sz="8" w:color="auto"/>
              <w:right w:val="single" w:sz="8" w:color="auto"/>
            </w:tcBorders>
          </w:tcPr>
          <w:p>
            <w:pPr>
              <w:spacing w:after="0"/>
              <w:rPr>
                <w:sz w:val="19"/>
                <w:szCs w:val="19"/>
                <w:color w:val="auto"/>
              </w:rPr>
            </w:pPr>
          </w:p>
        </w:tc>
        <w:tc>
          <w:tcPr>
            <w:tcW w:w="2060" w:type="dxa"/>
            <w:vAlign w:val="bottom"/>
            <w:tcBorders>
              <w:top w:val="single" w:sz="8" w:color="auto"/>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138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Eli D. Casdin</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16,013,641</w:t>
            </w:r>
          </w:p>
        </w:tc>
        <w:tc>
          <w:tcPr>
            <w:tcW w:w="6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6,823,343</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2,682,501</w:t>
            </w:r>
          </w:p>
        </w:tc>
        <w:tc>
          <w:tcPr>
            <w:tcW w:w="138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Joshua Ruch</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17,211,360</w:t>
            </w:r>
          </w:p>
        </w:tc>
        <w:tc>
          <w:tcPr>
            <w:tcW w:w="60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5,625,624</w:t>
            </w: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20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2,682,501</w:t>
            </w:r>
          </w:p>
        </w:tc>
        <w:tc>
          <w:tcPr>
            <w:tcW w:w="1380" w:type="dxa"/>
            <w:vAlign w:val="bottom"/>
          </w:tcPr>
          <w:p>
            <w:pPr>
              <w:spacing w:after="0"/>
              <w:rPr>
                <w:sz w:val="19"/>
                <w:szCs w:val="19"/>
                <w:color w:val="auto"/>
              </w:rPr>
            </w:pPr>
          </w:p>
        </w:tc>
      </w:tr>
      <w:tr>
        <w:trPr>
          <w:trHeight w:val="44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5"/>
              </w:rPr>
              <w:t>(2)</w:t>
            </w:r>
          </w:p>
        </w:tc>
        <w:tc>
          <w:tcPr>
            <w:tcW w:w="10640" w:type="dxa"/>
            <w:vAlign w:val="bottom"/>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Proposal No.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Auditor Ratification Proposal </w:t>
            </w:r>
            <w:r>
              <w:rPr>
                <w:rFonts w:ascii="Times New Roman" w:cs="Times New Roman" w:eastAsia="Times New Roman" w:hAnsi="Times New Roman"/>
                <w:sz w:val="18"/>
                <w:szCs w:val="18"/>
                <w:color w:val="auto"/>
              </w:rPr>
              <w:t>— To ratify the appointment of Ernst &amp; Young LLP as the Company’s independent</w:t>
            </w:r>
          </w:p>
        </w:tc>
      </w:tr>
      <w:tr>
        <w:trPr>
          <w:trHeight w:val="234"/>
        </w:trPr>
        <w:tc>
          <w:tcPr>
            <w:tcW w:w="260" w:type="dxa"/>
            <w:vAlign w:val="bottom"/>
          </w:tcPr>
          <w:p>
            <w:pPr>
              <w:spacing w:after="0"/>
              <w:rPr>
                <w:sz w:val="20"/>
                <w:szCs w:val="20"/>
                <w:color w:val="auto"/>
              </w:rPr>
            </w:pPr>
          </w:p>
        </w:tc>
        <w:tc>
          <w:tcPr>
            <w:tcW w:w="660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rPr>
              <w:t>registered public accounting firm for the fiscal year ending December 31, 2025: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189"/>
        </w:trPr>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0" w:type="dxa"/>
            <w:vAlign w:val="bottom"/>
            <w:gridSpan w:val="2"/>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4040" w:type="dxa"/>
            <w:vAlign w:val="bottom"/>
            <w:gridSpan w:val="5"/>
          </w:tcPr>
          <w:p>
            <w:pPr>
              <w:spacing w:after="0"/>
              <w:rPr>
                <w:sz w:val="16"/>
                <w:szCs w:val="16"/>
                <w:color w:val="auto"/>
              </w:rPr>
            </w:pPr>
          </w:p>
        </w:tc>
      </w:tr>
      <w:tr>
        <w:trPr>
          <w:trHeight w:val="223"/>
        </w:trPr>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540" w:type="dxa"/>
            <w:vAlign w:val="bottom"/>
            <w:tcBorders>
              <w:top w:val="single" w:sz="8" w:color="auto"/>
              <w:bottom w:val="single" w:sz="8" w:color="auto"/>
              <w:right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right w:val="single" w:sz="8" w:color="auto"/>
            </w:tcBorders>
            <w:gridSpan w:val="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48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3"/>
        </w:trPr>
        <w:tc>
          <w:tcPr>
            <w:tcW w:w="260" w:type="dxa"/>
            <w:vAlign w:val="bottom"/>
          </w:tcPr>
          <w:p>
            <w:pPr>
              <w:spacing w:after="0"/>
              <w:rPr>
                <w:sz w:val="19"/>
                <w:szCs w:val="19"/>
                <w:color w:val="auto"/>
              </w:rPr>
            </w:pPr>
          </w:p>
        </w:tc>
        <w:tc>
          <w:tcPr>
            <w:tcW w:w="1920" w:type="dxa"/>
            <w:vAlign w:val="bottom"/>
            <w:tcBorders>
              <w:right w:val="single" w:sz="8" w:color="auto"/>
            </w:tcBorders>
            <w:gridSpan w:val="2"/>
          </w:tcPr>
          <w:p>
            <w:pPr>
              <w:spacing w:after="0"/>
              <w:rPr>
                <w:sz w:val="19"/>
                <w:szCs w:val="19"/>
                <w:color w:val="auto"/>
              </w:rPr>
            </w:pPr>
          </w:p>
        </w:tc>
        <w:tc>
          <w:tcPr>
            <w:tcW w:w="160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25,459,253</w:t>
            </w:r>
          </w:p>
        </w:tc>
        <w:tc>
          <w:tcPr>
            <w:tcW w:w="540" w:type="dxa"/>
            <w:vAlign w:val="bottom"/>
            <w:tcBorders>
              <w:bottom w:val="single" w:sz="8" w:color="auto"/>
              <w:right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00" w:type="dxa"/>
            <w:vAlign w:val="bottom"/>
            <w:tcBorders>
              <w:bottom w:val="single" w:sz="8" w:color="auto"/>
              <w:right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49,423</w:t>
            </w:r>
          </w:p>
        </w:tc>
        <w:tc>
          <w:tcPr>
            <w:tcW w:w="4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right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10,809</w:t>
            </w:r>
          </w:p>
        </w:tc>
        <w:tc>
          <w:tcPr>
            <w:tcW w:w="1080" w:type="dxa"/>
            <w:vAlign w:val="bottom"/>
          </w:tcPr>
          <w:p>
            <w:pPr>
              <w:spacing w:after="0"/>
              <w:rPr>
                <w:sz w:val="19"/>
                <w:szCs w:val="19"/>
                <w:color w:val="auto"/>
              </w:rPr>
            </w:pPr>
          </w:p>
        </w:tc>
        <w:tc>
          <w:tcPr>
            <w:tcW w:w="13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vMerge w:val="restart"/>
          </w:tcPr>
          <w:p>
            <w:pPr>
              <w:spacing w:after="0"/>
              <w:rPr>
                <w:sz w:val="19"/>
                <w:szCs w:val="19"/>
                <w:color w:val="auto"/>
              </w:rPr>
            </w:pPr>
          </w:p>
        </w:tc>
        <w:tc>
          <w:tcPr>
            <w:tcW w:w="160" w:type="dxa"/>
            <w:vAlign w:val="bottom"/>
            <w:vMerge w:val="restart"/>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9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14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900" w:type="dxa"/>
            <w:vAlign w:val="bottom"/>
            <w:tcBorders>
              <w:bottom w:val="single" w:sz="8" w:color="auto"/>
            </w:tcBorders>
            <w:vMerge w:val="continue"/>
          </w:tcPr>
          <w:p>
            <w:pPr>
              <w:spacing w:after="0" w:line="20" w:lineRule="exact"/>
              <w:rPr>
                <w:sz w:val="1"/>
                <w:szCs w:val="1"/>
                <w:color w:val="auto"/>
              </w:rPr>
            </w:pPr>
          </w:p>
        </w:tc>
        <w:tc>
          <w:tcPr>
            <w:tcW w:w="89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1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5"/>
        </w:trPr>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78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GENEDX HOLDINGS CORP.</w:t>
            </w:r>
          </w:p>
        </w:tc>
      </w:tr>
      <w:tr>
        <w:trPr>
          <w:trHeight w:val="48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18, 2025</w:t>
            </w:r>
          </w:p>
        </w:tc>
        <w:tc>
          <w:tcPr>
            <w:tcW w:w="2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Katherine Stueland</w:t>
            </w:r>
          </w:p>
        </w:tc>
      </w:tr>
      <w:tr>
        <w:trPr>
          <w:trHeight w:val="218"/>
        </w:trPr>
        <w:tc>
          <w:tcPr>
            <w:tcW w:w="6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r>
      <w:tr>
        <w:trPr>
          <w:trHeight w:val="234"/>
        </w:trPr>
        <w:tc>
          <w:tcPr>
            <w:tcW w:w="6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2025-06-18T15:16:41Z</dcterms:created>
  <dcterms:modified xsi:type="dcterms:W3CDTF">2025-06-18T15:16:41Z</dcterms:modified>
</cp:coreProperties>
</file>