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  <w:w w:val="99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  <w:w w:val="99"/>
                </w:rPr>
                <w:t>Feeley Kevin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GeneDx Holdings Corp.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WGS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760" w:type="dxa"/>
            <w:vAlign w:val="bottom"/>
            <w:gridSpan w:val="4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760" w:type="dxa"/>
            <w:vAlign w:val="bottom"/>
            <w:gridSpan w:val="4"/>
          </w:tcPr>
          <w:p>
            <w:pPr>
              <w:ind w:left="50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EEEEEE"/>
              <w:bottom w:val="single" w:sz="8" w:color="EEEEEE"/>
            </w:tcBorders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  <w:bottom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FINANCIAL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C/O GENEDX HOLDINGS CORP.</w:t>
            </w:r>
          </w:p>
        </w:tc>
        <w:tc>
          <w:tcPr>
            <w:tcW w:w="1620" w:type="dxa"/>
            <w:vAlign w:val="bottom"/>
            <w:gridSpan w:val="6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333 LUDLOW ST., NORTH TOWER, 6TH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FLOOR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STAMFORD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CT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06902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96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1,986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88.11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20,660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5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160" w:firstLine="7"/>
        <w:spacing w:after="0" w:line="258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a Subscription Agreement executed on March 6, 2026 between GeneDx Holdings Corp. (the "Issuer") and the reporting person, the reporting person acquired 1,986 shares of the Issuer's Class A common stock directly from the Issuer in an exempt transaction pursuant to Rule 16b-3(d) at a purchase price of $88.11 per share, the closing price of the Issuer's Class A common stock on March 6, 2026.</w:t>
      </w:r>
    </w:p>
    <w:p>
      <w:pPr>
        <w:spacing w:after="0" w:line="189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Bridget Brown,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4119" TargetMode="External"/><Relationship Id="rId14" Type="http://schemas.openxmlformats.org/officeDocument/2006/relationships/hyperlink" Target="http://www.sec.gov/cgi-bin/browse-edgar?action=getcompany&amp;CIK=00018183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2026-03-09T06:58:36Z</dcterms:created>
  <dcterms:modified xsi:type="dcterms:W3CDTF">2026-03-09T06:58:36Z</dcterms:modified>
</cp:coreProperties>
</file>