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SCHEDULE 13D/A</w:t>
      </w: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1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27940</wp:posOffset>
            </wp:positionV>
            <wp:extent cx="37719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Class A Common Stock, par value $0.0001 per share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81663L200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19685</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Steven D. Rubin</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Executive Vice President - Administration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OPKO Health, Inc.</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4400 Biscayne Boulevard</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Miami, Florida 33137</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Telephone: (305) 575-4100</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1290955</wp:posOffset>
            </wp:positionH>
            <wp:positionV relativeFrom="paragraph">
              <wp:posOffset>-125095</wp:posOffset>
            </wp:positionV>
            <wp:extent cx="456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057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200" w:lineRule="exact"/>
        <w:rPr>
          <w:sz w:val="24"/>
          <w:szCs w:val="24"/>
          <w:color w:val="auto"/>
        </w:rPr>
      </w:pPr>
    </w:p>
    <w:p>
      <w:pPr>
        <w:spacing w:after="0" w:line="219"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July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19685</wp:posOffset>
            </wp:positionV>
            <wp:extent cx="2562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207"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13d-7(b)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59" w:lineRule="exact"/>
        <w:rPr>
          <w:sz w:val="24"/>
          <w:szCs w:val="24"/>
          <w:color w:val="auto"/>
        </w:rPr>
      </w:pPr>
    </w:p>
    <w:p>
      <w:pPr>
        <w:ind w:left="460" w:right="20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 w:name="page2"/>
    <w:bookmarkEnd w:id="1"/>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2 of 4</w:t>
      </w:r>
    </w:p>
    <w:p>
      <w:pPr>
        <w:spacing w:after="0" w:line="200" w:lineRule="exact"/>
        <w:rPr>
          <w:sz w:val="20"/>
          <w:szCs w:val="20"/>
          <w:color w:val="auto"/>
        </w:rPr>
      </w:pPr>
    </w:p>
    <w:p>
      <w:pPr>
        <w:spacing w:after="0" w:line="255" w:lineRule="exact"/>
        <w:rPr>
          <w:sz w:val="20"/>
          <w:szCs w:val="20"/>
          <w:color w:val="auto"/>
        </w:rPr>
      </w:pPr>
    </w:p>
    <w:p>
      <w:pPr>
        <w:ind w:left="700" w:hanging="553"/>
        <w:spacing w:after="0"/>
        <w:tabs>
          <w:tab w:leader="none" w:pos="7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4225" cy="5617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5617210"/>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OPKO Health, Inc.</w:t>
      </w:r>
    </w:p>
    <w:p>
      <w:pPr>
        <w:spacing w:after="0" w:line="27" w:lineRule="exact"/>
        <w:rPr>
          <w:sz w:val="20"/>
          <w:szCs w:val="20"/>
          <w:color w:val="auto"/>
        </w:rPr>
      </w:pPr>
    </w:p>
    <w:p>
      <w:pPr>
        <w:ind w:left="700" w:hanging="553"/>
        <w:spacing w:after="0"/>
        <w:tabs>
          <w:tab w:leader="none" w:pos="7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180" w:lineRule="exact"/>
        <w:rPr>
          <w:sz w:val="20"/>
          <w:szCs w:val="20"/>
          <w:color w:val="auto"/>
        </w:rPr>
      </w:pPr>
    </w:p>
    <w:p>
      <w:pPr>
        <w:ind w:left="700"/>
        <w:spacing w:after="0" w:line="207" w:lineRule="exact"/>
        <w:tabs>
          <w:tab w:leader="none" w:pos="15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83" w:lineRule="exact"/>
        <w:rPr>
          <w:sz w:val="20"/>
          <w:szCs w:val="20"/>
          <w:color w:val="auto"/>
        </w:rPr>
      </w:pPr>
    </w:p>
    <w:p>
      <w:pPr>
        <w:ind w:left="700" w:hanging="553"/>
        <w:spacing w:after="0"/>
        <w:tabs>
          <w:tab w:leader="none" w:pos="7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19" w:lineRule="exact"/>
        <w:rPr>
          <w:sz w:val="20"/>
          <w:szCs w:val="20"/>
          <w:color w:val="auto"/>
        </w:rPr>
      </w:pPr>
    </w:p>
    <w:p>
      <w:pPr>
        <w:ind w:left="700" w:hanging="553"/>
        <w:spacing w:after="0"/>
        <w:tabs>
          <w:tab w:leader="none" w:pos="7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OO</w:t>
      </w:r>
    </w:p>
    <w:p>
      <w:pPr>
        <w:spacing w:after="0" w:line="27" w:lineRule="exact"/>
        <w:rPr>
          <w:sz w:val="20"/>
          <w:szCs w:val="20"/>
          <w:color w:val="auto"/>
        </w:rPr>
      </w:pPr>
    </w:p>
    <w:p>
      <w:pPr>
        <w:ind w:left="700" w:hanging="553"/>
        <w:spacing w:after="0" w:line="207" w:lineRule="exact"/>
        <w:tabs>
          <w:tab w:leader="none" w:pos="7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p>
      <w:pPr>
        <w:spacing w:after="0" w:line="234" w:lineRule="exact"/>
        <w:rPr>
          <w:sz w:val="20"/>
          <w:szCs w:val="20"/>
          <w:color w:val="auto"/>
        </w:rPr>
      </w:pPr>
    </w:p>
    <w:p>
      <w:pPr>
        <w:ind w:left="700" w:hanging="553"/>
        <w:spacing w:after="0"/>
        <w:tabs>
          <w:tab w:leader="none" w:pos="7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b w:val="1"/>
          <w:bCs w:val="1"/>
          <w:color w:val="auto"/>
        </w:rPr>
      </w:pPr>
    </w:p>
    <w:p>
      <w:pPr>
        <w:ind w:left="1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3,123,403Shares</w:t>
            </w:r>
          </w:p>
        </w:tc>
      </w:tr>
      <w:tr>
        <w:trPr>
          <w:trHeight w:val="191"/>
        </w:trPr>
        <w:tc>
          <w:tcPr>
            <w:tcW w:w="146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r>
      <w:tr>
        <w:trPr>
          <w:trHeight w:val="216"/>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BENEFICIALLY</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34"/>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jc w:val="right"/>
              <w:ind w:right="719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r>
      <w:tr>
        <w:trPr>
          <w:trHeight w:val="216"/>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34"/>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WITH</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jc w:val="right"/>
              <w:ind w:right="7190"/>
              <w:spacing w:after="0"/>
              <w:rPr>
                <w:sz w:val="20"/>
                <w:szCs w:val="20"/>
                <w:color w:val="auto"/>
              </w:rPr>
            </w:pPr>
            <w:r>
              <w:rPr>
                <w:rFonts w:ascii="Times New Roman" w:cs="Times New Roman" w:eastAsia="Times New Roman" w:hAnsi="Times New Roman"/>
                <w:sz w:val="18"/>
                <w:szCs w:val="18"/>
                <w:color w:val="auto"/>
              </w:rPr>
              <w:t>3,123,403</w:t>
            </w:r>
          </w:p>
        </w:tc>
      </w:tr>
      <w:tr>
        <w:trPr>
          <w:trHeight w:val="232"/>
        </w:trPr>
        <w:tc>
          <w:tcPr>
            <w:tcW w:w="1460" w:type="dxa"/>
            <w:vAlign w:val="bottom"/>
          </w:tcPr>
          <w:p>
            <w:pPr>
              <w:spacing w:after="0"/>
              <w:rPr>
                <w:sz w:val="20"/>
                <w:szCs w:val="2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r>
    </w:tbl>
    <w:p>
      <w:pPr>
        <w:spacing w:after="0" w:line="1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720" w:hanging="573"/>
        <w:spacing w:after="0"/>
        <w:tabs>
          <w:tab w:leader="none" w:pos="7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3,123,403</w:t>
      </w:r>
    </w:p>
    <w:p>
      <w:pPr>
        <w:spacing w:after="0" w:line="27" w:lineRule="exact"/>
        <w:rPr>
          <w:sz w:val="20"/>
          <w:szCs w:val="20"/>
          <w:color w:val="auto"/>
        </w:rPr>
      </w:pPr>
    </w:p>
    <w:p>
      <w:pPr>
        <w:ind w:left="720" w:hanging="573"/>
        <w:spacing w:after="0" w:line="207" w:lineRule="exact"/>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720" w:hanging="573"/>
        <w:spacing w:after="0"/>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141"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11.94%</w:t>
      </w:r>
      <w:r>
        <w:rPr>
          <w:rFonts w:ascii="Times New Roman" w:cs="Times New Roman" w:eastAsia="Times New Roman" w:hAnsi="Times New Roman"/>
          <w:sz w:val="29"/>
          <w:szCs w:val="29"/>
          <w:color w:val="auto"/>
          <w:vertAlign w:val="superscript"/>
        </w:rPr>
        <w:t>(1)</w:t>
      </w:r>
    </w:p>
    <w:p>
      <w:pPr>
        <w:ind w:left="720" w:right="8020" w:hanging="573"/>
        <w:spacing w:after="0" w:line="497" w:lineRule="auto"/>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CO</w:t>
      </w:r>
    </w:p>
    <w:p>
      <w:pPr>
        <w:ind w:left="340" w:right="80" w:hanging="332"/>
        <w:spacing w:after="0" w:line="195"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26,150,866 shares of GeneDx Common Stock (as defined herein) of the Issuer (as defined herein) outstanding on April 24, 2024, as set forth in the Issuer’s DEF14A filed with the SEC (as defined herein) on April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3 of 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This Amendment No. 4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Schedule 13D is being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behalf of OPKO Health, Inc., a Delaware corporation (“</w:t>
      </w:r>
      <w:r>
        <w:rPr>
          <w:rFonts w:ascii="Times New Roman" w:cs="Times New Roman" w:eastAsia="Times New Roman" w:hAnsi="Times New Roman"/>
          <w:sz w:val="18"/>
          <w:szCs w:val="18"/>
          <w:u w:val="single" w:color="auto"/>
          <w:color w:val="auto"/>
        </w:rPr>
        <w:t>OPKO</w:t>
      </w:r>
      <w:r>
        <w:rPr>
          <w:rFonts w:ascii="Times New Roman" w:cs="Times New Roman" w:eastAsia="Times New Roman" w:hAnsi="Times New Roman"/>
          <w:sz w:val="18"/>
          <w:szCs w:val="18"/>
          <w:color w:val="auto"/>
        </w:rPr>
        <w:t>”) and relates to the Class A common stock, par value $0.0001 per share (“</w:t>
      </w:r>
      <w:r>
        <w:rPr>
          <w:rFonts w:ascii="Times New Roman" w:cs="Times New Roman" w:eastAsia="Times New Roman" w:hAnsi="Times New Roman"/>
          <w:sz w:val="18"/>
          <w:szCs w:val="18"/>
          <w:u w:val="single" w:color="auto"/>
          <w:color w:val="auto"/>
        </w:rPr>
        <w:t>GeneDx Common Stock</w:t>
      </w:r>
      <w:r>
        <w:rPr>
          <w:rFonts w:ascii="Times New Roman" w:cs="Times New Roman" w:eastAsia="Times New Roman" w:hAnsi="Times New Roman"/>
          <w:sz w:val="18"/>
          <w:szCs w:val="18"/>
          <w:color w:val="auto"/>
        </w:rPr>
        <w:t>”), of GeneDx Holdings Corp., a Delaware corporation (“</w:t>
      </w:r>
      <w:r>
        <w:rPr>
          <w:rFonts w:ascii="Times New Roman" w:cs="Times New Roman" w:eastAsia="Times New Roman" w:hAnsi="Times New Roman"/>
          <w:sz w:val="18"/>
          <w:szCs w:val="18"/>
          <w:u w:val="single" w:color="auto"/>
          <w:color w:val="auto"/>
        </w:rPr>
        <w:t>GeneDx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amends and supplements the initial statement on Schedule 13D filed by OPKO with the SEC on May 9, 2022, as amended by Amendment No. 1 to Schedule 13D filed with the SEC on February 3, 2023, as amended by Amendment No. 2 filed with the SEC on April 20, 2023, as amended by Amendment No. 3 filed with the SEC on July 5, 2024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Capitalized terms used but not defined in this Amendment No. 4 shall have the same meanings ascribed to them in the Schedule 13D.</w:t>
      </w:r>
    </w:p>
    <w:p>
      <w:pPr>
        <w:spacing w:after="0" w:line="183"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Item 4 is amended by adding the following paragraph to the end of the item:</w:t>
      </w:r>
    </w:p>
    <w:p>
      <w:pPr>
        <w:spacing w:after="0" w:line="229"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In a series of transactions between July 5, 2024 and July 26, 2024, OPKO sold a total of 346,118 shares of GeneDx Common Stock on the open market at prices ranging from $28.00 to $34.66 per share for an aggregate sale price of approximately $11,350,499.</w:t>
      </w:r>
    </w:p>
    <w:p>
      <w:pPr>
        <w:spacing w:after="0" w:line="15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Item 5 is deleted in its entirety and replaced with the following text:</w:t>
      </w:r>
    </w:p>
    <w:p>
      <w:pPr>
        <w:spacing w:after="0" w:line="229" w:lineRule="exact"/>
        <w:rPr>
          <w:sz w:val="20"/>
          <w:szCs w:val="20"/>
          <w:color w:val="auto"/>
        </w:rPr>
      </w:pPr>
    </w:p>
    <w:p>
      <w:pPr>
        <w:ind w:left="1120" w:hanging="644"/>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beneficial ownership of GeneDx Common Stock is as set forth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Outstanding Shares</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Outstanding</w:t>
            </w:r>
          </w:p>
        </w:tc>
      </w:tr>
      <w:tr>
        <w:trPr>
          <w:trHeight w:val="238"/>
        </w:trPr>
        <w:tc>
          <w:tcPr>
            <w:tcW w:w="96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Title of Beneficial Owner</w:t>
            </w:r>
          </w:p>
        </w:tc>
        <w:tc>
          <w:tcPr>
            <w:tcW w:w="8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60" w:type="dxa"/>
            <w:vAlign w:val="bottom"/>
          </w:tcPr>
          <w:p>
            <w:pPr>
              <w:spacing w:after="0"/>
              <w:rPr>
                <w:sz w:val="20"/>
                <w:szCs w:val="20"/>
                <w:color w:val="auto"/>
              </w:rPr>
            </w:pPr>
          </w:p>
        </w:tc>
        <w:tc>
          <w:tcPr>
            <w:tcW w:w="222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Common Shares </w:t>
            </w:r>
            <w:r>
              <w:rPr>
                <w:rFonts w:ascii="Times New Roman" w:cs="Times New Roman" w:eastAsia="Times New Roman" w:hAnsi="Times New Roman"/>
                <w:sz w:val="27"/>
                <w:szCs w:val="27"/>
                <w:b w:val="1"/>
                <w:bCs w:val="1"/>
                <w:color w:val="auto"/>
                <w:vertAlign w:val="superscript"/>
              </w:rPr>
              <w:t>(1)</w:t>
            </w:r>
          </w:p>
        </w:tc>
      </w:tr>
      <w:tr>
        <w:trPr>
          <w:trHeight w:val="191"/>
        </w:trPr>
        <w:tc>
          <w:tcPr>
            <w:tcW w:w="960" w:type="dxa"/>
            <w:vAlign w:val="bottom"/>
          </w:tcPr>
          <w:p>
            <w:pPr>
              <w:spacing w:after="0"/>
              <w:rPr>
                <w:sz w:val="16"/>
                <w:szCs w:val="16"/>
                <w:color w:val="auto"/>
              </w:rPr>
            </w:pP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OPKO Health, Inc.</w:t>
            </w:r>
          </w:p>
        </w:tc>
        <w:tc>
          <w:tcPr>
            <w:tcW w:w="80" w:type="dxa"/>
            <w:vAlign w:val="bottom"/>
          </w:tcPr>
          <w:p>
            <w:pPr>
              <w:spacing w:after="0"/>
              <w:rPr>
                <w:sz w:val="16"/>
                <w:szCs w:val="16"/>
                <w:color w:val="auto"/>
              </w:rPr>
            </w:pPr>
          </w:p>
        </w:tc>
        <w:tc>
          <w:tcPr>
            <w:tcW w:w="2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3,123,403</w:t>
            </w:r>
          </w:p>
        </w:tc>
        <w:tc>
          <w:tcPr>
            <w:tcW w:w="60" w:type="dxa"/>
            <w:vAlign w:val="bottom"/>
          </w:tcPr>
          <w:p>
            <w:pPr>
              <w:spacing w:after="0"/>
              <w:rPr>
                <w:sz w:val="16"/>
                <w:szCs w:val="16"/>
                <w:color w:val="auto"/>
              </w:rPr>
            </w:pPr>
          </w:p>
        </w:tc>
        <w:tc>
          <w:tcPr>
            <w:tcW w:w="2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11.94%</w:t>
            </w:r>
          </w:p>
        </w:tc>
      </w:tr>
      <w:tr>
        <w:trPr>
          <w:trHeight w:val="228"/>
        </w:trPr>
        <w:tc>
          <w:tcPr>
            <w:tcW w:w="4940" w:type="dxa"/>
            <w:vAlign w:val="bottom"/>
            <w:gridSpan w:val="2"/>
          </w:tcPr>
          <w:p>
            <w:pPr>
              <w:jc w:val="right"/>
              <w:ind w:right="3590"/>
              <w:spacing w:after="0"/>
              <w:rPr>
                <w:sz w:val="20"/>
                <w:szCs w:val="20"/>
                <w:color w:val="auto"/>
              </w:rPr>
            </w:pPr>
            <w:r>
              <w:rPr>
                <w:rFonts w:ascii="Times New Roman" w:cs="Times New Roman" w:eastAsia="Times New Roman" w:hAnsi="Times New Roman"/>
                <w:sz w:val="18"/>
                <w:szCs w:val="18"/>
                <w:color w:val="auto"/>
                <w:w w:val="98"/>
              </w:rPr>
              <w:t>______________</w:t>
            </w:r>
          </w:p>
        </w:tc>
        <w:tc>
          <w:tcPr>
            <w:tcW w:w="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tcPr>
          <w:p>
            <w:pPr>
              <w:spacing w:after="0"/>
              <w:rPr>
                <w:sz w:val="19"/>
                <w:szCs w:val="19"/>
                <w:color w:val="auto"/>
              </w:rPr>
            </w:pPr>
          </w:p>
        </w:tc>
      </w:tr>
    </w:tbl>
    <w:p>
      <w:pPr>
        <w:ind w:left="440" w:hanging="270"/>
        <w:spacing w:after="0"/>
        <w:tabs>
          <w:tab w:leader="none" w:pos="4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Based on 26,150,866 shares of GeneDx Common Stock of the Issuer outstanding on April 24, 2024, as set forth in the Issuer’s DEF14A filed with the SEC on April 29, 2024.</w:t>
      </w:r>
    </w:p>
    <w:p>
      <w:pPr>
        <w:spacing w:after="0" w:line="200" w:lineRule="exact"/>
        <w:rPr>
          <w:rFonts w:ascii="Times New Roman" w:cs="Times New Roman" w:eastAsia="Times New Roman" w:hAnsi="Times New Roman"/>
          <w:sz w:val="12"/>
          <w:szCs w:val="12"/>
          <w:color w:val="auto"/>
        </w:rPr>
      </w:pPr>
    </w:p>
    <w:p>
      <w:pPr>
        <w:spacing w:after="0" w:line="207" w:lineRule="exact"/>
        <w:rPr>
          <w:rFonts w:ascii="Times New Roman" w:cs="Times New Roman" w:eastAsia="Times New Roman" w:hAnsi="Times New Roman"/>
          <w:sz w:val="12"/>
          <w:szCs w:val="12"/>
          <w:color w:val="auto"/>
        </w:rPr>
      </w:pPr>
    </w:p>
    <w:p>
      <w:pPr>
        <w:ind w:left="1160" w:hanging="666"/>
        <w:spacing w:after="0"/>
        <w:tabs>
          <w:tab w:leader="none" w:pos="1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7-10, inclusive, set forth on the cover page to this Amendment are hereby incorporated by reference in this Item 5.</w:t>
      </w:r>
    </w:p>
    <w:p>
      <w:pPr>
        <w:spacing w:after="0" w:line="225" w:lineRule="exact"/>
        <w:rPr>
          <w:rFonts w:ascii="Times New Roman" w:cs="Times New Roman" w:eastAsia="Times New Roman" w:hAnsi="Times New Roman"/>
          <w:sz w:val="18"/>
          <w:szCs w:val="18"/>
          <w:color w:val="auto"/>
        </w:rPr>
      </w:pPr>
    </w:p>
    <w:p>
      <w:pPr>
        <w:ind w:left="1140" w:hanging="646"/>
        <w:spacing w:after="0" w:line="276" w:lineRule="auto"/>
        <w:tabs>
          <w:tab w:leader="none" w:pos="1142"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last 60 days prior to the filing of this Amendment No. 4, OPKO sold a total of 435,200 shares of GeneDx Common Stock on the open market at prices ranging from $26.4607 to $34.66 per share for an aggregate sale price of approximately $13,807,784. The following table</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sets forth the information with regard to GeneDx Common Stock sold by OPKO on the open market in the last 60 days.</w:t>
      </w:r>
    </w:p>
    <w:tbl>
      <w:tblPr>
        <w:tblLayout w:type="fixed"/>
        <w:tblInd w:w="114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w:t>
            </w: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Common</w:t>
            </w:r>
          </w:p>
        </w:tc>
        <w:tc>
          <w:tcPr>
            <w:tcW w:w="380" w:type="dxa"/>
            <w:vAlign w:val="bottom"/>
          </w:tcPr>
          <w:p>
            <w:pPr>
              <w:spacing w:after="0"/>
              <w:rPr>
                <w:sz w:val="18"/>
                <w:szCs w:val="18"/>
                <w:color w:val="auto"/>
              </w:rPr>
            </w:pP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8"/>
              </w:rPr>
              <w:t>Aggregate</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Price Per</w:t>
            </w:r>
          </w:p>
        </w:tc>
      </w:tr>
      <w:tr>
        <w:trPr>
          <w:trHeight w:val="234"/>
        </w:trPr>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Stock</w:t>
            </w:r>
          </w:p>
        </w:tc>
        <w:tc>
          <w:tcPr>
            <w:tcW w:w="380" w:type="dxa"/>
            <w:vAlign w:val="bottom"/>
          </w:tcPr>
          <w:p>
            <w:pPr>
              <w:spacing w:after="0"/>
              <w:rPr>
                <w:sz w:val="20"/>
                <w:szCs w:val="20"/>
                <w:color w:val="auto"/>
              </w:rPr>
            </w:pP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Purchase Price</w:t>
            </w: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Share</w:t>
            </w:r>
          </w:p>
        </w:tc>
      </w:tr>
      <w:tr>
        <w:trPr>
          <w:trHeight w:val="191"/>
        </w:trPr>
        <w:tc>
          <w:tcPr>
            <w:tcW w:w="5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7/1/24</w:t>
            </w:r>
          </w:p>
        </w:tc>
        <w:tc>
          <w:tcPr>
            <w:tcW w:w="380" w:type="dxa"/>
            <w:vAlign w:val="bottom"/>
          </w:tcPr>
          <w:p>
            <w:pPr>
              <w:spacing w:after="0"/>
              <w:rPr>
                <w:sz w:val="16"/>
                <w:szCs w:val="16"/>
                <w:color w:val="auto"/>
              </w:rPr>
            </w:pPr>
          </w:p>
        </w:tc>
        <w:tc>
          <w:tcPr>
            <w:tcW w:w="7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50,000</w:t>
            </w:r>
          </w:p>
        </w:tc>
        <w:tc>
          <w:tcPr>
            <w:tcW w:w="380" w:type="dxa"/>
            <w:vAlign w:val="bottom"/>
          </w:tcPr>
          <w:p>
            <w:pPr>
              <w:spacing w:after="0"/>
              <w:rPr>
                <w:sz w:val="16"/>
                <w:szCs w:val="16"/>
                <w:color w:val="auto"/>
              </w:rPr>
            </w:pPr>
          </w:p>
        </w:tc>
        <w:tc>
          <w:tcPr>
            <w:tcW w:w="54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1,331,669</w:t>
            </w:r>
          </w:p>
        </w:tc>
        <w:tc>
          <w:tcPr>
            <w:tcW w:w="380" w:type="dxa"/>
            <w:vAlign w:val="bottom"/>
          </w:tcPr>
          <w:p>
            <w:pPr>
              <w:spacing w:after="0"/>
              <w:rPr>
                <w:sz w:val="16"/>
                <w:szCs w:val="16"/>
                <w:color w:val="auto"/>
              </w:rPr>
            </w:pPr>
          </w:p>
        </w:tc>
        <w:tc>
          <w:tcPr>
            <w:tcW w:w="52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26.6340</w:t>
            </w:r>
          </w:p>
        </w:tc>
        <w:tc>
          <w:tcPr>
            <w:tcW w:w="20" w:type="dxa"/>
            <w:vAlign w:val="bottom"/>
          </w:tcPr>
          <w:p>
            <w:pPr>
              <w:spacing w:after="0"/>
              <w:rPr>
                <w:sz w:val="16"/>
                <w:szCs w:val="16"/>
                <w:color w:val="auto"/>
              </w:rPr>
            </w:pPr>
          </w:p>
        </w:tc>
      </w:tr>
      <w:tr>
        <w:trPr>
          <w:trHeight w:val="216"/>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728,095</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29.1238</w:t>
            </w:r>
          </w:p>
        </w:tc>
      </w:tr>
      <w:tr>
        <w:trPr>
          <w:trHeight w:val="216"/>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14,082</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397,491</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28.2269</w:t>
            </w:r>
          </w:p>
        </w:tc>
      </w:tr>
      <w:tr>
        <w:trPr>
          <w:trHeight w:val="216"/>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36,118</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1,020,015</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28.2412</w:t>
            </w:r>
          </w:p>
        </w:tc>
      </w:tr>
      <w:tr>
        <w:trPr>
          <w:trHeight w:val="216"/>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7/17/24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823,187</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32.9275</w:t>
            </w:r>
          </w:p>
        </w:tc>
      </w:tr>
      <w:tr>
        <w:trPr>
          <w:trHeight w:val="216"/>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7/19/24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807,250</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32.29</w:t>
            </w:r>
          </w:p>
        </w:tc>
      </w:tr>
      <w:tr>
        <w:trPr>
          <w:trHeight w:val="216"/>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7/22/24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1,630,422</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32.6088</w:t>
            </w:r>
          </w:p>
        </w:tc>
      </w:tr>
      <w:tr>
        <w:trPr>
          <w:trHeight w:val="216"/>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7/23/24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2,509,248</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33.4566</w:t>
            </w:r>
          </w:p>
        </w:tc>
      </w:tr>
      <w:tr>
        <w:trPr>
          <w:trHeight w:val="216"/>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7/24/24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2,529,102</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33.7214</w:t>
            </w:r>
          </w:p>
        </w:tc>
      </w:tr>
      <w:tr>
        <w:trPr>
          <w:trHeight w:val="23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7/26/24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2,031,255</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33.8543</w:t>
            </w:r>
          </w:p>
        </w:tc>
      </w:tr>
    </w:tbl>
    <w:p>
      <w:pPr>
        <w:spacing w:after="0" w:line="198" w:lineRule="exact"/>
        <w:rPr>
          <w:sz w:val="20"/>
          <w:szCs w:val="20"/>
          <w:color w:val="auto"/>
        </w:rPr>
      </w:pPr>
    </w:p>
    <w:p>
      <w:pPr>
        <w:ind w:left="1140" w:right="200" w:hanging="646"/>
        <w:spacing w:after="0" w:line="282" w:lineRule="auto"/>
        <w:tabs>
          <w:tab w:leader="none" w:pos="11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herein, no other person is known by OPKO to have the right to receive or the power to direct the receipt of dividends from, or the proceeds from the sale of, any shares of the Issuer beneficially owned by them.</w:t>
      </w:r>
    </w:p>
    <w:p>
      <w:pPr>
        <w:spacing w:after="0" w:line="161" w:lineRule="exact"/>
        <w:rPr>
          <w:rFonts w:ascii="Times New Roman" w:cs="Times New Roman" w:eastAsia="Times New Roman" w:hAnsi="Times New Roman"/>
          <w:sz w:val="18"/>
          <w:szCs w:val="18"/>
          <w:color w:val="auto"/>
        </w:rPr>
      </w:pPr>
    </w:p>
    <w:p>
      <w:pPr>
        <w:ind w:left="1120" w:hanging="644"/>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4 of 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7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OPKO Health, Inc.</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July 26, 2024</w:t>
            </w:r>
          </w:p>
        </w:tc>
        <w:tc>
          <w:tcPr>
            <w:tcW w:w="27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D. Rubin</w:t>
            </w:r>
          </w:p>
        </w:tc>
      </w:tr>
      <w:tr>
        <w:trPr>
          <w:trHeight w:val="191"/>
        </w:trPr>
        <w:tc>
          <w:tcPr>
            <w:tcW w:w="6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740" w:type="dxa"/>
            <w:vAlign w:val="bottom"/>
          </w:tcPr>
          <w:p>
            <w:pPr>
              <w:ind w:left="17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D. Rubin</w:t>
            </w:r>
          </w:p>
        </w:tc>
      </w:tr>
      <w:tr>
        <w:trPr>
          <w:trHeight w:val="234"/>
        </w:trPr>
        <w:tc>
          <w:tcPr>
            <w:tcW w:w="6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7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 Administration</w:t>
            </w: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5"/>
      <w:numFmt w:val="bullet"/>
      <w:start w:val="1"/>
    </w:lvl>
  </w:abstractNum>
  <w:abstractNum w:abstractNumId="6">
    <w:nsid w:val="216231B"/>
    <w:multiLevelType w:val="hybridMultilevel"/>
    <w:lvl w:ilvl="0">
      <w:lvlJc w:val="left"/>
      <w:lvlText w:val="6"/>
      <w:numFmt w:val="bullet"/>
      <w:start w:val="1"/>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1"/>
      <w:numFmt w:val="decimal"/>
      <w:start w:val="1"/>
    </w:lvl>
    <w:lvl w:ilvl="1">
      <w:lvlJc w:val="left"/>
      <w:lvlText w:val="%2"/>
      <w:numFmt w:val="decimal"/>
      <w:start w:val="12"/>
    </w:lvl>
  </w:abstractNum>
  <w:abstractNum w:abstractNumId="9">
    <w:nsid w:val="66EF438D"/>
    <w:multiLevelType w:val="hybridMultilevel"/>
    <w:lvl w:ilvl="0">
      <w:lvlJc w:val="left"/>
      <w:lvlText w:val="(%1)"/>
      <w:numFmt w:val="decimal"/>
      <w:start w:val="1"/>
    </w:lvl>
    <w:lvl w:ilvl="1">
      <w:lvlJc w:val="left"/>
      <w:lvlText w:val="%2"/>
      <w:numFmt w:val="decimal"/>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2"/>
    </w:lvl>
  </w:abstractNum>
  <w:abstractNum w:abstractNumId="12">
    <w:nsid w:val="109CF92E"/>
    <w:multiLevelType w:val="hybridMultilevel"/>
    <w:lvl w:ilvl="0">
      <w:lvlJc w:val="left"/>
      <w:lvlText w:val="%1"/>
      <w:numFmt w:val="lowerLetter"/>
      <w:start w:val="1"/>
    </w:lvl>
    <w:lvl w:ilvl="1">
      <w:lvlJc w:val="left"/>
      <w:lvlText w:val="(%2)"/>
      <w:numFmt w:val="lowerLetter"/>
      <w:start w:val="4"/>
    </w:lvl>
  </w:abstractNum>
  <w:abstractNum w:abstractNumId="13">
    <w:nsid w:val="DED7263"/>
    <w:multiLevelType w:val="hybridMultilevel"/>
    <w:lvl w:ilvl="0">
      <w:lvlJc w:val="left"/>
      <w:lvlText w:val="(%1)"/>
      <w:numFmt w:val="lowerLetter"/>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2024-07-26T18:46:25Z</dcterms:created>
  <dcterms:modified xsi:type="dcterms:W3CDTF">2024-07-26T18:46:25Z</dcterms:modified>
</cp:coreProperties>
</file>