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6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333-258467</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 NO. 3</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2622550</wp:posOffset>
            </wp:positionH>
            <wp:positionV relativeFrom="paragraph">
              <wp:posOffset>4445</wp:posOffset>
            </wp:positionV>
            <wp:extent cx="2086610" cy="538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6610" cy="538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Sema4 Holdings Corp.</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236,223,401 Shares of Common Stock</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7,236,667 Warrants to Purchase Shares of Common Stock</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2948940</wp:posOffset>
            </wp:positionH>
            <wp:positionV relativeFrom="paragraph">
              <wp:posOffset>142875</wp:posOffset>
            </wp:positionV>
            <wp:extent cx="1434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4465" cy="7620"/>
                    </a:xfrm>
                    <a:prstGeom prst="rect">
                      <a:avLst/>
                    </a:prstGeom>
                    <a:noFill/>
                  </pic:spPr>
                </pic:pic>
              </a:graphicData>
            </a:graphic>
          </wp:anchor>
        </w:drawing>
      </w:r>
    </w:p>
    <w:p>
      <w:pPr>
        <w:spacing w:after="0" w:line="372" w:lineRule="exact"/>
        <w:rPr>
          <w:sz w:val="24"/>
          <w:szCs w:val="24"/>
          <w:color w:val="auto"/>
        </w:rPr>
      </w:pPr>
    </w:p>
    <w:p>
      <w:pPr>
        <w:jc w:val="both"/>
        <w:ind w:firstLine="287"/>
        <w:spacing w:after="0" w:line="258" w:lineRule="auto"/>
        <w:rPr>
          <w:sz w:val="20"/>
          <w:szCs w:val="20"/>
          <w:color w:val="auto"/>
        </w:rPr>
      </w:pPr>
      <w:r>
        <w:rPr>
          <w:rFonts w:ascii="Arial" w:cs="Arial" w:eastAsia="Arial" w:hAnsi="Arial"/>
          <w:sz w:val="16"/>
          <w:szCs w:val="16"/>
          <w:color w:val="auto"/>
        </w:rPr>
        <w:t>This prospectus supplement supplements the prospectus dated August 12, 2021, which forms a part of our registration statement on Form S-1 (No. 333-258467). This prospectus supplement is being filed to update and supplement the information in the Prospectus with the information contained in our quarterly report on Form 10-Q, filed with the Securities and Exchange Commission (the “SEC”) on November 15, 2021 (the “Quarterly Report”). Accordingly, we have attached the Quarterly Report to this prospectus supplement.</w:t>
      </w:r>
    </w:p>
    <w:p>
      <w:pPr>
        <w:spacing w:after="0" w:line="69" w:lineRule="exact"/>
        <w:rPr>
          <w:sz w:val="24"/>
          <w:szCs w:val="24"/>
          <w:color w:val="auto"/>
        </w:rPr>
      </w:pPr>
    </w:p>
    <w:p>
      <w:pPr>
        <w:jc w:val="both"/>
        <w:ind w:firstLine="287"/>
        <w:spacing w:after="0" w:line="270" w:lineRule="auto"/>
        <w:rPr>
          <w:sz w:val="20"/>
          <w:szCs w:val="20"/>
          <w:color w:val="auto"/>
        </w:rPr>
      </w:pPr>
      <w:r>
        <w:rPr>
          <w:rFonts w:ascii="Arial" w:cs="Arial" w:eastAsia="Arial" w:hAnsi="Arial"/>
          <w:sz w:val="15"/>
          <w:szCs w:val="15"/>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0" w:lineRule="exact"/>
        <w:rPr>
          <w:sz w:val="24"/>
          <w:szCs w:val="24"/>
          <w:color w:val="auto"/>
        </w:rPr>
      </w:pPr>
    </w:p>
    <w:p>
      <w:pPr>
        <w:jc w:val="both"/>
        <w:ind w:firstLine="287"/>
        <w:spacing w:after="0" w:line="258" w:lineRule="auto"/>
        <w:rPr>
          <w:sz w:val="20"/>
          <w:szCs w:val="20"/>
          <w:color w:val="auto"/>
        </w:rPr>
      </w:pPr>
      <w:r>
        <w:rPr>
          <w:rFonts w:ascii="Arial" w:cs="Arial" w:eastAsia="Arial" w:hAnsi="Arial"/>
          <w:sz w:val="16"/>
          <w:szCs w:val="16"/>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65" w:lineRule="exact"/>
        <w:rPr>
          <w:sz w:val="24"/>
          <w:szCs w:val="24"/>
          <w:color w:val="auto"/>
        </w:rPr>
      </w:pPr>
    </w:p>
    <w:p>
      <w:pPr>
        <w:jc w:val="both"/>
        <w:ind w:firstLine="287"/>
        <w:spacing w:after="0" w:line="349" w:lineRule="auto"/>
        <w:rPr>
          <w:sz w:val="20"/>
          <w:szCs w:val="20"/>
          <w:color w:val="auto"/>
        </w:rPr>
      </w:pPr>
      <w:r>
        <w:rPr>
          <w:rFonts w:ascii="Arial" w:cs="Arial" w:eastAsia="Arial" w:hAnsi="Arial"/>
          <w:sz w:val="14"/>
          <w:szCs w:val="14"/>
          <w:color w:val="auto"/>
        </w:rPr>
        <w:t>Our common stock and public warrants are listed on the Nasdaq Global Select Market (the “Nasdaq”) under the symbols “SMFR” and “SMFRW,” respectively. On November 11, 2021, the last reported sales price of our common stock was $7.91 per share and the last reported sales price of our public warrants was $1.94 per warrant.</w:t>
      </w:r>
    </w:p>
    <w:p>
      <w:pPr>
        <w:spacing w:after="0" w:line="105" w:lineRule="exact"/>
        <w:rPr>
          <w:sz w:val="24"/>
          <w:szCs w:val="24"/>
          <w:color w:val="auto"/>
        </w:rPr>
      </w:pPr>
    </w:p>
    <w:p>
      <w:pPr>
        <w:jc w:val="both"/>
        <w:ind w:firstLine="287"/>
        <w:spacing w:after="0" w:line="287" w:lineRule="auto"/>
        <w:rPr>
          <w:sz w:val="20"/>
          <w:szCs w:val="20"/>
          <w:color w:val="auto"/>
        </w:rPr>
      </w:pPr>
      <w:r>
        <w:rPr>
          <w:rFonts w:ascii="Arial" w:cs="Arial" w:eastAsia="Arial" w:hAnsi="Arial"/>
          <w:sz w:val="15"/>
          <w:szCs w:val="15"/>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46" w:lineRule="exact"/>
        <w:rPr>
          <w:sz w:val="24"/>
          <w:szCs w:val="24"/>
          <w:color w:val="auto"/>
        </w:rPr>
      </w:pPr>
    </w:p>
    <w:p>
      <w:pPr>
        <w:jc w:val="center"/>
        <w:ind w:left="580" w:right="180"/>
        <w:spacing w:after="0" w:line="275" w:lineRule="auto"/>
        <w:rPr>
          <w:sz w:val="20"/>
          <w:szCs w:val="20"/>
          <w:color w:val="auto"/>
        </w:rPr>
      </w:pPr>
      <w:r>
        <w:rPr>
          <w:rFonts w:ascii="Arial" w:cs="Arial" w:eastAsia="Arial" w:hAnsi="Arial"/>
          <w:sz w:val="16"/>
          <w:szCs w:val="16"/>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48" w:lineRule="exact"/>
        <w:rPr>
          <w:sz w:val="24"/>
          <w:szCs w:val="24"/>
          <w:color w:val="auto"/>
        </w:rPr>
      </w:pPr>
    </w:p>
    <w:p>
      <w:pPr>
        <w:ind w:left="2520" w:right="360" w:hanging="1902"/>
        <w:spacing w:after="0" w:line="280"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supplement is November 15, 2021</w:t>
      </w:r>
    </w:p>
    <w:p>
      <w:pPr>
        <w:sectPr>
          <w:pgSz w:w="11900" w:h="16838" w:orient="portrait"/>
          <w:cols w:equalWidth="0" w:num="1">
            <w:col w:w="11260"/>
          </w:cols>
          <w:pgMar w:left="320" w:top="995" w:right="319" w:bottom="1440" w:gutter="0" w:footer="0" w:header="0"/>
        </w:sectPr>
      </w:pPr>
    </w:p>
    <w:bookmarkStart w:id="1" w:name="page2"/>
    <w:bookmarkEnd w:id="1"/>
    <w:p>
      <w:pPr>
        <w:jc w:val="center"/>
        <w:ind w:right="-2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382270</wp:posOffset>
            </wp:positionH>
            <wp:positionV relativeFrom="page">
              <wp:posOffset>574675</wp:posOffset>
            </wp:positionV>
            <wp:extent cx="70218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1830" cy="7620"/>
                    </a:xfrm>
                    <a:prstGeom prst="rect">
                      <a:avLst/>
                    </a:prstGeom>
                    <a:noFill/>
                  </pic:spPr>
                </pic:pic>
              </a:graphicData>
            </a:graphic>
          </wp:anchor>
        </w:drawing>
        <w:drawing>
          <wp:anchor simplePos="0" relativeHeight="251657728" behindDoc="1" locked="0" layoutInCell="0" allowOverlap="1">
            <wp:simplePos x="0" y="0"/>
            <wp:positionH relativeFrom="page">
              <wp:posOffset>382270</wp:posOffset>
            </wp:positionH>
            <wp:positionV relativeFrom="page">
              <wp:posOffset>597535</wp:posOffset>
            </wp:positionV>
            <wp:extent cx="70218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1830" cy="7620"/>
                    </a:xfrm>
                    <a:prstGeom prst="rect">
                      <a:avLst/>
                    </a:prstGeom>
                    <a:noFill/>
                  </pic:spPr>
                </pic:pic>
              </a:graphicData>
            </a:graphic>
          </wp:anchor>
        </w:drawing>
        <w:t>UNITED STATES</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ind w:left="460" w:hanging="449"/>
        <w:spacing w:after="0" w:line="192" w:lineRule="auto"/>
        <w:tabs>
          <w:tab w:leader="none" w:pos="460" w:val="left"/>
        </w:tabs>
        <w:numPr>
          <w:ilvl w:val="0"/>
          <w:numId w:val="1"/>
        </w:numPr>
        <w:rPr>
          <w:rFonts w:ascii="Arial" w:cs="Arial" w:eastAsia="Arial" w:hAnsi="Arial"/>
          <w:sz w:val="32"/>
          <w:szCs w:val="32"/>
          <w:color w:val="auto"/>
          <w:vertAlign w:val="superscript"/>
        </w:rPr>
      </w:pPr>
      <w:r>
        <w:rPr>
          <w:rFonts w:ascii="Arial" w:cs="Arial" w:eastAsia="Arial" w:hAnsi="Arial"/>
          <w:sz w:val="19"/>
          <w:szCs w:val="19"/>
          <w:b w:val="1"/>
          <w:bCs w:val="1"/>
          <w:color w:val="auto"/>
        </w:rPr>
        <w:t>QUARTERLY REPORT PURSUANT TO SECTION 13 OR 15(d) OF THE SECURITIES EXCHANGE ACT OF 1934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OR</w:t>
      </w:r>
    </w:p>
    <w:p>
      <w:pPr>
        <w:spacing w:after="0" w:line="108" w:lineRule="exact"/>
        <w:rPr>
          <w:sz w:val="20"/>
          <w:szCs w:val="20"/>
          <w:color w:val="auto"/>
        </w:rPr>
      </w:pPr>
    </w:p>
    <w:p>
      <w:pPr>
        <w:ind w:left="460" w:hanging="449"/>
        <w:spacing w:after="0"/>
        <w:tabs>
          <w:tab w:leader="none" w:pos="4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9"/>
          <w:szCs w:val="19"/>
          <w:b w:val="1"/>
          <w:bCs w:val="1"/>
          <w:color w:val="auto"/>
        </w:rPr>
        <w:t>TRANSITION REPORT PURSUANT TO SECTION 13 OR 15(d) OF THE SECURITIES EXCHANGE ACT OF 1934</w:t>
      </w:r>
    </w:p>
    <w:p>
      <w:pPr>
        <w:spacing w:after="0" w:line="8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Commission file number 001-39482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106045</wp:posOffset>
            </wp:positionV>
            <wp:extent cx="151765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331"/>
        </w:trPr>
        <w:tc>
          <w:tcPr>
            <w:tcW w:w="6340" w:type="dxa"/>
            <w:vAlign w:val="bottom"/>
          </w:tcPr>
          <w:p>
            <w:pPr>
              <w:ind w:left="2720"/>
              <w:spacing w:after="0"/>
              <w:rPr>
                <w:sz w:val="20"/>
                <w:szCs w:val="20"/>
                <w:color w:val="auto"/>
              </w:rPr>
            </w:pPr>
            <w:r>
              <w:rPr>
                <w:rFonts w:ascii="Arial" w:cs="Arial" w:eastAsia="Arial" w:hAnsi="Arial"/>
                <w:sz w:val="25"/>
                <w:szCs w:val="25"/>
                <w:b w:val="1"/>
                <w:bCs w:val="1"/>
                <w:color w:val="auto"/>
              </w:rPr>
              <w:t>Sema4 Holdings Corp.</w:t>
            </w:r>
          </w:p>
        </w:tc>
        <w:tc>
          <w:tcPr>
            <w:tcW w:w="1320" w:type="dxa"/>
            <w:vAlign w:val="bottom"/>
          </w:tcPr>
          <w:p>
            <w:pPr>
              <w:spacing w:after="0"/>
              <w:rPr>
                <w:sz w:val="24"/>
                <w:szCs w:val="24"/>
                <w:color w:val="auto"/>
              </w:rPr>
            </w:pPr>
          </w:p>
        </w:tc>
      </w:tr>
      <w:tr>
        <w:trPr>
          <w:trHeight w:val="374"/>
        </w:trPr>
        <w:tc>
          <w:tcPr>
            <w:tcW w:w="6340" w:type="dxa"/>
            <w:vAlign w:val="bottom"/>
          </w:tcPr>
          <w:p>
            <w:pPr>
              <w:ind w:left="1980"/>
              <w:spacing w:after="0"/>
              <w:rPr>
                <w:sz w:val="20"/>
                <w:szCs w:val="20"/>
                <w:color w:val="auto"/>
              </w:rPr>
            </w:pPr>
            <w:r>
              <w:rPr>
                <w:rFonts w:ascii="Arial" w:cs="Arial" w:eastAsia="Arial" w:hAnsi="Arial"/>
                <w:sz w:val="19"/>
                <w:szCs w:val="19"/>
                <w:b w:val="1"/>
                <w:bCs w:val="1"/>
                <w:color w:val="auto"/>
                <w:w w:val="92"/>
              </w:rPr>
              <w:t>(Exact name of registrant as specified in its charter)</w:t>
            </w:r>
          </w:p>
        </w:tc>
        <w:tc>
          <w:tcPr>
            <w:tcW w:w="1320" w:type="dxa"/>
            <w:vAlign w:val="bottom"/>
          </w:tcPr>
          <w:p>
            <w:pPr>
              <w:spacing w:after="0"/>
              <w:rPr>
                <w:sz w:val="24"/>
                <w:szCs w:val="24"/>
                <w:color w:val="auto"/>
              </w:rPr>
            </w:pPr>
          </w:p>
        </w:tc>
      </w:tr>
      <w:tr>
        <w:trPr>
          <w:trHeight w:val="362"/>
        </w:trPr>
        <w:tc>
          <w:tcPr>
            <w:tcW w:w="6340" w:type="dxa"/>
            <w:vAlign w:val="bottom"/>
          </w:tcPr>
          <w:p>
            <w:pPr>
              <w:jc w:val="center"/>
              <w:ind w:right="3372"/>
              <w:spacing w:after="0"/>
              <w:rPr>
                <w:sz w:val="20"/>
                <w:szCs w:val="20"/>
                <w:color w:val="auto"/>
              </w:rPr>
            </w:pPr>
            <w:r>
              <w:rPr>
                <w:rFonts w:ascii="Arial" w:cs="Arial" w:eastAsia="Arial" w:hAnsi="Arial"/>
                <w:sz w:val="16"/>
                <w:szCs w:val="16"/>
                <w:b w:val="1"/>
                <w:bCs w:val="1"/>
                <w:color w:val="auto"/>
                <w:w w:val="91"/>
              </w:rPr>
              <w:t>Delaware</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85-1966622</w:t>
            </w:r>
          </w:p>
        </w:tc>
      </w:tr>
      <w:tr>
        <w:trPr>
          <w:trHeight w:val="178"/>
        </w:trPr>
        <w:tc>
          <w:tcPr>
            <w:tcW w:w="6340" w:type="dxa"/>
            <w:vAlign w:val="bottom"/>
          </w:tcPr>
          <w:p>
            <w:pPr>
              <w:jc w:val="center"/>
              <w:ind w:right="3372"/>
              <w:spacing w:after="0" w:line="178" w:lineRule="exact"/>
              <w:rPr>
                <w:sz w:val="20"/>
                <w:szCs w:val="20"/>
                <w:color w:val="auto"/>
              </w:rPr>
            </w:pPr>
            <w:r>
              <w:rPr>
                <w:rFonts w:ascii="Arial" w:cs="Arial" w:eastAsia="Arial" w:hAnsi="Arial"/>
                <w:sz w:val="16"/>
                <w:szCs w:val="16"/>
                <w:color w:val="auto"/>
                <w:w w:val="91"/>
              </w:rPr>
              <w:t>(State or other jurisdiction of</w:t>
            </w:r>
          </w:p>
        </w:tc>
        <w:tc>
          <w:tcPr>
            <w:tcW w:w="1320" w:type="dxa"/>
            <w:vAlign w:val="bottom"/>
          </w:tcPr>
          <w:p>
            <w:pPr>
              <w:jc w:val="center"/>
              <w:ind w:left="60"/>
              <w:spacing w:after="0" w:line="178" w:lineRule="exact"/>
              <w:rPr>
                <w:sz w:val="20"/>
                <w:szCs w:val="20"/>
                <w:color w:val="auto"/>
              </w:rPr>
            </w:pPr>
            <w:r>
              <w:rPr>
                <w:rFonts w:ascii="Arial" w:cs="Arial" w:eastAsia="Arial" w:hAnsi="Arial"/>
                <w:sz w:val="16"/>
                <w:szCs w:val="16"/>
                <w:color w:val="auto"/>
                <w:w w:val="93"/>
              </w:rPr>
              <w:t>(I.R.S. Employer</w:t>
            </w:r>
          </w:p>
        </w:tc>
      </w:tr>
      <w:tr>
        <w:trPr>
          <w:trHeight w:val="204"/>
        </w:trPr>
        <w:tc>
          <w:tcPr>
            <w:tcW w:w="6340" w:type="dxa"/>
            <w:vAlign w:val="bottom"/>
          </w:tcPr>
          <w:p>
            <w:pPr>
              <w:jc w:val="center"/>
              <w:ind w:right="3372"/>
              <w:spacing w:after="0"/>
              <w:rPr>
                <w:sz w:val="20"/>
                <w:szCs w:val="20"/>
                <w:color w:val="auto"/>
              </w:rPr>
            </w:pPr>
            <w:r>
              <w:rPr>
                <w:rFonts w:ascii="Arial" w:cs="Arial" w:eastAsia="Arial" w:hAnsi="Arial"/>
                <w:sz w:val="16"/>
                <w:szCs w:val="16"/>
                <w:color w:val="auto"/>
                <w:w w:val="92"/>
              </w:rPr>
              <w:t>incorporation or organization)</w:t>
            </w:r>
          </w:p>
        </w:tc>
        <w:tc>
          <w:tcPr>
            <w:tcW w:w="1320" w:type="dxa"/>
            <w:vAlign w:val="bottom"/>
          </w:tcPr>
          <w:p>
            <w:pPr>
              <w:jc w:val="center"/>
              <w:ind w:left="60"/>
              <w:spacing w:after="0"/>
              <w:rPr>
                <w:sz w:val="20"/>
                <w:szCs w:val="20"/>
                <w:color w:val="auto"/>
              </w:rPr>
            </w:pPr>
            <w:r>
              <w:rPr>
                <w:rFonts w:ascii="Arial" w:cs="Arial" w:eastAsia="Arial" w:hAnsi="Arial"/>
                <w:sz w:val="16"/>
                <w:szCs w:val="16"/>
                <w:color w:val="auto"/>
                <w:w w:val="94"/>
              </w:rPr>
              <w:t>Identification No.)</w:t>
            </w:r>
          </w:p>
        </w:tc>
      </w:tr>
      <w:tr>
        <w:trPr>
          <w:trHeight w:val="222"/>
        </w:trPr>
        <w:tc>
          <w:tcPr>
            <w:tcW w:w="6340" w:type="dxa"/>
            <w:vAlign w:val="bottom"/>
          </w:tcPr>
          <w:p>
            <w:pPr>
              <w:jc w:val="center"/>
              <w:ind w:right="3372"/>
              <w:spacing w:after="0"/>
              <w:rPr>
                <w:sz w:val="20"/>
                <w:szCs w:val="20"/>
                <w:color w:val="auto"/>
              </w:rPr>
            </w:pPr>
            <w:r>
              <w:rPr>
                <w:rFonts w:ascii="Arial" w:cs="Arial" w:eastAsia="Arial" w:hAnsi="Arial"/>
                <w:sz w:val="16"/>
                <w:szCs w:val="16"/>
                <w:b w:val="1"/>
                <w:bCs w:val="1"/>
                <w:color w:val="auto"/>
                <w:w w:val="90"/>
              </w:rPr>
              <w:t>333 Ludlow Street, North Tower, 8th Floor</w:t>
            </w:r>
          </w:p>
        </w:tc>
        <w:tc>
          <w:tcPr>
            <w:tcW w:w="1320" w:type="dxa"/>
            <w:vAlign w:val="bottom"/>
          </w:tcPr>
          <w:p>
            <w:pPr>
              <w:spacing w:after="0"/>
              <w:rPr>
                <w:sz w:val="19"/>
                <w:szCs w:val="19"/>
                <w:color w:val="auto"/>
              </w:rPr>
            </w:pPr>
          </w:p>
        </w:tc>
      </w:tr>
      <w:tr>
        <w:trPr>
          <w:trHeight w:val="208"/>
        </w:trPr>
        <w:tc>
          <w:tcPr>
            <w:tcW w:w="6340" w:type="dxa"/>
            <w:vAlign w:val="bottom"/>
          </w:tcPr>
          <w:p>
            <w:pPr>
              <w:jc w:val="center"/>
              <w:ind w:right="3372"/>
              <w:spacing w:after="0"/>
              <w:rPr>
                <w:sz w:val="20"/>
                <w:szCs w:val="20"/>
                <w:color w:val="auto"/>
              </w:rPr>
            </w:pPr>
            <w:r>
              <w:rPr>
                <w:rFonts w:ascii="Arial" w:cs="Arial" w:eastAsia="Arial" w:hAnsi="Arial"/>
                <w:sz w:val="16"/>
                <w:szCs w:val="16"/>
                <w:b w:val="1"/>
                <w:bCs w:val="1"/>
                <w:color w:val="auto"/>
                <w:w w:val="90"/>
              </w:rPr>
              <w:t>Stamford, Connecticut</w:t>
            </w:r>
          </w:p>
        </w:tc>
        <w:tc>
          <w:tcPr>
            <w:tcW w:w="1320" w:type="dxa"/>
            <w:vAlign w:val="bottom"/>
          </w:tcPr>
          <w:p>
            <w:pPr>
              <w:jc w:val="center"/>
              <w:ind w:left="40"/>
              <w:spacing w:after="0"/>
              <w:rPr>
                <w:sz w:val="20"/>
                <w:szCs w:val="20"/>
                <w:color w:val="auto"/>
              </w:rPr>
            </w:pPr>
            <w:r>
              <w:rPr>
                <w:rFonts w:ascii="Arial" w:cs="Arial" w:eastAsia="Arial" w:hAnsi="Arial"/>
                <w:sz w:val="16"/>
                <w:szCs w:val="16"/>
                <w:b w:val="1"/>
                <w:bCs w:val="1"/>
                <w:color w:val="auto"/>
                <w:w w:val="89"/>
              </w:rPr>
              <w:t>06902</w:t>
            </w:r>
          </w:p>
        </w:tc>
      </w:tr>
      <w:tr>
        <w:trPr>
          <w:trHeight w:val="215"/>
        </w:trPr>
        <w:tc>
          <w:tcPr>
            <w:tcW w:w="6340" w:type="dxa"/>
            <w:vAlign w:val="bottom"/>
          </w:tcPr>
          <w:p>
            <w:pPr>
              <w:jc w:val="center"/>
              <w:ind w:right="3372"/>
              <w:spacing w:after="0"/>
              <w:rPr>
                <w:sz w:val="20"/>
                <w:szCs w:val="20"/>
                <w:color w:val="auto"/>
              </w:rPr>
            </w:pPr>
            <w:r>
              <w:rPr>
                <w:rFonts w:ascii="Arial" w:cs="Arial" w:eastAsia="Arial" w:hAnsi="Arial"/>
                <w:sz w:val="16"/>
                <w:szCs w:val="16"/>
                <w:color w:val="auto"/>
                <w:w w:val="92"/>
              </w:rPr>
              <w:t>(Address of Principal Executive Offices)</w:t>
            </w:r>
          </w:p>
        </w:tc>
        <w:tc>
          <w:tcPr>
            <w:tcW w:w="1320" w:type="dxa"/>
            <w:vAlign w:val="bottom"/>
          </w:tcPr>
          <w:p>
            <w:pPr>
              <w:jc w:val="center"/>
              <w:ind w:left="60"/>
              <w:spacing w:after="0"/>
              <w:rPr>
                <w:sz w:val="20"/>
                <w:szCs w:val="20"/>
                <w:color w:val="auto"/>
              </w:rPr>
            </w:pPr>
            <w:r>
              <w:rPr>
                <w:rFonts w:ascii="Arial" w:cs="Arial" w:eastAsia="Arial" w:hAnsi="Arial"/>
                <w:sz w:val="16"/>
                <w:szCs w:val="16"/>
                <w:color w:val="auto"/>
                <w:w w:val="92"/>
              </w:rPr>
              <w:t>(Zip Code)</w:t>
            </w:r>
          </w:p>
        </w:tc>
      </w:tr>
    </w:tbl>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(800) 298-6470</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09"/>
        </w:trPr>
        <w:tc>
          <w:tcPr>
            <w:tcW w:w="46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SMFR</w:t>
            </w:r>
          </w:p>
        </w:tc>
        <w:tc>
          <w:tcPr>
            <w:tcW w:w="4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The Nasdaq Global Select Market</w:t>
            </w:r>
          </w:p>
        </w:tc>
      </w:tr>
      <w:tr>
        <w:trPr>
          <w:trHeight w:val="158"/>
        </w:trPr>
        <w:tc>
          <w:tcPr>
            <w:tcW w:w="46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88"/>
              </w:rPr>
              <w:t>Warrants to purchase one share of Class A common stock, each at</w:t>
            </w:r>
          </w:p>
        </w:tc>
        <w:tc>
          <w:tcPr>
            <w:tcW w:w="1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SMFRW</w:t>
            </w:r>
          </w:p>
        </w:tc>
        <w:tc>
          <w:tcPr>
            <w:tcW w:w="4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The Nasdaq Global Select Market</w:t>
            </w:r>
          </w:p>
        </w:tc>
      </w:tr>
      <w:tr>
        <w:trPr>
          <w:trHeight w:val="214"/>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an exercise price of $11.50 per share</w:t>
            </w:r>
          </w:p>
        </w:tc>
        <w:tc>
          <w:tcPr>
            <w:tcW w:w="190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tcPr>
          <w:p>
            <w:pPr>
              <w:spacing w:after="0"/>
              <w:rPr>
                <w:sz w:val="18"/>
                <w:szCs w:val="18"/>
                <w:color w:val="auto"/>
              </w:rPr>
            </w:pPr>
          </w:p>
        </w:tc>
      </w:tr>
    </w:tbl>
    <w:p>
      <w:pPr>
        <w:spacing w:after="0" w:line="215"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5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840"/>
              <w:spacing w:after="0"/>
              <w:rPr>
                <w:sz w:val="20"/>
                <w:szCs w:val="20"/>
                <w:color w:val="auto"/>
              </w:rPr>
            </w:pPr>
            <w:r>
              <w:rPr>
                <w:rFonts w:ascii="Arial" w:cs="Arial" w:eastAsia="Arial" w:hAnsi="Arial"/>
                <w:sz w:val="16"/>
                <w:szCs w:val="16"/>
                <w:color w:val="auto"/>
              </w:rPr>
              <w:t>o</w:t>
            </w:r>
          </w:p>
        </w:tc>
        <w:tc>
          <w:tcPr>
            <w:tcW w:w="464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220"/>
              <w:spacing w:after="0"/>
              <w:rPr>
                <w:sz w:val="20"/>
                <w:szCs w:val="20"/>
                <w:color w:val="auto"/>
              </w:rPr>
            </w:pPr>
            <w:r>
              <w:rPr>
                <w:rFonts w:ascii="Arial" w:cs="Arial" w:eastAsia="Arial" w:hAnsi="Arial"/>
                <w:sz w:val="16"/>
                <w:szCs w:val="16"/>
                <w:color w:val="auto"/>
                <w:w w:val="89"/>
              </w:rPr>
              <w:t>o</w:t>
            </w:r>
          </w:p>
        </w:tc>
      </w:tr>
      <w:tr>
        <w:trPr>
          <w:trHeight w:val="215"/>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840"/>
              <w:spacing w:after="0"/>
              <w:rPr>
                <w:sz w:val="20"/>
                <w:szCs w:val="20"/>
                <w:color w:val="auto"/>
              </w:rPr>
            </w:pPr>
            <w:r>
              <w:rPr>
                <w:rFonts w:ascii="Arial" w:cs="Arial" w:eastAsia="Arial" w:hAnsi="Arial"/>
                <w:sz w:val="16"/>
                <w:szCs w:val="16"/>
                <w:color w:val="auto"/>
              </w:rPr>
              <w:t>x</w:t>
            </w:r>
          </w:p>
        </w:tc>
        <w:tc>
          <w:tcPr>
            <w:tcW w:w="464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220"/>
              <w:spacing w:after="0"/>
              <w:rPr>
                <w:sz w:val="20"/>
                <w:szCs w:val="20"/>
                <w:color w:val="auto"/>
              </w:rPr>
            </w:pPr>
            <w:r>
              <w:rPr>
                <w:rFonts w:ascii="Arial" w:cs="Arial" w:eastAsia="Arial" w:hAnsi="Arial"/>
                <w:sz w:val="16"/>
                <w:szCs w:val="16"/>
                <w:color w:val="auto"/>
                <w:w w:val="99"/>
              </w:rPr>
              <w:t>x</w:t>
            </w:r>
          </w:p>
        </w:tc>
      </w:tr>
      <w:tr>
        <w:trPr>
          <w:trHeight w:val="215"/>
        </w:trPr>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40" w:type="dxa"/>
            <w:vAlign w:val="bottom"/>
          </w:tcPr>
          <w:p>
            <w:pPr>
              <w:ind w:left="168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220"/>
              <w:spacing w:after="0"/>
              <w:rPr>
                <w:sz w:val="20"/>
                <w:szCs w:val="20"/>
                <w:color w:val="auto"/>
              </w:rPr>
            </w:pPr>
            <w:r>
              <w:rPr>
                <w:rFonts w:ascii="Arial" w:cs="Arial" w:eastAsia="Arial" w:hAnsi="Arial"/>
                <w:sz w:val="16"/>
                <w:szCs w:val="16"/>
                <w:color w:val="auto"/>
                <w:w w:val="99"/>
              </w:rPr>
              <w:t>x</w:t>
            </w:r>
          </w:p>
        </w:tc>
      </w:tr>
    </w:tbl>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had outstanding 241,261,362 shares of Class A common stock as of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156845</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1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5"/>
          </w:tcPr>
          <w:p>
            <w:pPr>
              <w:ind w:left="60"/>
              <w:spacing w:after="0"/>
              <w:rPr>
                <w:sz w:val="20"/>
                <w:szCs w:val="20"/>
                <w:color w:val="auto"/>
              </w:rPr>
            </w:pPr>
            <w:r>
              <w:rPr>
                <w:rFonts w:ascii="Arial" w:cs="Arial" w:eastAsia="Arial" w:hAnsi="Arial"/>
                <w:sz w:val="16"/>
                <w:szCs w:val="16"/>
                <w:b w:val="1"/>
                <w:bCs w:val="1"/>
                <w:color w:val="auto"/>
              </w:rPr>
              <w:t>Table of Contents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179"/>
        </w:trPr>
        <w:tc>
          <w:tcPr>
            <w:tcW w:w="9600" w:type="dxa"/>
            <w:vAlign w:val="bottom"/>
            <w:gridSpan w:val="25"/>
          </w:tcPr>
          <w:p>
            <w:pPr>
              <w:spacing w:after="0" w:line="179" w:lineRule="exact"/>
              <w:rPr>
                <w:rFonts w:ascii="Arial" w:cs="Arial" w:eastAsia="Arial" w:hAnsi="Arial"/>
                <w:sz w:val="16"/>
                <w:szCs w:val="16"/>
                <w:color w:val="0000FF"/>
              </w:rPr>
            </w:pPr>
            <w:hyperlink w:anchor="page4">
              <w:r>
                <w:rPr>
                  <w:rFonts w:ascii="Arial" w:cs="Arial" w:eastAsia="Arial" w:hAnsi="Arial"/>
                  <w:sz w:val="16"/>
                  <w:szCs w:val="16"/>
                  <w:color w:val="0000FF"/>
                </w:rPr>
                <w:t>Cautionary Note Regarding Forward Looking Statements</w:t>
              </w:r>
            </w:hyperlink>
          </w:p>
        </w:tc>
        <w:tc>
          <w:tcPr>
            <w:tcW w:w="1400" w:type="dxa"/>
            <w:vAlign w:val="bottom"/>
          </w:tcPr>
          <w:p>
            <w:pPr>
              <w:jc w:val="center"/>
              <w:ind w:left="1000"/>
              <w:spacing w:after="0" w:line="179" w:lineRule="exact"/>
              <w:rPr>
                <w:rFonts w:ascii="Arial" w:cs="Arial" w:eastAsia="Arial" w:hAnsi="Arial"/>
                <w:sz w:val="16"/>
                <w:szCs w:val="16"/>
                <w:color w:val="auto"/>
                <w:w w:val="89"/>
              </w:rPr>
            </w:pPr>
            <w:hyperlink w:anchor="page4">
              <w:r>
                <w:rPr>
                  <w:rFonts w:ascii="Arial" w:cs="Arial" w:eastAsia="Arial" w:hAnsi="Arial"/>
                  <w:sz w:val="16"/>
                  <w:szCs w:val="16"/>
                  <w:color w:val="auto"/>
                  <w:w w:val="89"/>
                </w:rPr>
                <w:t>4</w:t>
              </w:r>
            </w:hyperlink>
          </w:p>
        </w:tc>
        <w:tc>
          <w:tcPr>
            <w:tcW w:w="0" w:type="dxa"/>
            <w:vAlign w:val="bottom"/>
          </w:tcPr>
          <w:p>
            <w:pPr>
              <w:spacing w:after="0"/>
              <w:rPr>
                <w:sz w:val="1"/>
                <w:szCs w:val="1"/>
                <w:color w:val="auto"/>
              </w:rPr>
            </w:pPr>
          </w:p>
        </w:tc>
      </w:tr>
      <w:tr>
        <w:trPr>
          <w:trHeight w:val="434"/>
        </w:trPr>
        <w:tc>
          <w:tcPr>
            <w:tcW w:w="182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Part I. Financial Information</w:t>
              </w:r>
            </w:hyperlink>
          </w:p>
        </w:tc>
        <w:tc>
          <w:tcPr>
            <w:tcW w:w="1820" w:type="dxa"/>
            <w:vAlign w:val="bottom"/>
            <w:tcBorders>
              <w:top w:val="single" w:sz="8" w:color="0000FF"/>
            </w:tcBorders>
            <w:gridSpan w:val="6"/>
          </w:tcPr>
          <w:p>
            <w:pPr>
              <w:spacing w:after="0"/>
              <w:rPr>
                <w:sz w:val="24"/>
                <w:szCs w:val="24"/>
                <w:color w:val="auto"/>
              </w:rPr>
            </w:pPr>
          </w:p>
        </w:tc>
        <w:tc>
          <w:tcPr>
            <w:tcW w:w="596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gridSpan w:val="5"/>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Item 1.</w:t>
              </w:r>
            </w:hyperlink>
          </w:p>
        </w:tc>
        <w:tc>
          <w:tcPr>
            <w:tcW w:w="8520" w:type="dxa"/>
            <w:vAlign w:val="bottom"/>
            <w:gridSpan w:val="20"/>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Condensed Consolidated Financial Statements</w:t>
              </w:r>
            </w:hyperlink>
          </w:p>
        </w:tc>
        <w:tc>
          <w:tcPr>
            <w:tcW w:w="1400" w:type="dxa"/>
            <w:vAlign w:val="bottom"/>
          </w:tcPr>
          <w:p>
            <w:pPr>
              <w:jc w:val="center"/>
              <w:ind w:left="1000"/>
              <w:spacing w:after="0"/>
              <w:rPr>
                <w:rFonts w:ascii="Arial" w:cs="Arial" w:eastAsia="Arial" w:hAnsi="Arial"/>
                <w:sz w:val="16"/>
                <w:szCs w:val="16"/>
                <w:color w:val="auto"/>
                <w:w w:val="89"/>
              </w:rPr>
            </w:pPr>
            <w:hyperlink w:anchor="page5">
              <w:r>
                <w:rPr>
                  <w:rFonts w:ascii="Arial" w:cs="Arial" w:eastAsia="Arial" w:hAnsi="Arial"/>
                  <w:sz w:val="16"/>
                  <w:szCs w:val="16"/>
                  <w:color w:val="auto"/>
                  <w:w w:val="89"/>
                </w:rPr>
                <w:t>5</w:t>
              </w:r>
            </w:hyperlink>
          </w:p>
        </w:tc>
        <w:tc>
          <w:tcPr>
            <w:tcW w:w="0" w:type="dxa"/>
            <w:vAlign w:val="bottom"/>
          </w:tcPr>
          <w:p>
            <w:pPr>
              <w:spacing w:after="0"/>
              <w:rPr>
                <w:sz w:val="1"/>
                <w:szCs w:val="1"/>
                <w:color w:val="auto"/>
              </w:rPr>
            </w:pPr>
          </w:p>
        </w:tc>
      </w:tr>
      <w:tr>
        <w:trPr>
          <w:trHeight w:val="195"/>
        </w:trPr>
        <w:tc>
          <w:tcPr>
            <w:tcW w:w="4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60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87"/>
              </w:rPr>
            </w:pPr>
            <w:hyperlink w:anchor="page5">
              <w:r>
                <w:rPr>
                  <w:rFonts w:ascii="Arial" w:cs="Arial" w:eastAsia="Arial" w:hAnsi="Arial"/>
                  <w:sz w:val="16"/>
                  <w:szCs w:val="16"/>
                  <w:color w:val="0000FF"/>
                  <w:w w:val="87"/>
                </w:rPr>
                <w:t>Condensed Consolidated Balance Sheets</w:t>
              </w:r>
            </w:hyperlink>
          </w:p>
        </w:tc>
        <w:tc>
          <w:tcPr>
            <w:tcW w:w="920" w:type="dxa"/>
            <w:vAlign w:val="bottom"/>
            <w:tcBorders>
              <w:top w:val="single" w:sz="8" w:color="0000FF"/>
            </w:tcBorders>
            <w:gridSpan w:val="2"/>
          </w:tcPr>
          <w:p>
            <w:pPr>
              <w:spacing w:after="0"/>
              <w:rPr>
                <w:sz w:val="16"/>
                <w:szCs w:val="16"/>
                <w:color w:val="auto"/>
              </w:rPr>
            </w:pPr>
          </w:p>
        </w:tc>
        <w:tc>
          <w:tcPr>
            <w:tcW w:w="4860" w:type="dxa"/>
            <w:vAlign w:val="bottom"/>
            <w:gridSpan w:val="7"/>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5">
              <w:r>
                <w:rPr>
                  <w:rFonts w:ascii="Arial" w:cs="Arial" w:eastAsia="Arial" w:hAnsi="Arial"/>
                  <w:sz w:val="16"/>
                  <w:szCs w:val="16"/>
                  <w:color w:val="auto"/>
                  <w:w w:val="89"/>
                </w:rPr>
                <w:t>5</w:t>
              </w:r>
            </w:hyperlink>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00" w:type="dxa"/>
            <w:vAlign w:val="bottom"/>
            <w:tcBorders>
              <w:bottom w:val="single" w:sz="8" w:color="0000FF"/>
            </w:tcBorders>
            <w:gridSpan w:val="16"/>
          </w:tcPr>
          <w:p>
            <w:pPr>
              <w:spacing w:after="0"/>
              <w:rPr>
                <w:rFonts w:ascii="Arial" w:cs="Arial" w:eastAsia="Arial" w:hAnsi="Arial"/>
                <w:sz w:val="16"/>
                <w:szCs w:val="16"/>
                <w:color w:val="0000FF"/>
                <w:w w:val="88"/>
              </w:rPr>
            </w:pPr>
            <w:hyperlink w:anchor="page6">
              <w:r>
                <w:rPr>
                  <w:rFonts w:ascii="Arial" w:cs="Arial" w:eastAsia="Arial" w:hAnsi="Arial"/>
                  <w:sz w:val="16"/>
                  <w:szCs w:val="16"/>
                  <w:color w:val="0000FF"/>
                  <w:w w:val="88"/>
                </w:rPr>
                <w:t>Condensed Consolidated Statements of Operations and Comprehensive Loss</w:t>
              </w:r>
            </w:hyperlink>
          </w:p>
        </w:tc>
        <w:tc>
          <w:tcPr>
            <w:tcW w:w="3480" w:type="dxa"/>
            <w:vAlign w:val="bottom"/>
            <w:gridSpan w:val="3"/>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6">
              <w:r>
                <w:rPr>
                  <w:rFonts w:ascii="Arial" w:cs="Arial" w:eastAsia="Arial" w:hAnsi="Arial"/>
                  <w:sz w:val="16"/>
                  <w:szCs w:val="16"/>
                  <w:color w:val="auto"/>
                  <w:w w:val="89"/>
                </w:rPr>
                <w:t>7</w:t>
              </w:r>
            </w:hyperlink>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380" w:type="dxa"/>
            <w:vAlign w:val="bottom"/>
            <w:gridSpan w:val="19"/>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 of Redeemable Convertible Preferred Stock and Stockholders' Equity (Deficit</w:t>
              </w:r>
            </w:hyperlink>
            <w:r>
              <w:rPr>
                <w:rFonts w:ascii="Arial" w:cs="Arial" w:eastAsia="Arial" w:hAnsi="Arial"/>
                <w:sz w:val="16"/>
                <w:szCs w:val="16"/>
                <w:color w:val="000000"/>
              </w:rPr>
              <w:t>)</w:t>
            </w:r>
          </w:p>
        </w:tc>
        <w:tc>
          <w:tcPr>
            <w:tcW w:w="1400" w:type="dxa"/>
            <w:vAlign w:val="bottom"/>
          </w:tcPr>
          <w:p>
            <w:pPr>
              <w:jc w:val="center"/>
              <w:ind w:left="1000"/>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8</w:t>
              </w:r>
            </w:hyperlink>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Borders>
              <w:top w:val="single" w:sz="8" w:color="0000FF"/>
            </w:tcBorders>
            <w:gridSpan w:val="18"/>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Condensed Consolidated Statements of Cash Flows</w:t>
              </w:r>
            </w:hyperlink>
          </w:p>
        </w:tc>
        <w:tc>
          <w:tcPr>
            <w:tcW w:w="1120" w:type="dxa"/>
            <w:vAlign w:val="bottom"/>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10</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vMerge w:val="restart"/>
          </w:tcPr>
          <w:p>
            <w:pPr>
              <w:jc w:val="center"/>
              <w:ind w:left="1000"/>
              <w:spacing w:after="0"/>
              <w:rPr>
                <w:rFonts w:ascii="Arial" w:cs="Arial" w:eastAsia="Arial" w:hAnsi="Arial"/>
                <w:sz w:val="16"/>
                <w:szCs w:val="16"/>
                <w:color w:val="auto"/>
                <w:w w:val="89"/>
              </w:rPr>
            </w:pPr>
            <w:hyperlink w:anchor="page11">
              <w:r>
                <w:rPr>
                  <w:rFonts w:ascii="Arial" w:cs="Arial" w:eastAsia="Arial" w:hAnsi="Arial"/>
                  <w:sz w:val="16"/>
                  <w:szCs w:val="16"/>
                  <w:color w:val="auto"/>
                  <w:w w:val="89"/>
                </w:rPr>
                <w:t>12</w:t>
              </w:r>
            </w:hyperlink>
          </w:p>
        </w:tc>
        <w:tc>
          <w:tcPr>
            <w:tcW w:w="0" w:type="dxa"/>
            <w:vAlign w:val="bottom"/>
          </w:tcPr>
          <w:p>
            <w:pPr>
              <w:spacing w:after="0" w:line="20" w:lineRule="exact"/>
              <w:rPr>
                <w:sz w:val="1"/>
                <w:szCs w:val="1"/>
                <w:color w:val="auto"/>
              </w:rPr>
            </w:pPr>
          </w:p>
        </w:tc>
      </w:tr>
      <w:tr>
        <w:trPr>
          <w:trHeight w:val="30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15"/>
            <w:vMerge w:val="restart"/>
          </w:tcPr>
          <w:p>
            <w:pPr>
              <w:spacing w:after="0"/>
              <w:rPr>
                <w:rFonts w:ascii="Arial" w:cs="Arial" w:eastAsia="Arial" w:hAnsi="Arial"/>
                <w:sz w:val="16"/>
                <w:szCs w:val="16"/>
                <w:color w:val="0000FF"/>
                <w:w w:val="88"/>
              </w:rPr>
            </w:pPr>
            <w:hyperlink w:anchor="page11">
              <w:r>
                <w:rPr>
                  <w:rFonts w:ascii="Arial" w:cs="Arial" w:eastAsia="Arial" w:hAnsi="Arial"/>
                  <w:sz w:val="16"/>
                  <w:szCs w:val="16"/>
                  <w:color w:val="0000FF"/>
                  <w:w w:val="88"/>
                </w:rPr>
                <w:t>Notes to Unaudited Condensed Consolidated Financial Statements</w:t>
              </w:r>
            </w:hyperlink>
          </w:p>
        </w:tc>
        <w:tc>
          <w:tcPr>
            <w:tcW w:w="4140" w:type="dxa"/>
            <w:vAlign w:val="bottom"/>
            <w:gridSpan w:val="4"/>
            <w:vMerge w:val="restart"/>
          </w:tcPr>
          <w:p>
            <w:pPr>
              <w:spacing w:after="0"/>
              <w:rPr>
                <w:sz w:val="24"/>
                <w:szCs w:val="24"/>
                <w:color w:val="auto"/>
              </w:rPr>
            </w:pPr>
          </w:p>
        </w:tc>
        <w:tc>
          <w:tcPr>
            <w:tcW w:w="1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40" w:type="dxa"/>
            <w:vAlign w:val="bottom"/>
            <w:tcBorders>
              <w:bottom w:val="single" w:sz="8" w:color="0000FF"/>
            </w:tcBorders>
            <w:gridSpan w:val="15"/>
            <w:vMerge w:val="continue"/>
          </w:tcPr>
          <w:p>
            <w:pPr>
              <w:spacing w:after="0"/>
              <w:rPr>
                <w:sz w:val="4"/>
                <w:szCs w:val="4"/>
                <w:color w:val="auto"/>
              </w:rPr>
            </w:pPr>
          </w:p>
        </w:tc>
        <w:tc>
          <w:tcPr>
            <w:tcW w:w="4140" w:type="dxa"/>
            <w:vAlign w:val="bottom"/>
            <w:gridSpan w:val="4"/>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6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Item 2.</w:t>
              </w:r>
            </w:hyperlink>
          </w:p>
        </w:tc>
        <w:tc>
          <w:tcPr>
            <w:tcW w:w="620" w:type="dxa"/>
            <w:vAlign w:val="bottom"/>
            <w:gridSpan w:val="3"/>
          </w:tcPr>
          <w:p>
            <w:pPr>
              <w:spacing w:after="0"/>
              <w:rPr>
                <w:sz w:val="16"/>
                <w:szCs w:val="16"/>
                <w:color w:val="auto"/>
              </w:rPr>
            </w:pPr>
          </w:p>
        </w:tc>
        <w:tc>
          <w:tcPr>
            <w:tcW w:w="5700" w:type="dxa"/>
            <w:vAlign w:val="bottom"/>
            <w:tcBorders>
              <w:bottom w:val="single" w:sz="8" w:color="0000FF"/>
            </w:tcBorders>
            <w:gridSpan w:val="18"/>
          </w:tcPr>
          <w:p>
            <w:pPr>
              <w:spacing w:after="0"/>
              <w:rPr>
                <w:rFonts w:ascii="Arial" w:cs="Arial" w:eastAsia="Arial" w:hAnsi="Arial"/>
                <w:sz w:val="16"/>
                <w:szCs w:val="16"/>
                <w:color w:val="0000FF"/>
                <w:w w:val="90"/>
              </w:rPr>
            </w:pPr>
            <w:hyperlink w:anchor="page29">
              <w:r>
                <w:rPr>
                  <w:rFonts w:ascii="Arial" w:cs="Arial" w:eastAsia="Arial" w:hAnsi="Arial"/>
                  <w:sz w:val="16"/>
                  <w:szCs w:val="16"/>
                  <w:color w:val="0000FF"/>
                  <w:w w:val="90"/>
                </w:rPr>
                <w:t>Management's Discussion and Analysis of Financial Condition and Results of Operations</w:t>
              </w:r>
            </w:hyperlink>
          </w:p>
        </w:tc>
        <w:tc>
          <w:tcPr>
            <w:tcW w:w="2820" w:type="dxa"/>
            <w:vAlign w:val="bottom"/>
            <w:gridSpan w:val="2"/>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30</w:t>
              </w:r>
            </w:hyperlink>
          </w:p>
        </w:tc>
        <w:tc>
          <w:tcPr>
            <w:tcW w:w="0" w:type="dxa"/>
            <w:vAlign w:val="bottom"/>
          </w:tcPr>
          <w:p>
            <w:pPr>
              <w:spacing w:after="0"/>
              <w:rPr>
                <w:sz w:val="1"/>
                <w:szCs w:val="1"/>
                <w:color w:val="auto"/>
              </w:rPr>
            </w:pPr>
          </w:p>
        </w:tc>
      </w:tr>
      <w:tr>
        <w:trPr>
          <w:trHeight w:val="195"/>
        </w:trPr>
        <w:tc>
          <w:tcPr>
            <w:tcW w:w="46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Item 3.</w:t>
              </w:r>
            </w:hyperlink>
          </w:p>
        </w:tc>
        <w:tc>
          <w:tcPr>
            <w:tcW w:w="620" w:type="dxa"/>
            <w:vAlign w:val="bottom"/>
            <w:gridSpan w:val="3"/>
          </w:tcPr>
          <w:p>
            <w:pPr>
              <w:spacing w:after="0"/>
              <w:rPr>
                <w:sz w:val="16"/>
                <w:szCs w:val="16"/>
                <w:color w:val="auto"/>
              </w:rPr>
            </w:pPr>
          </w:p>
        </w:tc>
        <w:tc>
          <w:tcPr>
            <w:tcW w:w="3860" w:type="dxa"/>
            <w:vAlign w:val="bottom"/>
            <w:tcBorders>
              <w:bottom w:val="single" w:sz="8" w:color="0000FF"/>
            </w:tcBorders>
            <w:gridSpan w:val="15"/>
          </w:tcPr>
          <w:p>
            <w:pPr>
              <w:spacing w:after="0"/>
              <w:rPr>
                <w:rFonts w:ascii="Arial" w:cs="Arial" w:eastAsia="Arial" w:hAnsi="Arial"/>
                <w:sz w:val="16"/>
                <w:szCs w:val="16"/>
                <w:color w:val="0000FF"/>
                <w:w w:val="91"/>
              </w:rPr>
            </w:pPr>
            <w:hyperlink w:anchor="page46">
              <w:r>
                <w:rPr>
                  <w:rFonts w:ascii="Arial" w:cs="Arial" w:eastAsia="Arial" w:hAnsi="Arial"/>
                  <w:sz w:val="16"/>
                  <w:szCs w:val="16"/>
                  <w:color w:val="0000FF"/>
                  <w:w w:val="91"/>
                </w:rPr>
                <w:t>Quantitative and Qualitative Disclosures About Market Risk</w:t>
              </w:r>
            </w:hyperlink>
          </w:p>
        </w:tc>
        <w:tc>
          <w:tcPr>
            <w:tcW w:w="4660" w:type="dxa"/>
            <w:vAlign w:val="bottom"/>
            <w:gridSpan w:val="5"/>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46</w:t>
              </w:r>
            </w:hyperlink>
          </w:p>
        </w:tc>
        <w:tc>
          <w:tcPr>
            <w:tcW w:w="0" w:type="dxa"/>
            <w:vAlign w:val="bottom"/>
          </w:tcPr>
          <w:p>
            <w:pPr>
              <w:spacing w:after="0"/>
              <w:rPr>
                <w:sz w:val="1"/>
                <w:szCs w:val="1"/>
                <w:color w:val="auto"/>
              </w:rPr>
            </w:pPr>
          </w:p>
        </w:tc>
      </w:tr>
      <w:tr>
        <w:trPr>
          <w:trHeight w:val="195"/>
        </w:trPr>
        <w:tc>
          <w:tcPr>
            <w:tcW w:w="1080" w:type="dxa"/>
            <w:vAlign w:val="bottom"/>
            <w:gridSpan w:val="5"/>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4.</w:t>
              </w:r>
            </w:hyperlink>
          </w:p>
        </w:tc>
        <w:tc>
          <w:tcPr>
            <w:tcW w:w="8520" w:type="dxa"/>
            <w:vAlign w:val="bottom"/>
            <w:gridSpan w:val="20"/>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Controls and Procedures</w:t>
              </w:r>
            </w:hyperlink>
          </w:p>
        </w:tc>
        <w:tc>
          <w:tcPr>
            <w:tcW w:w="1400" w:type="dxa"/>
            <w:vAlign w:val="bottom"/>
          </w:tcPr>
          <w:p>
            <w:pPr>
              <w:jc w:val="center"/>
              <w:ind w:left="1000"/>
              <w:spacing w:after="0"/>
              <w:rPr>
                <w:rFonts w:ascii="Arial" w:cs="Arial" w:eastAsia="Arial" w:hAnsi="Arial"/>
                <w:sz w:val="16"/>
                <w:szCs w:val="16"/>
                <w:color w:val="auto"/>
                <w:w w:val="89"/>
              </w:rPr>
            </w:pPr>
            <w:hyperlink w:anchor="page47">
              <w:r>
                <w:rPr>
                  <w:rFonts w:ascii="Arial" w:cs="Arial" w:eastAsia="Arial" w:hAnsi="Arial"/>
                  <w:sz w:val="16"/>
                  <w:szCs w:val="16"/>
                  <w:color w:val="auto"/>
                  <w:w w:val="89"/>
                </w:rPr>
                <w:t>47</w:t>
              </w:r>
            </w:hyperlink>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640" w:type="dxa"/>
            <w:vAlign w:val="bottom"/>
            <w:tcBorders>
              <w:bottom w:val="single" w:sz="8" w:color="0000FF"/>
            </w:tcBorders>
            <w:gridSpan w:val="8"/>
          </w:tcPr>
          <w:p>
            <w:pPr>
              <w:spacing w:after="0"/>
              <w:rPr>
                <w:rFonts w:ascii="Arial" w:cs="Arial" w:eastAsia="Arial" w:hAnsi="Arial"/>
                <w:sz w:val="16"/>
                <w:szCs w:val="16"/>
                <w:color w:val="0000FF"/>
                <w:w w:val="91"/>
              </w:rPr>
            </w:pPr>
            <w:hyperlink w:anchor="page48">
              <w:r>
                <w:rPr>
                  <w:rFonts w:ascii="Arial" w:cs="Arial" w:eastAsia="Arial" w:hAnsi="Arial"/>
                  <w:sz w:val="16"/>
                  <w:szCs w:val="16"/>
                  <w:color w:val="0000FF"/>
                  <w:w w:val="91"/>
                </w:rPr>
                <w:t>Part II. Other Information</w:t>
              </w:r>
            </w:hyperlink>
          </w:p>
        </w:tc>
        <w:tc>
          <w:tcPr>
            <w:tcW w:w="7960" w:type="dxa"/>
            <w:vAlign w:val="bottom"/>
            <w:gridSpan w:val="17"/>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Item 1.</w:t>
              </w:r>
            </w:hyperlink>
          </w:p>
        </w:tc>
        <w:tc>
          <w:tcPr>
            <w:tcW w:w="620" w:type="dxa"/>
            <w:vAlign w:val="bottom"/>
            <w:gridSpan w:val="3"/>
          </w:tcPr>
          <w:p>
            <w:pPr>
              <w:spacing w:after="0"/>
              <w:rPr>
                <w:sz w:val="16"/>
                <w:szCs w:val="16"/>
                <w:color w:val="auto"/>
              </w:rPr>
            </w:pPr>
          </w:p>
        </w:tc>
        <w:tc>
          <w:tcPr>
            <w:tcW w:w="1180" w:type="dxa"/>
            <w:vAlign w:val="bottom"/>
            <w:tcBorders>
              <w:bottom w:val="single" w:sz="8" w:color="0000FF"/>
            </w:tcBorders>
            <w:gridSpan w:val="7"/>
          </w:tcPr>
          <w:p>
            <w:pPr>
              <w:spacing w:after="0"/>
              <w:rPr>
                <w:rFonts w:ascii="Arial" w:cs="Arial" w:eastAsia="Arial" w:hAnsi="Arial"/>
                <w:sz w:val="16"/>
                <w:szCs w:val="16"/>
                <w:color w:val="0000FF"/>
                <w:w w:val="87"/>
              </w:rPr>
            </w:pPr>
            <w:hyperlink w:anchor="page49">
              <w:r>
                <w:rPr>
                  <w:rFonts w:ascii="Arial" w:cs="Arial" w:eastAsia="Arial" w:hAnsi="Arial"/>
                  <w:sz w:val="16"/>
                  <w:szCs w:val="16"/>
                  <w:color w:val="0000FF"/>
                  <w:w w:val="87"/>
                </w:rPr>
                <w:t>Legal Proceedings</w:t>
              </w:r>
            </w:hyperlink>
          </w:p>
        </w:tc>
        <w:tc>
          <w:tcPr>
            <w:tcW w:w="7340" w:type="dxa"/>
            <w:vAlign w:val="bottom"/>
            <w:gridSpan w:val="13"/>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49">
              <w:r>
                <w:rPr>
                  <w:rFonts w:ascii="Arial" w:cs="Arial" w:eastAsia="Arial" w:hAnsi="Arial"/>
                  <w:sz w:val="16"/>
                  <w:szCs w:val="16"/>
                  <w:color w:val="auto"/>
                  <w:w w:val="89"/>
                </w:rPr>
                <w:t>49</w:t>
              </w:r>
            </w:hyperlink>
          </w:p>
        </w:tc>
        <w:tc>
          <w:tcPr>
            <w:tcW w:w="0" w:type="dxa"/>
            <w:vAlign w:val="bottom"/>
          </w:tcPr>
          <w:p>
            <w:pPr>
              <w:spacing w:after="0"/>
              <w:rPr>
                <w:sz w:val="1"/>
                <w:szCs w:val="1"/>
                <w:color w:val="auto"/>
              </w:rPr>
            </w:pPr>
          </w:p>
        </w:tc>
      </w:tr>
      <w:tr>
        <w:trPr>
          <w:trHeight w:val="195"/>
        </w:trPr>
        <w:tc>
          <w:tcPr>
            <w:tcW w:w="560" w:type="dxa"/>
            <w:vAlign w:val="bottom"/>
            <w:tcBorders>
              <w:bottom w:val="single" w:sz="8" w:color="0000FF"/>
            </w:tcBorders>
            <w:gridSpan w:val="3"/>
          </w:tcPr>
          <w:p>
            <w:pPr>
              <w:spacing w:after="0"/>
              <w:rPr>
                <w:rFonts w:ascii="Arial" w:cs="Arial" w:eastAsia="Arial" w:hAnsi="Arial"/>
                <w:sz w:val="16"/>
                <w:szCs w:val="16"/>
                <w:color w:val="0000FF"/>
                <w:w w:val="90"/>
              </w:rPr>
            </w:pPr>
            <w:hyperlink w:anchor="page49">
              <w:r>
                <w:rPr>
                  <w:rFonts w:ascii="Arial" w:cs="Arial" w:eastAsia="Arial" w:hAnsi="Arial"/>
                  <w:sz w:val="16"/>
                  <w:szCs w:val="16"/>
                  <w:color w:val="0000FF"/>
                  <w:w w:val="90"/>
                </w:rPr>
                <w:t>Item 1A.</w:t>
              </w:r>
            </w:hyperlink>
          </w:p>
        </w:tc>
        <w:tc>
          <w:tcPr>
            <w:tcW w:w="520" w:type="dxa"/>
            <w:vAlign w:val="bottom"/>
            <w:gridSpan w:val="2"/>
          </w:tcPr>
          <w:p>
            <w:pPr>
              <w:spacing w:after="0"/>
              <w:rPr>
                <w:sz w:val="16"/>
                <w:szCs w:val="16"/>
                <w:color w:val="auto"/>
              </w:rPr>
            </w:pPr>
          </w:p>
        </w:tc>
        <w:tc>
          <w:tcPr>
            <w:tcW w:w="800" w:type="dxa"/>
            <w:vAlign w:val="bottom"/>
            <w:tcBorders>
              <w:bottom w:val="single" w:sz="8" w:color="0000FF"/>
            </w:tcBorders>
            <w:gridSpan w:val="5"/>
          </w:tcPr>
          <w:p>
            <w:pPr>
              <w:spacing w:after="0"/>
              <w:rPr>
                <w:rFonts w:ascii="Arial" w:cs="Arial" w:eastAsia="Arial" w:hAnsi="Arial"/>
                <w:sz w:val="16"/>
                <w:szCs w:val="16"/>
                <w:color w:val="0000FF"/>
                <w:w w:val="87"/>
              </w:rPr>
            </w:pPr>
            <w:hyperlink w:anchor="page49">
              <w:r>
                <w:rPr>
                  <w:rFonts w:ascii="Arial" w:cs="Arial" w:eastAsia="Arial" w:hAnsi="Arial"/>
                  <w:sz w:val="16"/>
                  <w:szCs w:val="16"/>
                  <w:color w:val="0000FF"/>
                  <w:w w:val="87"/>
                </w:rPr>
                <w:t>Risk Factors</w:t>
              </w:r>
            </w:hyperlink>
          </w:p>
        </w:tc>
        <w:tc>
          <w:tcPr>
            <w:tcW w:w="7720" w:type="dxa"/>
            <w:vAlign w:val="bottom"/>
            <w:gridSpan w:val="15"/>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49">
              <w:r>
                <w:rPr>
                  <w:rFonts w:ascii="Arial" w:cs="Arial" w:eastAsia="Arial" w:hAnsi="Arial"/>
                  <w:sz w:val="16"/>
                  <w:szCs w:val="16"/>
                  <w:color w:val="auto"/>
                  <w:w w:val="89"/>
                </w:rPr>
                <w:t>49</w:t>
              </w:r>
            </w:hyperlink>
          </w:p>
        </w:tc>
        <w:tc>
          <w:tcPr>
            <w:tcW w:w="0" w:type="dxa"/>
            <w:vAlign w:val="bottom"/>
          </w:tcPr>
          <w:p>
            <w:pPr>
              <w:spacing w:after="0"/>
              <w:rPr>
                <w:sz w:val="1"/>
                <w:szCs w:val="1"/>
                <w:color w:val="auto"/>
              </w:rPr>
            </w:pPr>
          </w:p>
        </w:tc>
      </w:tr>
      <w:tr>
        <w:trPr>
          <w:trHeight w:val="195"/>
        </w:trPr>
        <w:tc>
          <w:tcPr>
            <w:tcW w:w="460" w:type="dxa"/>
            <w:vAlign w:val="bottom"/>
            <w:gridSpan w:val="2"/>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Item 2.</w:t>
              </w:r>
            </w:hyperlink>
          </w:p>
        </w:tc>
        <w:tc>
          <w:tcPr>
            <w:tcW w:w="620" w:type="dxa"/>
            <w:vAlign w:val="bottom"/>
            <w:gridSpan w:val="3"/>
          </w:tcPr>
          <w:p>
            <w:pPr>
              <w:spacing w:after="0"/>
              <w:rPr>
                <w:sz w:val="16"/>
                <w:szCs w:val="16"/>
                <w:color w:val="auto"/>
              </w:rPr>
            </w:pPr>
          </w:p>
        </w:tc>
        <w:tc>
          <w:tcPr>
            <w:tcW w:w="8520" w:type="dxa"/>
            <w:vAlign w:val="bottom"/>
            <w:gridSpan w:val="20"/>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Unregistered Sales of Equity Securities and Use of Proceeds</w:t>
              </w:r>
            </w:hyperlink>
          </w:p>
        </w:tc>
        <w:tc>
          <w:tcPr>
            <w:tcW w:w="1400" w:type="dxa"/>
            <w:vAlign w:val="bottom"/>
          </w:tcPr>
          <w:p>
            <w:pPr>
              <w:jc w:val="center"/>
              <w:ind w:left="1000"/>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93</w:t>
              </w:r>
            </w:hyperlink>
          </w:p>
        </w:tc>
        <w:tc>
          <w:tcPr>
            <w:tcW w:w="0" w:type="dxa"/>
            <w:vAlign w:val="bottom"/>
          </w:tcPr>
          <w:p>
            <w:pPr>
              <w:spacing w:after="0"/>
              <w:rPr>
                <w:sz w:val="1"/>
                <w:szCs w:val="1"/>
                <w:color w:val="auto"/>
              </w:rPr>
            </w:pPr>
          </w:p>
        </w:tc>
      </w:tr>
      <w:tr>
        <w:trPr>
          <w:trHeight w:val="195"/>
        </w:trPr>
        <w:tc>
          <w:tcPr>
            <w:tcW w:w="46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Item 3.</w:t>
              </w:r>
            </w:hyperlink>
          </w:p>
        </w:tc>
        <w:tc>
          <w:tcPr>
            <w:tcW w:w="620" w:type="dxa"/>
            <w:vAlign w:val="bottom"/>
            <w:gridSpan w:val="3"/>
          </w:tcPr>
          <w:p>
            <w:pPr>
              <w:spacing w:after="0"/>
              <w:rPr>
                <w:sz w:val="16"/>
                <w:szCs w:val="16"/>
                <w:color w:val="auto"/>
              </w:rPr>
            </w:pPr>
          </w:p>
        </w:tc>
        <w:tc>
          <w:tcPr>
            <w:tcW w:w="20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Defaults Upon Senior Securities</w:t>
              </w:r>
            </w:hyperlink>
          </w:p>
        </w:tc>
        <w:tc>
          <w:tcPr>
            <w:tcW w:w="1780" w:type="dxa"/>
            <w:vAlign w:val="bottom"/>
            <w:tcBorders>
              <w:top w:val="single" w:sz="8" w:color="0000FF"/>
            </w:tcBorders>
            <w:gridSpan w:val="5"/>
          </w:tcPr>
          <w:p>
            <w:pPr>
              <w:spacing w:after="0"/>
              <w:rPr>
                <w:sz w:val="16"/>
                <w:szCs w:val="16"/>
                <w:color w:val="auto"/>
              </w:rPr>
            </w:pPr>
          </w:p>
        </w:tc>
        <w:tc>
          <w:tcPr>
            <w:tcW w:w="4680" w:type="dxa"/>
            <w:vAlign w:val="bottom"/>
            <w:gridSpan w:val="6"/>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93</w:t>
              </w:r>
            </w:hyperlink>
          </w:p>
        </w:tc>
        <w:tc>
          <w:tcPr>
            <w:tcW w:w="0" w:type="dxa"/>
            <w:vAlign w:val="bottom"/>
          </w:tcPr>
          <w:p>
            <w:pPr>
              <w:spacing w:after="0"/>
              <w:rPr>
                <w:sz w:val="1"/>
                <w:szCs w:val="1"/>
                <w:color w:val="auto"/>
              </w:rPr>
            </w:pPr>
          </w:p>
        </w:tc>
      </w:tr>
      <w:tr>
        <w:trPr>
          <w:trHeight w:val="195"/>
        </w:trPr>
        <w:tc>
          <w:tcPr>
            <w:tcW w:w="460" w:type="dxa"/>
            <w:vAlign w:val="bottom"/>
            <w:gridSpan w:val="2"/>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Item 4.</w:t>
              </w:r>
            </w:hyperlink>
          </w:p>
        </w:tc>
        <w:tc>
          <w:tcPr>
            <w:tcW w:w="620" w:type="dxa"/>
            <w:vAlign w:val="bottom"/>
            <w:gridSpan w:val="3"/>
          </w:tcPr>
          <w:p>
            <w:pPr>
              <w:spacing w:after="0"/>
              <w:rPr>
                <w:sz w:val="16"/>
                <w:szCs w:val="16"/>
                <w:color w:val="auto"/>
              </w:rPr>
            </w:pPr>
          </w:p>
        </w:tc>
        <w:tc>
          <w:tcPr>
            <w:tcW w:w="8520" w:type="dxa"/>
            <w:vAlign w:val="bottom"/>
            <w:gridSpan w:val="20"/>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Mine Safety Disclosures</w:t>
              </w:r>
            </w:hyperlink>
          </w:p>
        </w:tc>
        <w:tc>
          <w:tcPr>
            <w:tcW w:w="1400" w:type="dxa"/>
            <w:vAlign w:val="bottom"/>
          </w:tcPr>
          <w:p>
            <w:pPr>
              <w:jc w:val="center"/>
              <w:ind w:left="1000"/>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93</w:t>
              </w:r>
            </w:hyperlink>
          </w:p>
        </w:tc>
        <w:tc>
          <w:tcPr>
            <w:tcW w:w="0" w:type="dxa"/>
            <w:vAlign w:val="bottom"/>
          </w:tcPr>
          <w:p>
            <w:pPr>
              <w:spacing w:after="0"/>
              <w:rPr>
                <w:sz w:val="1"/>
                <w:szCs w:val="1"/>
                <w:color w:val="auto"/>
              </w:rPr>
            </w:pPr>
          </w:p>
        </w:tc>
      </w:tr>
      <w:tr>
        <w:trPr>
          <w:trHeight w:val="195"/>
        </w:trPr>
        <w:tc>
          <w:tcPr>
            <w:tcW w:w="460" w:type="dxa"/>
            <w:vAlign w:val="bottom"/>
            <w:tcBorders>
              <w:top w:val="single" w:sz="8" w:color="0000FF"/>
            </w:tcBorders>
            <w:gridSpan w:val="2"/>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Item 5.</w:t>
              </w:r>
            </w:hyperlink>
          </w:p>
        </w:tc>
        <w:tc>
          <w:tcPr>
            <w:tcW w:w="620" w:type="dxa"/>
            <w:vAlign w:val="bottom"/>
            <w:gridSpan w:val="3"/>
          </w:tcPr>
          <w:p>
            <w:pPr>
              <w:spacing w:after="0"/>
              <w:rPr>
                <w:sz w:val="16"/>
                <w:szCs w:val="16"/>
                <w:color w:val="auto"/>
              </w:rPr>
            </w:pPr>
          </w:p>
        </w:tc>
        <w:tc>
          <w:tcPr>
            <w:tcW w:w="1560" w:type="dxa"/>
            <w:vAlign w:val="bottom"/>
            <w:tcBorders>
              <w:top w:val="single" w:sz="8" w:color="0000FF"/>
            </w:tcBorders>
            <w:gridSpan w:val="8"/>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Other Information</w:t>
              </w:r>
            </w:hyperlink>
          </w:p>
        </w:tc>
        <w:tc>
          <w:tcPr>
            <w:tcW w:w="6960" w:type="dxa"/>
            <w:vAlign w:val="bottom"/>
            <w:gridSpan w:val="12"/>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93</w:t>
              </w:r>
            </w:hyperlink>
          </w:p>
        </w:tc>
        <w:tc>
          <w:tcPr>
            <w:tcW w:w="0" w:type="dxa"/>
            <w:vAlign w:val="bottom"/>
          </w:tcPr>
          <w:p>
            <w:pPr>
              <w:spacing w:after="0"/>
              <w:rPr>
                <w:sz w:val="1"/>
                <w:szCs w:val="1"/>
                <w:color w:val="auto"/>
              </w:rPr>
            </w:pPr>
          </w:p>
        </w:tc>
      </w:tr>
      <w:tr>
        <w:trPr>
          <w:trHeight w:val="195"/>
        </w:trPr>
        <w:tc>
          <w:tcPr>
            <w:tcW w:w="460" w:type="dxa"/>
            <w:vAlign w:val="bottom"/>
            <w:tcBorders>
              <w:top w:val="single" w:sz="8" w:color="0000FF"/>
            </w:tcBorders>
            <w:gridSpan w:val="2"/>
          </w:tcPr>
          <w:p>
            <w:pPr>
              <w:spacing w:after="0"/>
              <w:rPr>
                <w:rFonts w:ascii="Arial" w:cs="Arial" w:eastAsia="Arial" w:hAnsi="Arial"/>
                <w:sz w:val="16"/>
                <w:szCs w:val="16"/>
                <w:color w:val="0000FF"/>
                <w:w w:val="89"/>
              </w:rPr>
            </w:pPr>
            <w:hyperlink w:anchor="page93">
              <w:r>
                <w:rPr>
                  <w:rFonts w:ascii="Arial" w:cs="Arial" w:eastAsia="Arial" w:hAnsi="Arial"/>
                  <w:sz w:val="16"/>
                  <w:szCs w:val="16"/>
                  <w:color w:val="0000FF"/>
                  <w:w w:val="89"/>
                </w:rPr>
                <w:t>Item 6.</w:t>
              </w:r>
            </w:hyperlink>
          </w:p>
        </w:tc>
        <w:tc>
          <w:tcPr>
            <w:tcW w:w="620" w:type="dxa"/>
            <w:vAlign w:val="bottom"/>
            <w:gridSpan w:val="3"/>
          </w:tcPr>
          <w:p>
            <w:pPr>
              <w:spacing w:after="0"/>
              <w:rPr>
                <w:sz w:val="16"/>
                <w:szCs w:val="16"/>
                <w:color w:val="auto"/>
              </w:rPr>
            </w:pPr>
          </w:p>
        </w:tc>
        <w:tc>
          <w:tcPr>
            <w:tcW w:w="1160" w:type="dxa"/>
            <w:vAlign w:val="bottom"/>
            <w:tcBorders>
              <w:top w:val="single" w:sz="8" w:color="0000FF"/>
            </w:tcBorders>
            <w:gridSpan w:val="6"/>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Exhibits</w:t>
              </w:r>
            </w:hyperlink>
          </w:p>
        </w:tc>
        <w:tc>
          <w:tcPr>
            <w:tcW w:w="7360" w:type="dxa"/>
            <w:vAlign w:val="bottom"/>
            <w:gridSpan w:val="14"/>
          </w:tcPr>
          <w:p>
            <w:pPr>
              <w:spacing w:after="0"/>
              <w:rPr>
                <w:sz w:val="16"/>
                <w:szCs w:val="16"/>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80" w:type="dxa"/>
            <w:vAlign w:val="bottom"/>
            <w:gridSpan w:val="5"/>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Signatures</w:t>
              </w:r>
            </w:hyperlink>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jc w:val="center"/>
              <w:ind w:left="1000"/>
              <w:spacing w:after="0"/>
              <w:rPr>
                <w:rFonts w:ascii="Arial" w:cs="Arial" w:eastAsia="Arial" w:hAnsi="Arial"/>
                <w:sz w:val="16"/>
                <w:szCs w:val="16"/>
                <w:color w:val="auto"/>
                <w:w w:val="89"/>
              </w:rPr>
            </w:pPr>
            <w:hyperlink w:anchor="page96">
              <w:r>
                <w:rPr>
                  <w:rFonts w:ascii="Arial" w:cs="Arial" w:eastAsia="Arial" w:hAnsi="Arial"/>
                  <w:sz w:val="16"/>
                  <w:szCs w:val="16"/>
                  <w:color w:val="auto"/>
                  <w:w w:val="89"/>
                </w:rPr>
                <w:t>97</w:t>
              </w:r>
            </w:hyperlink>
          </w:p>
        </w:tc>
        <w:tc>
          <w:tcPr>
            <w:tcW w:w="0" w:type="dxa"/>
            <w:vAlign w:val="bottom"/>
          </w:tcPr>
          <w:p>
            <w:pPr>
              <w:spacing w:after="0"/>
              <w:rPr>
                <w:sz w:val="1"/>
                <w:szCs w:val="1"/>
                <w:color w:val="auto"/>
              </w:rPr>
            </w:pPr>
          </w:p>
        </w:tc>
      </w:tr>
      <w:tr>
        <w:trPr>
          <w:trHeight w:val="673"/>
        </w:trPr>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040" w:type="dxa"/>
            <w:vAlign w:val="bottom"/>
            <w:gridSpan w:val="17"/>
          </w:tcPr>
          <w:p>
            <w:pPr>
              <w:ind w:left="4480"/>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40" w:top="995"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5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20" w:lineRule="exact"/>
        <w:rPr>
          <w:sz w:val="20"/>
          <w:szCs w:val="20"/>
          <w:color w:val="auto"/>
        </w:rPr>
      </w:pPr>
    </w:p>
    <w:p>
      <w:pPr>
        <w:ind w:left="1140" w:hanging="571"/>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5"/>
          <w:szCs w:val="15"/>
          <w:color w:val="auto"/>
        </w:rPr>
        <w:t>our estimates of the sufficiency of our existing capital resources combined with future anticipated cash flows to finance our operating requirements</w:t>
      </w:r>
    </w:p>
    <w:p>
      <w:pPr>
        <w:spacing w:after="0" w:line="106" w:lineRule="exact"/>
        <w:rPr>
          <w:rFonts w:ascii="Arial" w:cs="Arial" w:eastAsia="Arial" w:hAnsi="Arial"/>
          <w:sz w:val="18"/>
          <w:szCs w:val="18"/>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expected losses;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14" w:lineRule="exact"/>
        <w:rPr>
          <w:rFonts w:ascii="Arial" w:cs="Arial" w:eastAsia="Arial" w:hAnsi="Arial"/>
          <w:sz w:val="16"/>
          <w:szCs w:val="16"/>
          <w:color w:val="auto"/>
        </w:rPr>
      </w:pPr>
    </w:p>
    <w:p>
      <w:pPr>
        <w:ind w:left="1140" w:right="20" w:hanging="571"/>
        <w:spacing w:after="0" w:line="275" w:lineRule="auto"/>
        <w:tabs>
          <w:tab w:leader="none" w:pos="1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including supply chain interruptions and manufacturing constraints, arising from or related to COVID-19;</w:t>
      </w:r>
    </w:p>
    <w:p>
      <w:pPr>
        <w:spacing w:after="0" w:line="80"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generating revenue or becoming profitable on a sustained basis;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enter into service, collaboration and other partnership agreements;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build our own commercial infrastructure to scale market and sell our products;</w:t>
      </w:r>
    </w:p>
    <w:p>
      <w:pPr>
        <w:spacing w:after="0" w:line="126"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or authorizations by the U.S. Food and Drug Administration or other regulatory authorities;</w:t>
      </w:r>
    </w:p>
    <w:p>
      <w:pPr>
        <w:spacing w:after="0" w:line="114" w:lineRule="exact"/>
        <w:rPr>
          <w:rFonts w:ascii="Arial" w:cs="Arial" w:eastAsia="Arial" w:hAnsi="Arial"/>
          <w:sz w:val="16"/>
          <w:szCs w:val="16"/>
          <w:color w:val="auto"/>
        </w:rPr>
      </w:pPr>
    </w:p>
    <w:p>
      <w:pPr>
        <w:ind w:left="1140" w:right="20" w:hanging="571"/>
        <w:spacing w:after="0" w:line="275" w:lineRule="auto"/>
        <w:tabs>
          <w:tab w:leader="none" w:pos="1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governmental regulation and other legal obligations, including privacy, data protection, information security, consumer protection, and anti-corruption and anti-bribery;</w:t>
      </w:r>
    </w:p>
    <w:p>
      <w:pPr>
        <w:spacing w:after="0" w:line="68"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 candidates;</w:t>
      </w:r>
    </w:p>
    <w:p>
      <w:pPr>
        <w:spacing w:after="0" w:line="126"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against existing and emerging technologies;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26"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third-party payor reimbursement and coverage decisions;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third-party laboratories and service providers for our test volume in connection with our diagnostic solutions and data programs;</w:t>
      </w:r>
    </w:p>
    <w:p>
      <w:pPr>
        <w:spacing w:after="0" w:line="11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spacing w:after="0" w:line="174" w:lineRule="exact"/>
        <w:rPr>
          <w:rFonts w:ascii="Arial" w:cs="Arial" w:eastAsia="Arial" w:hAnsi="Arial"/>
          <w:sz w:val="16"/>
          <w:szCs w:val="16"/>
          <w:color w:val="auto"/>
        </w:rPr>
      </w:pPr>
    </w:p>
    <w:p>
      <w:pPr>
        <w:ind w:left="1140" w:hanging="571"/>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implement our business strategy.</w:t>
      </w:r>
    </w:p>
    <w:p>
      <w:pPr>
        <w:spacing w:after="0" w:line="163" w:lineRule="exact"/>
        <w:rPr>
          <w:sz w:val="20"/>
          <w:szCs w:val="20"/>
          <w:color w:val="auto"/>
        </w:rPr>
      </w:pPr>
    </w:p>
    <w:p>
      <w:pPr>
        <w:ind w:right="20" w:firstLine="287"/>
        <w:spacing w:after="0" w:line="275"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16" w:lineRule="exact"/>
        <w:rPr>
          <w:sz w:val="20"/>
          <w:szCs w:val="20"/>
          <w:color w:val="auto"/>
        </w:rPr>
      </w:pPr>
    </w:p>
    <w:p>
      <w:pPr>
        <w:ind w:firstLine="287"/>
        <w:spacing w:after="0" w:line="275"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366" w:right="31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Unaudited Condensed Consolidated Financial Statements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 2021</w:t>
            </w:r>
          </w:p>
        </w:tc>
        <w:tc>
          <w:tcPr>
            <w:tcW w:w="160" w:type="dxa"/>
            <w:vAlign w:val="bottom"/>
          </w:tcPr>
          <w:p>
            <w:pPr>
              <w:spacing w:after="0"/>
              <w:rPr>
                <w:sz w:val="13"/>
                <w:szCs w:val="13"/>
                <w:color w:val="auto"/>
              </w:rPr>
            </w:pPr>
          </w:p>
        </w:tc>
        <w:tc>
          <w:tcPr>
            <w:tcW w:w="132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auto"/>
                <w:w w:val="90"/>
              </w:rPr>
              <w:t>December 31, 2020</w:t>
            </w:r>
          </w:p>
        </w:tc>
        <w:tc>
          <w:tcPr>
            <w:tcW w:w="0" w:type="dxa"/>
            <w:vAlign w:val="bottom"/>
          </w:tcPr>
          <w:p>
            <w:pPr>
              <w:spacing w:after="0"/>
              <w:rPr>
                <w:sz w:val="1"/>
                <w:szCs w:val="1"/>
                <w:color w:val="auto"/>
              </w:rPr>
            </w:pPr>
          </w:p>
        </w:tc>
      </w:tr>
      <w:tr>
        <w:trPr>
          <w:trHeight w:val="166"/>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108,132</w:t>
            </w:r>
          </w:p>
        </w:tc>
        <w:tc>
          <w:tcPr>
            <w:tcW w:w="0" w:type="dxa"/>
            <w:vAlign w:val="bottom"/>
          </w:tcPr>
          <w:p>
            <w:pPr>
              <w:spacing w:after="0"/>
              <w:rPr>
                <w:sz w:val="1"/>
                <w:szCs w:val="1"/>
                <w:color w:val="auto"/>
              </w:rPr>
            </w:pP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32,044</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Due from related parties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24,962</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4,557</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4,124</w:t>
            </w: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174,108</w:t>
            </w: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60,333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63,110</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10,828</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3,596</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251,642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38,591</w:t>
            </w:r>
          </w:p>
        </w:tc>
        <w:tc>
          <w:tcPr>
            <w:tcW w:w="0" w:type="dxa"/>
            <w:vAlign w:val="bottom"/>
          </w:tcPr>
          <w:p>
            <w:pPr>
              <w:spacing w:after="0"/>
              <w:rPr>
                <w:sz w:val="1"/>
                <w:szCs w:val="1"/>
                <w:color w:val="auto"/>
              </w:rPr>
            </w:pP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Due to related parties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contract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31,643</w:t>
            </w: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73,442</w:t>
            </w: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18,971</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liabilities</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131,989</w:t>
            </w:r>
          </w:p>
        </w:tc>
        <w:tc>
          <w:tcPr>
            <w:tcW w:w="0" w:type="dxa"/>
            <w:vAlign w:val="bottom"/>
          </w:tcPr>
          <w:p>
            <w:pPr>
              <w:spacing w:after="0"/>
              <w:rPr>
                <w:sz w:val="1"/>
                <w:szCs w:val="1"/>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22,852</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Earn-out contingent liability</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247,254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160"/>
              <w:spacing w:after="0" w:line="155" w:lineRule="exact"/>
              <w:rPr>
                <w:sz w:val="20"/>
                <w:szCs w:val="20"/>
                <w:color w:val="auto"/>
              </w:rPr>
            </w:pPr>
            <w:r>
              <w:rPr>
                <w:rFonts w:ascii="Arial" w:cs="Arial" w:eastAsia="Arial" w:hAnsi="Arial"/>
                <w:sz w:val="16"/>
                <w:szCs w:val="16"/>
                <w:color w:val="auto"/>
                <w:w w:val="93"/>
              </w:rPr>
              <w:t>Series A-1 redeemable convertible preferred stock, $0.00001 par value: 0 and 55,399,943 shares authorized, issued and</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300"/>
              <w:spacing w:after="0" w:line="155" w:lineRule="exact"/>
              <w:rPr>
                <w:sz w:val="20"/>
                <w:szCs w:val="20"/>
                <w:color w:val="auto"/>
              </w:rPr>
            </w:pPr>
            <w:r>
              <w:rPr>
                <w:rFonts w:ascii="Arial" w:cs="Arial" w:eastAsia="Arial" w:hAnsi="Arial"/>
                <w:sz w:val="16"/>
                <w:szCs w:val="16"/>
                <w:color w:val="auto"/>
                <w:w w:val="95"/>
              </w:rPr>
              <w:t>outstanding at September 30, 2021 and December 31, 2020, respectively; aggregate liquidation preference of $0 and</w:t>
            </w:r>
          </w:p>
        </w:tc>
        <w:tc>
          <w:tcPr>
            <w:tcW w:w="16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51,811</w:t>
            </w:r>
          </w:p>
        </w:tc>
        <w:tc>
          <w:tcPr>
            <w:tcW w:w="0" w:type="dxa"/>
            <w:vAlign w:val="bottom"/>
          </w:tcPr>
          <w:p>
            <w:pPr>
              <w:spacing w:after="0"/>
              <w:rPr>
                <w:sz w:val="1"/>
                <w:szCs w:val="1"/>
                <w:color w:val="auto"/>
              </w:rPr>
            </w:pP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$55,000 at September 30, 2021 and December 31, 2020, respectively</w:t>
            </w:r>
          </w:p>
        </w:tc>
        <w:tc>
          <w:tcPr>
            <w:tcW w:w="1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89"/>
              </w:rPr>
              <w:t>Series A-2 redeemable convertible preferred stock, $0.00001 par value: 0 and 64,718,940 shares authorized at September 30,</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0"/>
              </w:rPr>
              <w:t>2021 and December 31, 2020, respectively; 0 and 49,700,364 shares authorized, issued and outstanding at September 30,</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0"/>
              </w:rPr>
              <w:t>2021 and December 31, 2020, respectively; aggregate liquidation preference of $0 and $49,342 at September 30, 2021 and</w:t>
            </w:r>
          </w:p>
        </w:tc>
        <w:tc>
          <w:tcPr>
            <w:tcW w:w="16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46,480</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5"/>
        </w:trPr>
        <w:tc>
          <w:tcPr>
            <w:tcW w:w="8200" w:type="dxa"/>
            <w:vAlign w:val="bottom"/>
          </w:tcPr>
          <w:p>
            <w:pPr>
              <w:ind w:left="558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 w:right="31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ind w:left="160"/>
              <w:spacing w:after="0"/>
              <w:rPr>
                <w:sz w:val="20"/>
                <w:szCs w:val="20"/>
                <w:color w:val="auto"/>
              </w:rPr>
            </w:pPr>
            <w:r>
              <w:rPr>
                <w:rFonts w:ascii="Arial" w:cs="Arial" w:eastAsia="Arial" w:hAnsi="Arial"/>
                <w:sz w:val="16"/>
                <w:szCs w:val="16"/>
                <w:color w:val="auto"/>
                <w:w w:val="95"/>
              </w:rPr>
              <w:t>Series B redeemable convertible preferred stock, $0.00001 par value: 0 and 41,937,960 shares authorized, issued and</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300"/>
              <w:spacing w:after="0" w:line="155" w:lineRule="exact"/>
              <w:rPr>
                <w:sz w:val="20"/>
                <w:szCs w:val="20"/>
                <w:color w:val="auto"/>
              </w:rPr>
            </w:pPr>
            <w:r>
              <w:rPr>
                <w:rFonts w:ascii="Arial" w:cs="Arial" w:eastAsia="Arial" w:hAnsi="Arial"/>
                <w:sz w:val="16"/>
                <w:szCs w:val="16"/>
                <w:color w:val="auto"/>
                <w:w w:val="95"/>
              </w:rPr>
              <w:t>outstanding at September 30, 2021 and December 31, 2020, respectively; aggregate liquidation preference of $0 and</w:t>
            </w: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118,824</w:t>
            </w:r>
          </w:p>
        </w:tc>
        <w:tc>
          <w:tcPr>
            <w:tcW w:w="0" w:type="dxa"/>
            <w:vAlign w:val="bottom"/>
          </w:tcPr>
          <w:p>
            <w:pPr>
              <w:spacing w:after="0"/>
              <w:rPr>
                <w:sz w:val="1"/>
                <w:szCs w:val="1"/>
                <w:color w:val="auto"/>
              </w:rPr>
            </w:pP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$204,302 at September 30, 2021and December 31, 2020, respectively</w:t>
            </w: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0"/>
              </w:rPr>
              <w:t>Series C redeemable convertible preferred stock, $0.00001 par value: 0 and 24,497,317 shares authorized at September 30,</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1"/>
              </w:rPr>
              <w:t>2021 and December 31, 2020, respectively; 0 and 24,496,946 shares issued and outstanding at September 30, 2021 and</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6"/>
              </w:rPr>
              <w:t>December 31, 2020, respectively; aggregate liquidation preference of $0 and $121,397 at September 30, 2021 and</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117,324</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2020, respectively</w:t>
            </w: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Redeemable convertible preferred stock</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334,439</w:t>
            </w:r>
          </w:p>
        </w:tc>
        <w:tc>
          <w:tcPr>
            <w:tcW w:w="0" w:type="dxa"/>
            <w:vAlign w:val="bottom"/>
          </w:tcPr>
          <w:p>
            <w:pPr>
              <w:spacing w:after="0"/>
              <w:rPr>
                <w:sz w:val="1"/>
                <w:szCs w:val="1"/>
                <w:color w:val="auto"/>
              </w:rPr>
            </w:pPr>
          </w:p>
        </w:tc>
      </w:tr>
      <w:tr>
        <w:trPr>
          <w:trHeight w:val="18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160"/>
              <w:spacing w:after="0" w:line="155" w:lineRule="exact"/>
              <w:rPr>
                <w:sz w:val="20"/>
                <w:szCs w:val="20"/>
                <w:color w:val="auto"/>
              </w:rPr>
            </w:pPr>
            <w:r>
              <w:rPr>
                <w:rFonts w:ascii="Arial" w:cs="Arial" w:eastAsia="Arial" w:hAnsi="Arial"/>
                <w:sz w:val="16"/>
                <w:szCs w:val="16"/>
                <w:color w:val="auto"/>
                <w:w w:val="94"/>
              </w:rPr>
              <w:t>Preferred Stock, $0.0001 par value: 1,000,000 and 0 shares authorized at September 30, 2021 and December 31, 2020,</w:t>
            </w: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respectively; 0 shares issued and outstanding at September 30, 2021 and December 31, 2020, respectively</w:t>
            </w: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2"/>
              </w:rPr>
              <w:t>Class A common stock: $0.0001 par value, 380,000,000 shares authorized, 240,190,402 shares issued and outstanding at</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5"/>
              </w:rPr>
              <w:t>September 30, 2021 and $0.00001 par value: 309,584,750 shares authorized, 124 shares issued and outstanding at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2020</w:t>
            </w: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160"/>
              <w:spacing w:after="0" w:line="155" w:lineRule="exact"/>
              <w:rPr>
                <w:sz w:val="20"/>
                <w:szCs w:val="20"/>
                <w:color w:val="auto"/>
              </w:rPr>
            </w:pPr>
            <w:r>
              <w:rPr>
                <w:rFonts w:ascii="Arial" w:cs="Arial" w:eastAsia="Arial" w:hAnsi="Arial"/>
                <w:sz w:val="16"/>
                <w:szCs w:val="16"/>
                <w:color w:val="auto"/>
                <w:w w:val="93"/>
              </w:rPr>
              <w:t>Class B convertible common stock, $0.00001 par value: 0 and 18,575,085 shares authorized at September 30, 2021 and</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0" w:type="dxa"/>
            <w:vAlign w:val="bottom"/>
          </w:tcPr>
          <w:p>
            <w:pPr>
              <w:ind w:left="300"/>
              <w:spacing w:after="0" w:line="155" w:lineRule="exact"/>
              <w:rPr>
                <w:sz w:val="20"/>
                <w:szCs w:val="20"/>
                <w:color w:val="auto"/>
              </w:rPr>
            </w:pPr>
            <w:r>
              <w:rPr>
                <w:rFonts w:ascii="Arial" w:cs="Arial" w:eastAsia="Arial" w:hAnsi="Arial"/>
                <w:sz w:val="16"/>
                <w:szCs w:val="16"/>
                <w:color w:val="auto"/>
                <w:w w:val="90"/>
              </w:rPr>
              <w:t>December 31, 2020, respectively; 0 and 130,557 shares issued and outstanding at September 30, 2021 and December 31,</w:t>
            </w: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2020, respectively</w:t>
            </w: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926,253</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Accumulated deficit</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(535,014)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(330,051)</w:t>
            </w: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stockholders’ equity (deficit)</w:t>
            </w: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391,263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(330,051)</w:t>
            </w:r>
          </w:p>
        </w:tc>
        <w:tc>
          <w:tcPr>
            <w:tcW w:w="0" w:type="dxa"/>
            <w:vAlign w:val="bottom"/>
          </w:tcPr>
          <w:p>
            <w:pPr>
              <w:spacing w:after="0"/>
              <w:rPr>
                <w:sz w:val="1"/>
                <w:szCs w:val="1"/>
                <w:color w:val="auto"/>
              </w:rPr>
            </w:pPr>
          </w:p>
        </w:tc>
      </w:tr>
      <w:tr>
        <w:trPr>
          <w:trHeight w:val="195"/>
        </w:trPr>
        <w:tc>
          <w:tcPr>
            <w:tcW w:w="8200" w:type="dxa"/>
            <w:vAlign w:val="bottom"/>
          </w:tcPr>
          <w:p>
            <w:pPr>
              <w:ind w:left="16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603,357</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251,642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139" w:right="31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September 30,</w:t>
            </w:r>
          </w:p>
        </w:tc>
        <w:tc>
          <w:tcPr>
            <w:tcW w:w="2040" w:type="dxa"/>
            <w:vAlign w:val="bottom"/>
            <w:gridSpan w:val="4"/>
          </w:tcPr>
          <w:p>
            <w:pPr>
              <w:ind w:left="20"/>
              <w:spacing w:after="0"/>
              <w:rPr>
                <w:sz w:val="20"/>
                <w:szCs w:val="20"/>
                <w:color w:val="auto"/>
              </w:rPr>
            </w:pPr>
            <w:r>
              <w:rPr>
                <w:rFonts w:ascii="Arial" w:cs="Arial" w:eastAsia="Arial" w:hAnsi="Arial"/>
                <w:sz w:val="13"/>
                <w:szCs w:val="13"/>
                <w:b w:val="1"/>
                <w:bCs w:val="1"/>
                <w:color w:val="auto"/>
                <w:w w:val="93"/>
              </w:rPr>
              <w:t>Nine months ended September 30,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80" w:type="dxa"/>
            <w:vAlign w:val="bottom"/>
          </w:tcPr>
          <w:p>
            <w:pPr>
              <w:ind w:left="160"/>
              <w:spacing w:after="0" w:line="155" w:lineRule="exact"/>
              <w:rPr>
                <w:sz w:val="20"/>
                <w:szCs w:val="20"/>
                <w:color w:val="auto"/>
              </w:rPr>
            </w:pPr>
            <w:r>
              <w:rPr>
                <w:rFonts w:ascii="Arial" w:cs="Arial" w:eastAsia="Arial" w:hAnsi="Arial"/>
                <w:sz w:val="16"/>
                <w:szCs w:val="16"/>
                <w:color w:val="auto"/>
                <w:w w:val="92"/>
              </w:rPr>
              <w:t>Diagnostic test revenue (including related party revenue of $20 and $86 for</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Pr>
          <w:p>
            <w:pPr>
              <w:ind w:left="300"/>
              <w:spacing w:after="0" w:line="155" w:lineRule="exact"/>
              <w:rPr>
                <w:sz w:val="20"/>
                <w:szCs w:val="20"/>
                <w:color w:val="auto"/>
              </w:rPr>
            </w:pPr>
            <w:r>
              <w:rPr>
                <w:rFonts w:ascii="Arial" w:cs="Arial" w:eastAsia="Arial" w:hAnsi="Arial"/>
                <w:sz w:val="16"/>
                <w:szCs w:val="16"/>
                <w:color w:val="auto"/>
                <w:w w:val="92"/>
              </w:rPr>
              <w:t>the three months ended September 30, 2021 and 2020, respectively and</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Pr>
          <w:p>
            <w:pPr>
              <w:ind w:left="300"/>
              <w:spacing w:after="0" w:line="155" w:lineRule="exact"/>
              <w:rPr>
                <w:sz w:val="20"/>
                <w:szCs w:val="20"/>
                <w:color w:val="auto"/>
              </w:rPr>
            </w:pPr>
            <w:r>
              <w:rPr>
                <w:rFonts w:ascii="Arial" w:cs="Arial" w:eastAsia="Arial" w:hAnsi="Arial"/>
                <w:sz w:val="16"/>
                <w:szCs w:val="16"/>
                <w:color w:val="auto"/>
                <w:w w:val="92"/>
              </w:rPr>
              <w:t>$90 and $186 for the nine months ended September 30, 2021 and 2020,</w:t>
            </w:r>
          </w:p>
        </w:tc>
        <w:tc>
          <w:tcPr>
            <w:tcW w:w="320" w:type="dxa"/>
            <w:vAlign w:val="bottom"/>
            <w:vMerge w:val="restart"/>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41,410</w:t>
            </w:r>
          </w:p>
        </w:tc>
        <w:tc>
          <w:tcPr>
            <w:tcW w:w="80" w:type="dxa"/>
            <w:vAlign w:val="bottom"/>
          </w:tcPr>
          <w:p>
            <w:pPr>
              <w:spacing w:after="0"/>
              <w:rPr>
                <w:sz w:val="13"/>
                <w:szCs w:val="13"/>
                <w:color w:val="auto"/>
              </w:rPr>
            </w:pPr>
          </w:p>
        </w:tc>
        <w:tc>
          <w:tcPr>
            <w:tcW w:w="360" w:type="dxa"/>
            <w:vAlign w:val="bottom"/>
            <w:vMerge w:val="restart"/>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37,893</w:t>
            </w:r>
          </w:p>
        </w:tc>
        <w:tc>
          <w:tcPr>
            <w:tcW w:w="8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148,973</w:t>
            </w:r>
          </w:p>
        </w:tc>
        <w:tc>
          <w:tcPr>
            <w:tcW w:w="100" w:type="dxa"/>
            <w:vAlign w:val="bottom"/>
          </w:tcPr>
          <w:p>
            <w:pPr>
              <w:spacing w:after="0"/>
              <w:rPr>
                <w:sz w:val="13"/>
                <w:szCs w:val="13"/>
                <w:color w:val="auto"/>
              </w:rPr>
            </w:pPr>
          </w:p>
        </w:tc>
        <w:tc>
          <w:tcPr>
            <w:tcW w:w="460" w:type="dxa"/>
            <w:vAlign w:val="bottom"/>
            <w:vMerge w:val="restart"/>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113,759</w:t>
            </w:r>
          </w:p>
        </w:tc>
        <w:tc>
          <w:tcPr>
            <w:tcW w:w="0" w:type="dxa"/>
            <w:vAlign w:val="bottom"/>
          </w:tcPr>
          <w:p>
            <w:pPr>
              <w:spacing w:after="0"/>
              <w:rPr>
                <w:sz w:val="1"/>
                <w:szCs w:val="1"/>
                <w:color w:val="auto"/>
              </w:rPr>
            </w:pPr>
          </w:p>
        </w:tc>
      </w:tr>
      <w:tr>
        <w:trPr>
          <w:trHeight w:val="203"/>
        </w:trPr>
        <w:tc>
          <w:tcPr>
            <w:tcW w:w="5080" w:type="dxa"/>
            <w:vAlign w:val="bottom"/>
          </w:tcPr>
          <w:p>
            <w:pPr>
              <w:ind w:left="300"/>
              <w:spacing w:after="0"/>
              <w:rPr>
                <w:sz w:val="20"/>
                <w:szCs w:val="20"/>
                <w:color w:val="auto"/>
              </w:rPr>
            </w:pPr>
            <w:r>
              <w:rPr>
                <w:rFonts w:ascii="Arial" w:cs="Arial" w:eastAsia="Arial" w:hAnsi="Arial"/>
                <w:sz w:val="16"/>
                <w:szCs w:val="16"/>
                <w:color w:val="auto"/>
              </w:rPr>
              <w:t>respectively)</w:t>
            </w:r>
          </w:p>
        </w:tc>
        <w:tc>
          <w:tcPr>
            <w:tcW w:w="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3"/>
              </w:rPr>
              <w:t>Other revenue (including related party revenue of $65 and $0 for the three</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300"/>
              <w:spacing w:after="0" w:line="155" w:lineRule="exact"/>
              <w:rPr>
                <w:sz w:val="20"/>
                <w:szCs w:val="20"/>
                <w:color w:val="auto"/>
              </w:rPr>
            </w:pPr>
            <w:r>
              <w:rPr>
                <w:rFonts w:ascii="Arial" w:cs="Arial" w:eastAsia="Arial" w:hAnsi="Arial"/>
                <w:sz w:val="16"/>
                <w:szCs w:val="16"/>
                <w:color w:val="auto"/>
                <w:w w:val="91"/>
              </w:rPr>
              <w:t>months ended September 30, 2021 and 2020, respectively and $153 and</w:t>
            </w:r>
          </w:p>
        </w:tc>
        <w:tc>
          <w:tcPr>
            <w:tcW w:w="3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$0 for the nine months ended September 30, 2021 and 2020, respectively)</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154,394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115,365</w:t>
            </w: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Cost of services (including related party expenses of $656 and $452 for the</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0"/>
              </w:rPr>
              <w:t>three months ended September 30, 2021 and 2020, respectively and $1,942</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8"/>
              </w:rPr>
              <w:t>and $1,485 for the nine months ended, September 30, 2021 and 2020</w:t>
            </w:r>
          </w:p>
        </w:tc>
        <w:tc>
          <w:tcPr>
            <w:tcW w:w="3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58,752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36,530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180,195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111,754</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Gross (loss) profit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41,540</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33,154</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39,627</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6,239</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operations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(89,603)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(56,015)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(330,127)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(116,949)</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w w:val="96"/>
              </w:rPr>
              <w:t>Change in fair market value of warrant and earn-out contingent liabilities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122,171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120,995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125,164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(204,963)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(115,657)</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and comprehensive income (loss)</w:t>
            </w: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(56,615)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(204,963)</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(115,657)</w:t>
            </w:r>
          </w:p>
        </w:tc>
        <w:tc>
          <w:tcPr>
            <w:tcW w:w="0" w:type="dxa"/>
            <w:vAlign w:val="bottom"/>
          </w:tcPr>
          <w:p>
            <w:pPr>
              <w:spacing w:after="0"/>
              <w:rPr>
                <w:sz w:val="1"/>
                <w:szCs w:val="1"/>
                <w:color w:val="auto"/>
              </w:rPr>
            </w:pPr>
          </w:p>
        </w:tc>
      </w:tr>
      <w:tr>
        <w:trPr>
          <w:trHeight w:val="135"/>
        </w:trPr>
        <w:tc>
          <w:tcPr>
            <w:tcW w:w="5080" w:type="dxa"/>
            <w:vAlign w:val="bottom"/>
          </w:tcPr>
          <w:p>
            <w:pPr>
              <w:ind w:left="20"/>
              <w:spacing w:after="0" w:line="136" w:lineRule="exact"/>
              <w:rPr>
                <w:sz w:val="20"/>
                <w:szCs w:val="20"/>
                <w:color w:val="auto"/>
              </w:rPr>
            </w:pPr>
            <w:r>
              <w:rPr>
                <w:rFonts w:ascii="Arial" w:cs="Arial" w:eastAsia="Arial" w:hAnsi="Arial"/>
                <w:sz w:val="15"/>
                <w:szCs w:val="15"/>
                <w:color w:val="auto"/>
              </w:rPr>
              <w:t>Weighted average shares outstanding of Class A common stock for basic</w:t>
            </w:r>
          </w:p>
        </w:tc>
        <w:tc>
          <w:tcPr>
            <w:tcW w:w="3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185,680,394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63,121,738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earnings</w:t>
            </w: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Weighted average shares outstanding of Class A common stock for diluted</w:t>
            </w:r>
          </w:p>
        </w:tc>
        <w:tc>
          <w:tcPr>
            <w:tcW w:w="3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210,330,946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63,121,738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w:t>
            </w:r>
          </w:p>
        </w:tc>
        <w:tc>
          <w:tcPr>
            <w:tcW w:w="3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Basic net income (loss) per share, Class A common stock</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(456,573)</w:t>
            </w:r>
          </w:p>
        </w:tc>
        <w:tc>
          <w:tcPr>
            <w:tcW w:w="8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(932,718)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 Class A common stock</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(932,718)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139" w:right="3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Redeemable Convertible Preferred Stock and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4"/>
          </w:tcPr>
          <w:p>
            <w:pPr>
              <w:jc w:val="center"/>
              <w:ind w:right="2"/>
              <w:spacing w:after="0"/>
              <w:rPr>
                <w:sz w:val="20"/>
                <w:szCs w:val="20"/>
                <w:color w:val="auto"/>
              </w:rPr>
            </w:pPr>
            <w:r>
              <w:rPr>
                <w:rFonts w:ascii="Arial" w:cs="Arial" w:eastAsia="Arial" w:hAnsi="Arial"/>
                <w:sz w:val="13"/>
                <w:szCs w:val="13"/>
                <w:b w:val="1"/>
                <w:bCs w:val="1"/>
                <w:color w:val="auto"/>
                <w:w w:val="89"/>
              </w:rPr>
              <w:t>Redeemable Convertible Preferred</w:t>
            </w:r>
          </w:p>
        </w:tc>
        <w:tc>
          <w:tcPr>
            <w:tcW w:w="80" w:type="dxa"/>
            <w:vAlign w:val="bottom"/>
            <w:tcBorders>
              <w:left w:val="single" w:sz="8" w:color="auto"/>
            </w:tcBorders>
          </w:tcPr>
          <w:p>
            <w:pPr>
              <w:spacing w:after="0"/>
              <w:rPr>
                <w:sz w:val="13"/>
                <w:szCs w:val="13"/>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Class A Common Stock</w:t>
            </w:r>
          </w:p>
        </w:tc>
        <w:tc>
          <w:tcPr>
            <w:tcW w:w="192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Class B Common 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90"/>
              </w:rPr>
              <w:t>Stock</w:t>
            </w:r>
          </w:p>
        </w:tc>
        <w:tc>
          <w:tcPr>
            <w:tcW w:w="8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8"/>
                <w:szCs w:val="8"/>
                <w:color w:val="auto"/>
              </w:rPr>
            </w:pPr>
          </w:p>
        </w:tc>
        <w:tc>
          <w:tcPr>
            <w:tcW w:w="740" w:type="dxa"/>
            <w:vAlign w:val="bottom"/>
          </w:tcPr>
          <w:p>
            <w:pPr>
              <w:jc w:val="center"/>
              <w:ind w:right="103"/>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0"/>
                <w:szCs w:val="10"/>
                <w:color w:val="auto"/>
              </w:rPr>
            </w:pPr>
          </w:p>
        </w:tc>
        <w:tc>
          <w:tcPr>
            <w:tcW w:w="82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left w:val="single" w:sz="8" w:color="auto"/>
            </w:tcBorders>
          </w:tcPr>
          <w:p>
            <w:pPr>
              <w:spacing w:after="0"/>
              <w:rPr>
                <w:sz w:val="10"/>
                <w:szCs w:val="10"/>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9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paid-in capital</w:t>
            </w:r>
          </w:p>
        </w:tc>
        <w:tc>
          <w:tcPr>
            <w:tcW w:w="1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deficit</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171,535,213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334,439</w:t>
            </w: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1,383,736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(566,406)</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(564,923)</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31,392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b w:val="1"/>
                <w:bCs w:val="1"/>
                <w:color w:val="auto"/>
              </w:rPr>
              <w:t>31,392</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Conversion of Preferred Stock</w:t>
            </w:r>
          </w:p>
        </w:tc>
        <w:tc>
          <w:tcPr>
            <w:tcW w:w="10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2"/>
              </w:rPr>
              <w:t>(171,535,213)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(334,439)</w:t>
            </w: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148,543,062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104,532</w:t>
            </w:r>
          </w:p>
        </w:tc>
        <w:tc>
          <w:tcPr>
            <w:tcW w:w="0" w:type="dxa"/>
            <w:vAlign w:val="bottom"/>
          </w:tcPr>
          <w:p>
            <w:pPr>
              <w:spacing w:after="0"/>
              <w:rPr>
                <w:sz w:val="1"/>
                <w:szCs w:val="1"/>
                <w:color w:val="auto"/>
              </w:rPr>
            </w:pPr>
          </w:p>
        </w:tc>
      </w:tr>
      <w:tr>
        <w:trPr>
          <w:trHeight w:val="155"/>
        </w:trPr>
        <w:tc>
          <w:tcPr>
            <w:tcW w:w="2420" w:type="dxa"/>
            <w:vAlign w:val="bottom"/>
            <w:gridSpan w:val="2"/>
          </w:tcPr>
          <w:p>
            <w:pPr>
              <w:ind w:left="160"/>
              <w:spacing w:after="0" w:line="155" w:lineRule="exact"/>
              <w:rPr>
                <w:sz w:val="20"/>
                <w:szCs w:val="20"/>
                <w:color w:val="auto"/>
              </w:rPr>
            </w:pPr>
            <w:r>
              <w:rPr>
                <w:rFonts w:ascii="Arial" w:cs="Arial" w:eastAsia="Arial" w:hAnsi="Arial"/>
                <w:sz w:val="16"/>
                <w:szCs w:val="16"/>
                <w:color w:val="auto"/>
                <w:w w:val="98"/>
              </w:rPr>
              <w:t>Conversion of Class B Common</w:t>
            </w:r>
          </w:p>
        </w:tc>
        <w:tc>
          <w:tcPr>
            <w:tcW w:w="106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1,309,320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(1,383,736)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(744)</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Stock</w:t>
            </w: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6"/>
                <w:szCs w:val="16"/>
                <w:color w:val="auto"/>
              </w:rPr>
              <w:t>Net equity infusion from the</w:t>
            </w: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90,333,562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510,742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510,751</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Business Combination</w:t>
            </w: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160"/>
              <w:spacing w:after="0" w:line="155" w:lineRule="exact"/>
              <w:rPr>
                <w:sz w:val="20"/>
                <w:szCs w:val="20"/>
                <w:color w:val="auto"/>
              </w:rPr>
            </w:pPr>
            <w:r>
              <w:rPr>
                <w:rFonts w:ascii="Arial" w:cs="Arial" w:eastAsia="Arial" w:hAnsi="Arial"/>
                <w:sz w:val="16"/>
                <w:szCs w:val="16"/>
                <w:color w:val="auto"/>
              </w:rPr>
              <w:t>Stock based compensation</w:t>
            </w:r>
          </w:p>
        </w:tc>
        <w:tc>
          <w:tcPr>
            <w:tcW w:w="106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304,837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304,837</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modification reclassification</w:t>
            </w: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6"/>
                <w:szCs w:val="16"/>
                <w:color w:val="auto"/>
              </w:rPr>
              <w:t>Stock based compensation</w:t>
            </w:r>
          </w:p>
        </w:tc>
        <w:tc>
          <w:tcPr>
            <w:tcW w:w="100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6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vMerge w:val="restart"/>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5,418</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w w:val="96"/>
              </w:rPr>
              <w:t>Balances at September 30, 2021</w:t>
            </w: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 w:type="dxa"/>
            <w:vAlign w:val="bottom"/>
            <w:tcBorders>
              <w:left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240,190,402</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926,253</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(535,014)</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391,263</w:t>
            </w:r>
          </w:p>
        </w:tc>
        <w:tc>
          <w:tcPr>
            <w:tcW w:w="0" w:type="dxa"/>
            <w:vAlign w:val="bottom"/>
          </w:tcPr>
          <w:p>
            <w:pPr>
              <w:spacing w:after="0"/>
              <w:rPr>
                <w:sz w:val="1"/>
                <w:szCs w:val="1"/>
                <w:color w:val="auto"/>
              </w:rPr>
            </w:pPr>
          </w:p>
        </w:tc>
      </w:tr>
      <w:tr>
        <w:trPr>
          <w:trHeight w:val="424"/>
        </w:trPr>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Redeemable Convertible Preferred</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8"/>
          </w:tcPr>
          <w:p>
            <w:pPr>
              <w:ind w:left="60"/>
              <w:spacing w:after="0"/>
              <w:rPr>
                <w:sz w:val="20"/>
                <w:szCs w:val="20"/>
                <w:color w:val="auto"/>
              </w:rPr>
            </w:pPr>
            <w:r>
              <w:rPr>
                <w:rFonts w:ascii="Arial" w:cs="Arial" w:eastAsia="Arial" w:hAnsi="Arial"/>
                <w:sz w:val="14"/>
                <w:szCs w:val="14"/>
                <w:b w:val="1"/>
                <w:bCs w:val="1"/>
                <w:color w:val="auto"/>
              </w:rPr>
              <w:t>Nine months ended September 30, 2021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Class A Common Stock</w:t>
            </w:r>
          </w:p>
        </w:tc>
        <w:tc>
          <w:tcPr>
            <w:tcW w:w="192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Class B Common Stock</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center"/>
              <w:ind w:left="685"/>
              <w:spacing w:after="0"/>
              <w:rPr>
                <w:sz w:val="20"/>
                <w:szCs w:val="20"/>
                <w:color w:val="auto"/>
              </w:rPr>
            </w:pPr>
            <w:r>
              <w:rPr>
                <w:rFonts w:ascii="Arial" w:cs="Arial" w:eastAsia="Arial" w:hAnsi="Arial"/>
                <w:sz w:val="13"/>
                <w:szCs w:val="13"/>
                <w:b w:val="1"/>
                <w:bCs w:val="1"/>
                <w:color w:val="auto"/>
                <w:w w:val="90"/>
              </w:rPr>
              <w:t>Stock</w:t>
            </w:r>
          </w:p>
        </w:tc>
        <w:tc>
          <w:tcPr>
            <w:tcW w:w="8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8"/>
                <w:szCs w:val="8"/>
                <w:color w:val="auto"/>
              </w:rPr>
            </w:pPr>
          </w:p>
        </w:tc>
        <w:tc>
          <w:tcPr>
            <w:tcW w:w="740" w:type="dxa"/>
            <w:vAlign w:val="bottom"/>
          </w:tcPr>
          <w:p>
            <w:pPr>
              <w:jc w:val="center"/>
              <w:ind w:right="103"/>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0"/>
                <w:szCs w:val="10"/>
                <w:color w:val="auto"/>
              </w:rPr>
            </w:pPr>
          </w:p>
        </w:tc>
        <w:tc>
          <w:tcPr>
            <w:tcW w:w="82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left w:val="single" w:sz="8" w:color="auto"/>
            </w:tcBorders>
          </w:tcPr>
          <w:p>
            <w:pPr>
              <w:spacing w:after="0"/>
              <w:rPr>
                <w:sz w:val="10"/>
                <w:szCs w:val="10"/>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9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paid-in capital</w:t>
            </w:r>
          </w:p>
        </w:tc>
        <w:tc>
          <w:tcPr>
            <w:tcW w:w="1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deficit</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171,535,213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334,439</w:t>
            </w: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(330,051)</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(330,051)</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(204,963)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9"/>
              </w:rPr>
              <w:t>(204,963)</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1,253,179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1,483</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Conversion of Preferred Stock</w:t>
            </w:r>
          </w:p>
        </w:tc>
        <w:tc>
          <w:tcPr>
            <w:tcW w:w="1000" w:type="dxa"/>
            <w:vAlign w:val="bottom"/>
          </w:tcPr>
          <w:p>
            <w:pPr>
              <w:ind w:left="60"/>
              <w:spacing w:after="0"/>
              <w:rPr>
                <w:sz w:val="20"/>
                <w:szCs w:val="20"/>
                <w:color w:val="auto"/>
              </w:rPr>
            </w:pPr>
            <w:r>
              <w:rPr>
                <w:rFonts w:ascii="Arial" w:cs="Arial" w:eastAsia="Arial" w:hAnsi="Arial"/>
                <w:sz w:val="16"/>
                <w:szCs w:val="16"/>
                <w:color w:val="auto"/>
                <w:w w:val="92"/>
              </w:rPr>
              <w:t>(171,535,213)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(334,439)</w:t>
            </w:r>
          </w:p>
        </w:tc>
        <w:tc>
          <w:tcPr>
            <w:tcW w:w="80" w:type="dxa"/>
            <w:vAlign w:val="bottom"/>
            <w:tcBorders>
              <w:left w:val="single" w:sz="8" w:color="auto"/>
            </w:tcBorders>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148,543,062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b w:val="1"/>
                <w:bCs w:val="1"/>
                <w:color w:val="auto"/>
              </w:rPr>
              <w:t>104,532</w:t>
            </w: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6"/>
                <w:szCs w:val="16"/>
                <w:color w:val="auto"/>
                <w:w w:val="98"/>
              </w:rPr>
              <w:t>Conversion of Class B Common</w:t>
            </w: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1,309,320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(1,383,736)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(744)</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160"/>
              <w:spacing w:after="0" w:line="155" w:lineRule="exact"/>
              <w:rPr>
                <w:sz w:val="20"/>
                <w:szCs w:val="20"/>
                <w:color w:val="auto"/>
              </w:rPr>
            </w:pPr>
            <w:r>
              <w:rPr>
                <w:rFonts w:ascii="Arial" w:cs="Arial" w:eastAsia="Arial" w:hAnsi="Arial"/>
                <w:sz w:val="16"/>
                <w:szCs w:val="16"/>
                <w:color w:val="auto"/>
              </w:rPr>
              <w:t>Net equity infusion from the</w:t>
            </w:r>
          </w:p>
        </w:tc>
        <w:tc>
          <w:tcPr>
            <w:tcW w:w="106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90,333,562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510,742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510,751</w:t>
            </w: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rPr>
              <w:t>Business Combination</w:t>
            </w: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6"/>
                <w:szCs w:val="16"/>
                <w:color w:val="auto"/>
              </w:rPr>
              <w:t>Stock based compensation</w:t>
            </w: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304,837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304,837</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modification reclassification</w:t>
            </w: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ind w:left="160"/>
              <w:spacing w:after="0"/>
              <w:rPr>
                <w:sz w:val="20"/>
                <w:szCs w:val="20"/>
                <w:color w:val="auto"/>
              </w:rPr>
            </w:pPr>
            <w:r>
              <w:rPr>
                <w:rFonts w:ascii="Arial" w:cs="Arial" w:eastAsia="Arial" w:hAnsi="Arial"/>
                <w:sz w:val="16"/>
                <w:szCs w:val="16"/>
                <w:color w:val="auto"/>
                <w:w w:val="87"/>
              </w:rPr>
              <w:t>Stock based compensation expense</w:t>
            </w:r>
          </w:p>
        </w:tc>
        <w:tc>
          <w:tcPr>
            <w:tcW w:w="10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auto"/>
            </w:tcBorders>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b w:val="1"/>
                <w:bCs w:val="1"/>
                <w:color w:val="auto"/>
              </w:rPr>
              <w:t>5,418</w:t>
            </w: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Balances at September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left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240,190,402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926,253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(535,014)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391,263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8</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 w:right="31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Condensed Consolidated Statement of Redeemable Convertible Preferred Stock and Stockholders' Equity (Deficit)</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 except share amounts)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540" w:type="dxa"/>
            <w:vAlign w:val="bottom"/>
            <w:tcBorders>
              <w:right w:val="single" w:sz="8" w:color="auto"/>
            </w:tcBorders>
            <w:gridSpan w:val="7"/>
          </w:tcPr>
          <w:p>
            <w:pPr>
              <w:jc w:val="right"/>
              <w:ind w:right="147"/>
              <w:spacing w:after="0"/>
              <w:rPr>
                <w:sz w:val="20"/>
                <w:szCs w:val="20"/>
                <w:color w:val="auto"/>
              </w:rPr>
            </w:pPr>
            <w:r>
              <w:rPr>
                <w:rFonts w:ascii="Arial" w:cs="Arial" w:eastAsia="Arial" w:hAnsi="Arial"/>
                <w:sz w:val="13"/>
                <w:szCs w:val="13"/>
                <w:b w:val="1"/>
                <w:bCs w:val="1"/>
                <w:color w:val="auto"/>
              </w:rPr>
              <w:t>Redeemable Convertible Preferred</w:t>
            </w:r>
          </w:p>
        </w:tc>
        <w:tc>
          <w:tcPr>
            <w:tcW w:w="60" w:type="dxa"/>
            <w:vAlign w:val="bottom"/>
          </w:tcPr>
          <w:p>
            <w:pPr>
              <w:spacing w:after="0"/>
              <w:rPr>
                <w:sz w:val="13"/>
                <w:szCs w:val="13"/>
                <w:color w:val="auto"/>
              </w:rPr>
            </w:pPr>
          </w:p>
        </w:tc>
        <w:tc>
          <w:tcPr>
            <w:tcW w:w="1700" w:type="dxa"/>
            <w:vAlign w:val="bottom"/>
            <w:gridSpan w:val="9"/>
            <w:vMerge w:val="restart"/>
          </w:tcPr>
          <w:p>
            <w:pPr>
              <w:jc w:val="right"/>
              <w:spacing w:after="0"/>
              <w:rPr>
                <w:sz w:val="20"/>
                <w:szCs w:val="20"/>
                <w:color w:val="auto"/>
              </w:rPr>
            </w:pPr>
            <w:r>
              <w:rPr>
                <w:rFonts w:ascii="Arial" w:cs="Arial" w:eastAsia="Arial" w:hAnsi="Arial"/>
                <w:sz w:val="13"/>
                <w:szCs w:val="13"/>
                <w:b w:val="1"/>
                <w:bCs w:val="1"/>
                <w:color w:val="auto"/>
              </w:rPr>
              <w:t>Class A Common Stock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6"/>
            <w:vMerge w:val="restart"/>
          </w:tcPr>
          <w:p>
            <w:pPr>
              <w:jc w:val="right"/>
              <w:ind w:right="60"/>
              <w:spacing w:after="0"/>
              <w:rPr>
                <w:sz w:val="20"/>
                <w:szCs w:val="20"/>
                <w:color w:val="auto"/>
              </w:rPr>
            </w:pPr>
            <w:r>
              <w:rPr>
                <w:rFonts w:ascii="Arial" w:cs="Arial" w:eastAsia="Arial" w:hAnsi="Arial"/>
                <w:sz w:val="13"/>
                <w:szCs w:val="13"/>
                <w:b w:val="1"/>
                <w:bCs w:val="1"/>
                <w:color w:val="auto"/>
              </w:rPr>
              <w:t>Class B 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Borders>
              <w:bottom w:val="single" w:sz="8" w:color="auto"/>
            </w:tcBorders>
            <w:gridSpan w:val="9"/>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4"/>
            <w:vMerge w:val="restart"/>
          </w:tcPr>
          <w:p>
            <w:pPr>
              <w:ind w:left="440"/>
              <w:spacing w:after="0"/>
              <w:rPr>
                <w:sz w:val="20"/>
                <w:szCs w:val="20"/>
                <w:color w:val="auto"/>
              </w:rPr>
            </w:pPr>
            <w:r>
              <w:rPr>
                <w:rFonts w:ascii="Arial" w:cs="Arial" w:eastAsia="Arial" w:hAnsi="Arial"/>
                <w:sz w:val="13"/>
                <w:szCs w:val="13"/>
                <w:b w:val="1"/>
                <w:bCs w:val="1"/>
                <w:color w:val="auto"/>
              </w:rPr>
              <w:t>Additional</w:t>
            </w:r>
          </w:p>
        </w:tc>
        <w:tc>
          <w:tcPr>
            <w:tcW w:w="440" w:type="dxa"/>
            <w:vAlign w:val="bottom"/>
          </w:tcPr>
          <w:p>
            <w:pPr>
              <w:spacing w:after="0"/>
              <w:rPr>
                <w:sz w:val="8"/>
                <w:szCs w:val="8"/>
                <w:color w:val="auto"/>
              </w:rPr>
            </w:pPr>
          </w:p>
        </w:tc>
        <w:tc>
          <w:tcPr>
            <w:tcW w:w="1020" w:type="dxa"/>
            <w:vAlign w:val="bottom"/>
            <w:gridSpan w:val="5"/>
            <w:vMerge w:val="restart"/>
          </w:tcPr>
          <w:p>
            <w:pPr>
              <w:jc w:val="right"/>
              <w:ind w:right="300"/>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vMerge w:val="restart"/>
          </w:tcPr>
          <w:p>
            <w:pPr>
              <w:jc w:val="right"/>
              <w:ind w:right="167"/>
              <w:spacing w:after="0"/>
              <w:rPr>
                <w:sz w:val="20"/>
                <w:szCs w:val="20"/>
                <w:color w:val="auto"/>
              </w:rPr>
            </w:pPr>
            <w:r>
              <w:rPr>
                <w:rFonts w:ascii="Arial" w:cs="Arial" w:eastAsia="Arial" w:hAnsi="Arial"/>
                <w:sz w:val="13"/>
                <w:szCs w:val="13"/>
                <w:b w:val="1"/>
                <w:bCs w:val="1"/>
                <w:color w:val="auto"/>
              </w:rPr>
              <w:t>Shares</w:t>
            </w:r>
          </w:p>
        </w:tc>
        <w:tc>
          <w:tcPr>
            <w:tcW w:w="80" w:type="dxa"/>
            <w:vAlign w:val="bottom"/>
            <w:gridSpan w:val="2"/>
            <w:vMerge w:val="restart"/>
          </w:tcPr>
          <w:p>
            <w:pPr>
              <w:spacing w:after="0"/>
              <w:rPr>
                <w:sz w:val="10"/>
                <w:szCs w:val="10"/>
                <w:color w:val="auto"/>
              </w:rPr>
            </w:pPr>
          </w:p>
        </w:tc>
        <w:tc>
          <w:tcPr>
            <w:tcW w:w="1340" w:type="dxa"/>
            <w:vAlign w:val="bottom"/>
            <w:tcBorders>
              <w:right w:val="single" w:sz="8" w:color="auto"/>
            </w:tcBorders>
            <w:gridSpan w:val="4"/>
            <w:vMerge w:val="restart"/>
          </w:tcPr>
          <w:p>
            <w:pPr>
              <w:jc w:val="right"/>
              <w:ind w:right="267"/>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0"/>
                <w:szCs w:val="10"/>
                <w:color w:val="auto"/>
              </w:rPr>
            </w:pPr>
          </w:p>
        </w:tc>
        <w:tc>
          <w:tcPr>
            <w:tcW w:w="72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vMerge w:val="restart"/>
          </w:tcPr>
          <w:p>
            <w:pPr>
              <w:spacing w:after="0"/>
              <w:rPr>
                <w:sz w:val="10"/>
                <w:szCs w:val="10"/>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Par value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center"/>
              <w:ind w:left="224"/>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vMerge w:val="restart"/>
          </w:tcPr>
          <w:p>
            <w:pPr>
              <w:spacing w:after="0"/>
              <w:rPr>
                <w:sz w:val="10"/>
                <w:szCs w:val="10"/>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Par value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5"/>
            <w:vMerge w:val="continue"/>
          </w:tcPr>
          <w:p>
            <w:pPr>
              <w:spacing w:after="0"/>
              <w:rPr>
                <w:sz w:val="10"/>
                <w:szCs w:val="10"/>
                <w:color w:val="auto"/>
              </w:rPr>
            </w:pPr>
          </w:p>
        </w:tc>
        <w:tc>
          <w:tcPr>
            <w:tcW w:w="1060" w:type="dxa"/>
            <w:vAlign w:val="bottom"/>
            <w:gridSpan w:val="4"/>
          </w:tcPr>
          <w:p>
            <w:pPr>
              <w:jc w:val="right"/>
              <w:ind w:right="20"/>
              <w:spacing w:after="0" w:line="119" w:lineRule="exact"/>
              <w:rPr>
                <w:sz w:val="20"/>
                <w:szCs w:val="20"/>
                <w:color w:val="auto"/>
              </w:rPr>
            </w:pPr>
            <w:r>
              <w:rPr>
                <w:rFonts w:ascii="Arial" w:cs="Arial" w:eastAsia="Arial" w:hAnsi="Arial"/>
                <w:sz w:val="13"/>
                <w:szCs w:val="13"/>
                <w:b w:val="1"/>
                <w:bCs w:val="1"/>
                <w:color w:val="auto"/>
                <w:w w:val="88"/>
              </w:rPr>
              <w:t>stockholders’ equi</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1340" w:type="dxa"/>
            <w:vAlign w:val="bottom"/>
            <w:tcBorders>
              <w:bottom w:val="single" w:sz="8" w:color="auto"/>
              <w:right w:val="single" w:sz="8" w:color="auto"/>
            </w:tcBorders>
            <w:gridSpan w:val="4"/>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paid-in capital</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3"/>
                <w:szCs w:val="13"/>
                <w:b w:val="1"/>
                <w:bCs w:val="1"/>
                <w:color w:val="auto"/>
                <w:w w:val="83"/>
              </w:rPr>
              <w:t>deficit</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1100" w:type="dxa"/>
            <w:vAlign w:val="bottom"/>
            <w:shd w:val="clear" w:color="auto" w:fill="CCEEFF"/>
          </w:tcPr>
          <w:p>
            <w:pPr>
              <w:jc w:val="center"/>
              <w:ind w:left="201"/>
              <w:spacing w:after="0" w:line="136" w:lineRule="exact"/>
              <w:rPr>
                <w:sz w:val="20"/>
                <w:szCs w:val="20"/>
                <w:color w:val="auto"/>
              </w:rPr>
            </w:pPr>
            <w:r>
              <w:rPr>
                <w:rFonts w:ascii="Arial" w:cs="Arial" w:eastAsia="Arial" w:hAnsi="Arial"/>
                <w:sz w:val="15"/>
                <w:szCs w:val="15"/>
                <w:b w:val="1"/>
                <w:bCs w:val="1"/>
                <w:color w:val="auto"/>
                <w:w w:val="93"/>
              </w:rPr>
              <w:t>Balances at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147,038,267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167"/>
              <w:spacing w:after="0"/>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auto"/>
            </w:tcBorders>
            <w:gridSpan w:val="3"/>
            <w:vMerge w:val="restart"/>
            <w:shd w:val="clear" w:color="auto" w:fill="CCEEFF"/>
          </w:tcPr>
          <w:p>
            <w:pPr>
              <w:jc w:val="right"/>
              <w:ind w:right="87"/>
              <w:spacing w:after="0"/>
              <w:rPr>
                <w:sz w:val="20"/>
                <w:szCs w:val="20"/>
                <w:color w:val="auto"/>
              </w:rPr>
            </w:pPr>
            <w:r>
              <w:rPr>
                <w:rFonts w:ascii="Arial" w:cs="Arial" w:eastAsia="Arial" w:hAnsi="Arial"/>
                <w:sz w:val="16"/>
                <w:szCs w:val="16"/>
                <w:b w:val="1"/>
                <w:bCs w:val="1"/>
                <w:color w:val="auto"/>
                <w:w w:val="93"/>
              </w:rPr>
              <w:t>217,115</w:t>
            </w:r>
          </w:p>
        </w:tc>
        <w:tc>
          <w:tcPr>
            <w:tcW w:w="780" w:type="dxa"/>
            <w:vAlign w:val="bottom"/>
            <w:gridSpan w:val="5"/>
            <w:vMerge w:val="restart"/>
            <w:shd w:val="clear" w:color="auto" w:fill="CCEEFF"/>
          </w:tcPr>
          <w:p>
            <w:pPr>
              <w:jc w:val="center"/>
              <w:ind w:left="420"/>
              <w:spacing w:after="0"/>
              <w:rPr>
                <w:sz w:val="20"/>
                <w:szCs w:val="20"/>
                <w:color w:val="auto"/>
              </w:rPr>
            </w:pPr>
            <w:r>
              <w:rPr>
                <w:rFonts w:ascii="Arial" w:cs="Arial" w:eastAsia="Arial" w:hAnsi="Arial"/>
                <w:sz w:val="16"/>
                <w:szCs w:val="16"/>
                <w:b w:val="1"/>
                <w:bCs w:val="1"/>
                <w:color w:val="auto"/>
                <w:w w:val="89"/>
              </w:rPr>
              <w:t>124</w:t>
            </w: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600" w:type="dxa"/>
            <w:vAlign w:val="bottom"/>
            <w:vMerge w:val="restart"/>
            <w:shd w:val="clear" w:color="auto" w:fill="CCEEFF"/>
          </w:tcPr>
          <w:p>
            <w:pPr>
              <w:jc w:val="center"/>
              <w:ind w:left="50"/>
              <w:spacing w:after="0"/>
              <w:rPr>
                <w:sz w:val="20"/>
                <w:szCs w:val="20"/>
                <w:color w:val="auto"/>
              </w:rPr>
            </w:pPr>
            <w:r>
              <w:rPr>
                <w:rFonts w:ascii="Arial" w:cs="Arial" w:eastAsia="Arial" w:hAnsi="Arial"/>
                <w:sz w:val="16"/>
                <w:szCs w:val="16"/>
                <w:b w:val="1"/>
                <w:bCs w:val="1"/>
                <w:color w:val="auto"/>
                <w:w w:val="89"/>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CCEEFF"/>
          </w:tcPr>
          <w:p>
            <w:pPr>
              <w:jc w:val="center"/>
              <w:ind w:left="160"/>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(147,753)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(147,7</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20" w:type="dxa"/>
            <w:vAlign w:val="bottom"/>
            <w:tcBorders>
              <w:right w:val="single" w:sz="8" w:color="auto"/>
            </w:tcBorders>
            <w:gridSpan w:val="3"/>
            <w:vMerge w:val="continue"/>
            <w:shd w:val="clear" w:color="auto" w:fill="CCEEFF"/>
          </w:tcPr>
          <w:p>
            <w:pPr>
              <w:spacing w:after="0"/>
              <w:rPr>
                <w:sz w:val="17"/>
                <w:szCs w:val="17"/>
                <w:color w:val="auto"/>
              </w:rPr>
            </w:pPr>
          </w:p>
        </w:tc>
        <w:tc>
          <w:tcPr>
            <w:tcW w:w="780" w:type="dxa"/>
            <w:vAlign w:val="bottom"/>
            <w:gridSpan w:val="5"/>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4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100" w:type="dxa"/>
            <w:vAlign w:val="bottom"/>
          </w:tcPr>
          <w:p>
            <w:pPr>
              <w:jc w:val="center"/>
              <w:ind w:left="221"/>
              <w:spacing w:after="0"/>
              <w:rPr>
                <w:sz w:val="20"/>
                <w:szCs w:val="20"/>
                <w:color w:val="auto"/>
              </w:rPr>
            </w:pPr>
            <w:r>
              <w:rPr>
                <w:rFonts w:ascii="Arial" w:cs="Arial" w:eastAsia="Arial" w:hAnsi="Arial"/>
                <w:sz w:val="16"/>
                <w:szCs w:val="16"/>
                <w:color w:val="auto"/>
                <w:w w:val="89"/>
              </w:rPr>
              <w:t>Net loss</w:t>
            </w:r>
          </w:p>
        </w:tc>
        <w:tc>
          <w:tcPr>
            <w:tcW w:w="12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right w:val="single" w:sz="8" w:color="auto"/>
            </w:tcBorders>
          </w:tcPr>
          <w:p>
            <w:pPr>
              <w:jc w:val="right"/>
              <w:ind w:right="87"/>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4"/>
          </w:tcPr>
          <w:p>
            <w:pPr>
              <w:jc w:val="center"/>
              <w:ind w:right="80"/>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7"/>
                <w:szCs w:val="17"/>
                <w:color w:val="auto"/>
              </w:rPr>
            </w:pPr>
          </w:p>
        </w:tc>
        <w:tc>
          <w:tcPr>
            <w:tcW w:w="4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(56,615)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(56,6</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shd w:val="clear" w:color="auto" w:fill="CCEEFF"/>
          </w:tcPr>
          <w:p>
            <w:pPr>
              <w:ind w:left="440"/>
              <w:spacing w:after="0" w:line="155" w:lineRule="exact"/>
              <w:rPr>
                <w:sz w:val="20"/>
                <w:szCs w:val="20"/>
                <w:color w:val="auto"/>
              </w:rPr>
            </w:pPr>
            <w:r>
              <w:rPr>
                <w:rFonts w:ascii="Arial" w:cs="Arial" w:eastAsia="Arial" w:hAnsi="Arial"/>
                <w:sz w:val="16"/>
                <w:szCs w:val="16"/>
                <w:color w:val="auto"/>
                <w:w w:val="99"/>
              </w:rPr>
              <w:t>Issuance</w:t>
            </w: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of Preferred</w:t>
            </w: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w w:val="99"/>
              </w:rPr>
              <w:t>Series C, net</w:t>
            </w: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of issuance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24,496,946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3"/>
            <w:vMerge w:val="restart"/>
            <w:shd w:val="clear" w:color="auto" w:fill="CCEEFF"/>
          </w:tcPr>
          <w:p>
            <w:pPr>
              <w:jc w:val="right"/>
              <w:ind w:right="87"/>
              <w:spacing w:after="0"/>
              <w:rPr>
                <w:sz w:val="20"/>
                <w:szCs w:val="20"/>
                <w:color w:val="auto"/>
              </w:rPr>
            </w:pPr>
            <w:r>
              <w:rPr>
                <w:rFonts w:ascii="Arial" w:cs="Arial" w:eastAsia="Arial" w:hAnsi="Arial"/>
                <w:sz w:val="16"/>
                <w:szCs w:val="16"/>
                <w:color w:val="auto"/>
                <w:w w:val="93"/>
              </w:rPr>
              <w:t>117,324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4"/>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3"/>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costs</w:t>
            </w:r>
          </w:p>
        </w:tc>
        <w:tc>
          <w:tcPr>
            <w:tcW w:w="11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gridSpan w:val="4"/>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jc w:val="center"/>
              <w:ind w:left="201"/>
              <w:spacing w:after="0" w:line="136" w:lineRule="exact"/>
              <w:rPr>
                <w:sz w:val="20"/>
                <w:szCs w:val="20"/>
                <w:color w:val="auto"/>
              </w:rPr>
            </w:pPr>
            <w:r>
              <w:rPr>
                <w:rFonts w:ascii="Arial" w:cs="Arial" w:eastAsia="Arial" w:hAnsi="Arial"/>
                <w:sz w:val="15"/>
                <w:szCs w:val="15"/>
                <w:b w:val="1"/>
                <w:bCs w:val="1"/>
                <w:color w:val="auto"/>
                <w:w w:val="93"/>
              </w:rPr>
              <w:t>Balances at</w:t>
            </w: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tcPr>
          <w:p>
            <w:pPr>
              <w:ind w:left="20"/>
              <w:spacing w:after="0" w:line="155" w:lineRule="exact"/>
              <w:rPr>
                <w:sz w:val="20"/>
                <w:szCs w:val="20"/>
                <w:color w:val="auto"/>
              </w:rPr>
            </w:pPr>
            <w:r>
              <w:rPr>
                <w:rFonts w:ascii="Arial" w:cs="Arial" w:eastAsia="Arial" w:hAnsi="Arial"/>
                <w:sz w:val="16"/>
                <w:szCs w:val="16"/>
                <w:b w:val="1"/>
                <w:bCs w:val="1"/>
                <w:color w:val="auto"/>
                <w:w w:val="96"/>
              </w:rPr>
              <w:t>September 30,</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171,535,213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restart"/>
          </w:tcPr>
          <w:p>
            <w:pPr>
              <w:jc w:val="right"/>
              <w:ind w:right="167"/>
              <w:spacing w:after="0"/>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auto"/>
            </w:tcBorders>
            <w:gridSpan w:val="3"/>
            <w:vMerge w:val="restart"/>
          </w:tcPr>
          <w:p>
            <w:pPr>
              <w:jc w:val="right"/>
              <w:ind w:right="87"/>
              <w:spacing w:after="0"/>
              <w:rPr>
                <w:sz w:val="20"/>
                <w:szCs w:val="20"/>
                <w:color w:val="auto"/>
              </w:rPr>
            </w:pPr>
            <w:r>
              <w:rPr>
                <w:rFonts w:ascii="Arial" w:cs="Arial" w:eastAsia="Arial" w:hAnsi="Arial"/>
                <w:sz w:val="16"/>
                <w:szCs w:val="16"/>
                <w:b w:val="1"/>
                <w:bCs w:val="1"/>
                <w:color w:val="auto"/>
                <w:w w:val="93"/>
              </w:rPr>
              <w:t>334,439</w:t>
            </w:r>
          </w:p>
        </w:tc>
        <w:tc>
          <w:tcPr>
            <w:tcW w:w="60" w:type="dxa"/>
            <w:vAlign w:val="bottom"/>
            <w:vMerge w:val="restart"/>
          </w:tcPr>
          <w:p>
            <w:pPr>
              <w:spacing w:after="0"/>
              <w:rPr>
                <w:sz w:val="13"/>
                <w:szCs w:val="13"/>
                <w:color w:val="auto"/>
              </w:rPr>
            </w:pPr>
          </w:p>
        </w:tc>
        <w:tc>
          <w:tcPr>
            <w:tcW w:w="720" w:type="dxa"/>
            <w:vAlign w:val="bottom"/>
            <w:gridSpan w:val="4"/>
            <w:vMerge w:val="restart"/>
          </w:tcPr>
          <w:p>
            <w:pPr>
              <w:jc w:val="center"/>
              <w:ind w:left="368"/>
              <w:spacing w:after="0"/>
              <w:rPr>
                <w:sz w:val="20"/>
                <w:szCs w:val="20"/>
                <w:color w:val="auto"/>
              </w:rPr>
            </w:pPr>
            <w:r>
              <w:rPr>
                <w:rFonts w:ascii="Arial" w:cs="Arial" w:eastAsia="Arial" w:hAnsi="Arial"/>
                <w:sz w:val="16"/>
                <w:szCs w:val="16"/>
                <w:b w:val="1"/>
                <w:bCs w:val="1"/>
                <w:color w:val="auto"/>
                <w:w w:val="89"/>
              </w:rPr>
              <w:t>124</w:t>
            </w: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w w:val="99"/>
              </w:rPr>
              <w:t>—</w:t>
            </w:r>
          </w:p>
        </w:tc>
        <w:tc>
          <w:tcPr>
            <w:tcW w:w="60" w:type="dxa"/>
            <w:vAlign w:val="bottom"/>
            <w:vMerge w:val="restart"/>
          </w:tcPr>
          <w:p>
            <w:pPr>
              <w:spacing w:after="0"/>
              <w:rPr>
                <w:sz w:val="13"/>
                <w:szCs w:val="13"/>
                <w:color w:val="auto"/>
              </w:rPr>
            </w:pPr>
          </w:p>
        </w:tc>
        <w:tc>
          <w:tcPr>
            <w:tcW w:w="600" w:type="dxa"/>
            <w:vAlign w:val="bottom"/>
            <w:vMerge w:val="restart"/>
          </w:tcPr>
          <w:p>
            <w:pPr>
              <w:jc w:val="center"/>
              <w:ind w:left="50"/>
              <w:spacing w:after="0"/>
              <w:rPr>
                <w:sz w:val="20"/>
                <w:szCs w:val="20"/>
                <w:color w:val="auto"/>
              </w:rPr>
            </w:pPr>
            <w:r>
              <w:rPr>
                <w:rFonts w:ascii="Arial" w:cs="Arial" w:eastAsia="Arial" w:hAnsi="Arial"/>
                <w:sz w:val="16"/>
                <w:szCs w:val="16"/>
                <w:b w:val="1"/>
                <w:bCs w:val="1"/>
                <w:color w:val="auto"/>
                <w:w w:val="89"/>
              </w:rPr>
              <w:t>$</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(204,368)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(204,3</w:t>
            </w:r>
          </w:p>
        </w:tc>
        <w:tc>
          <w:tcPr>
            <w:tcW w:w="0" w:type="dxa"/>
            <w:vAlign w:val="bottom"/>
          </w:tcPr>
          <w:p>
            <w:pPr>
              <w:spacing w:after="0"/>
              <w:rPr>
                <w:sz w:val="1"/>
                <w:szCs w:val="1"/>
                <w:color w:val="auto"/>
              </w:rPr>
            </w:pPr>
          </w:p>
        </w:tc>
      </w:tr>
      <w:tr>
        <w:trPr>
          <w:trHeight w:val="219"/>
        </w:trPr>
        <w:tc>
          <w:tcPr>
            <w:tcW w:w="1380" w:type="dxa"/>
            <w:vAlign w:val="bottom"/>
            <w:gridSpan w:val="2"/>
          </w:tcPr>
          <w:p>
            <w:pPr>
              <w:ind w:left="300"/>
              <w:spacing w:after="0" w:line="179" w:lineRule="exact"/>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right w:val="single" w:sz="8" w:color="auto"/>
            </w:tcBorders>
            <w:gridSpan w:val="3"/>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720" w:type="dxa"/>
            <w:vAlign w:val="bottom"/>
            <w:tcBorders>
              <w:bottom w:val="single" w:sz="8" w:color="auto"/>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7"/>
            <w:vMerge w:val="restart"/>
          </w:tcPr>
          <w:p>
            <w:pPr>
              <w:ind w:left="22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7"/>
            <w:vMerge w:val="continue"/>
          </w:tcPr>
          <w:p>
            <w:pPr>
              <w:spacing w:after="0"/>
              <w:rPr>
                <w:sz w:val="10"/>
                <w:szCs w:val="10"/>
                <w:color w:val="auto"/>
              </w:rPr>
            </w:pPr>
          </w:p>
        </w:tc>
        <w:tc>
          <w:tcPr>
            <w:tcW w:w="280" w:type="dxa"/>
            <w:vAlign w:val="bottom"/>
            <w:tcBorders>
              <w:left w:val="single" w:sz="8" w:color="auto"/>
            </w:tcBorders>
            <w:gridSpan w:val="3"/>
          </w:tcPr>
          <w:p>
            <w:pPr>
              <w:spacing w:after="0"/>
              <w:rPr>
                <w:sz w:val="10"/>
                <w:szCs w:val="10"/>
                <w:color w:val="auto"/>
              </w:rPr>
            </w:pPr>
          </w:p>
        </w:tc>
        <w:tc>
          <w:tcPr>
            <w:tcW w:w="1780" w:type="dxa"/>
            <w:vAlign w:val="bottom"/>
            <w:gridSpan w:val="9"/>
            <w:vMerge w:val="restart"/>
          </w:tcPr>
          <w:p>
            <w:pPr>
              <w:ind w:left="80"/>
              <w:spacing w:after="0"/>
              <w:rPr>
                <w:sz w:val="20"/>
                <w:szCs w:val="20"/>
                <w:color w:val="auto"/>
              </w:rPr>
            </w:pPr>
            <w:r>
              <w:rPr>
                <w:rFonts w:ascii="Arial" w:cs="Arial" w:eastAsia="Arial" w:hAnsi="Arial"/>
                <w:sz w:val="13"/>
                <w:szCs w:val="13"/>
                <w:b w:val="1"/>
                <w:bCs w:val="1"/>
                <w:color w:val="auto"/>
              </w:rPr>
              <w:t>Class A Common Stock</w:t>
            </w:r>
          </w:p>
        </w:tc>
        <w:tc>
          <w:tcPr>
            <w:tcW w:w="1840" w:type="dxa"/>
            <w:vAlign w:val="bottom"/>
            <w:gridSpan w:val="7"/>
            <w:vMerge w:val="restart"/>
          </w:tcPr>
          <w:p>
            <w:pPr>
              <w:ind w:left="220"/>
              <w:spacing w:after="0"/>
              <w:rPr>
                <w:sz w:val="20"/>
                <w:szCs w:val="20"/>
                <w:color w:val="auto"/>
              </w:rPr>
            </w:pPr>
            <w:r>
              <w:rPr>
                <w:rFonts w:ascii="Arial" w:cs="Arial" w:eastAsia="Arial" w:hAnsi="Arial"/>
                <w:sz w:val="13"/>
                <w:szCs w:val="13"/>
                <w:b w:val="1"/>
                <w:bCs w:val="1"/>
                <w:color w:val="auto"/>
              </w:rPr>
              <w:t>Class B 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7"/>
          </w:tcPr>
          <w:p>
            <w:pPr>
              <w:ind w:left="460"/>
              <w:spacing w:after="0"/>
              <w:rPr>
                <w:sz w:val="20"/>
                <w:szCs w:val="20"/>
                <w:color w:val="auto"/>
              </w:rPr>
            </w:pPr>
            <w:r>
              <w:rPr>
                <w:rFonts w:ascii="Arial" w:cs="Arial" w:eastAsia="Arial" w:hAnsi="Arial"/>
                <w:sz w:val="13"/>
                <w:szCs w:val="13"/>
                <w:b w:val="1"/>
                <w:bCs w:val="1"/>
                <w:color w:val="auto"/>
              </w:rPr>
              <w:t>Preferred Stock</w:t>
            </w:r>
          </w:p>
        </w:tc>
        <w:tc>
          <w:tcPr>
            <w:tcW w:w="280" w:type="dxa"/>
            <w:vAlign w:val="bottom"/>
            <w:tcBorders>
              <w:left w:val="single" w:sz="8" w:color="auto"/>
            </w:tcBorders>
            <w:gridSpan w:val="3"/>
          </w:tcPr>
          <w:p>
            <w:pPr>
              <w:spacing w:after="0"/>
              <w:rPr>
                <w:sz w:val="14"/>
                <w:szCs w:val="14"/>
                <w:color w:val="auto"/>
              </w:rPr>
            </w:pPr>
          </w:p>
        </w:tc>
        <w:tc>
          <w:tcPr>
            <w:tcW w:w="1780" w:type="dxa"/>
            <w:vAlign w:val="bottom"/>
            <w:gridSpan w:val="9"/>
            <w:vMerge w:val="continue"/>
          </w:tcPr>
          <w:p>
            <w:pPr>
              <w:spacing w:after="0"/>
              <w:rPr>
                <w:sz w:val="14"/>
                <w:szCs w:val="14"/>
                <w:color w:val="auto"/>
              </w:rPr>
            </w:pPr>
          </w:p>
        </w:tc>
        <w:tc>
          <w:tcPr>
            <w:tcW w:w="184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Shares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60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7"/>
              </w:rPr>
              <w:t>Shares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Par value</w:t>
            </w: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80" w:type="dxa"/>
            <w:vAlign w:val="bottom"/>
            <w:tcBorders>
              <w:left w:val="single" w:sz="8" w:color="auto"/>
            </w:tcBorders>
            <w:gridSpan w:val="3"/>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w w:val="89"/>
              </w:rPr>
              <w:t>paid-in 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147,038,267</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72"/>
              </w:rPr>
              <w:t>217,115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ind w:left="324"/>
              <w:spacing w:after="0"/>
              <w:rPr>
                <w:sz w:val="20"/>
                <w:szCs w:val="20"/>
                <w:color w:val="auto"/>
              </w:rPr>
            </w:pPr>
            <w:r>
              <w:rPr>
                <w:rFonts w:ascii="Arial" w:cs="Arial" w:eastAsia="Arial" w:hAnsi="Arial"/>
                <w:sz w:val="16"/>
                <w:szCs w:val="16"/>
                <w:b w:val="1"/>
                <w:bCs w:val="1"/>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160"/>
              <w:spacing w:after="0"/>
              <w:rPr>
                <w:sz w:val="20"/>
                <w:szCs w:val="20"/>
                <w:color w:val="auto"/>
              </w:rPr>
            </w:pPr>
            <w:r>
              <w:rPr>
                <w:rFonts w:ascii="Arial" w:cs="Arial" w:eastAsia="Arial" w:hAnsi="Arial"/>
                <w:sz w:val="16"/>
                <w:szCs w:val="16"/>
                <w:b w:val="1"/>
                <w:bCs w:val="1"/>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(88,711)</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(88,711)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ind w:left="160"/>
              <w:spacing w:after="0"/>
              <w:rPr>
                <w:sz w:val="20"/>
                <w:szCs w:val="20"/>
                <w:color w:val="auto"/>
              </w:rPr>
            </w:pPr>
            <w:r>
              <w:rPr>
                <w:rFonts w:ascii="Arial" w:cs="Arial" w:eastAsia="Arial" w:hAnsi="Arial"/>
                <w:sz w:val="16"/>
                <w:szCs w:val="16"/>
                <w:color w:val="auto"/>
              </w:rPr>
              <w:t>Net loss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auto"/>
            </w:tcBorders>
            <w:gridSpan w:val="3"/>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center"/>
              <w:ind w:left="204"/>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c>
          <w:tcPr>
            <w:tcW w:w="1020" w:type="dxa"/>
            <w:vAlign w:val="bottom"/>
            <w:gridSpan w:val="5"/>
          </w:tcPr>
          <w:p>
            <w:pPr>
              <w:jc w:val="right"/>
              <w:ind w:right="40"/>
              <w:spacing w:after="0"/>
              <w:rPr>
                <w:sz w:val="20"/>
                <w:szCs w:val="20"/>
                <w:color w:val="auto"/>
              </w:rPr>
            </w:pPr>
            <w:r>
              <w:rPr>
                <w:rFonts w:ascii="Arial" w:cs="Arial" w:eastAsia="Arial" w:hAnsi="Arial"/>
                <w:sz w:val="16"/>
                <w:szCs w:val="16"/>
                <w:color w:val="auto"/>
              </w:rPr>
              <w:t>(115,657)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7"/>
              </w:rPr>
              <w:t>(115,657)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80" w:type="dxa"/>
            <w:vAlign w:val="bottom"/>
            <w:gridSpan w:val="5"/>
            <w:shd w:val="clear" w:color="auto" w:fill="CCEEFF"/>
          </w:tcPr>
          <w:p>
            <w:pPr>
              <w:ind w:left="160"/>
              <w:spacing w:after="0" w:line="155" w:lineRule="exact"/>
              <w:rPr>
                <w:sz w:val="20"/>
                <w:szCs w:val="20"/>
                <w:color w:val="auto"/>
              </w:rPr>
            </w:pPr>
            <w:r>
              <w:rPr>
                <w:rFonts w:ascii="Arial" w:cs="Arial" w:eastAsia="Arial" w:hAnsi="Arial"/>
                <w:sz w:val="16"/>
                <w:szCs w:val="16"/>
                <w:color w:val="auto"/>
                <w:w w:val="96"/>
              </w:rPr>
              <w:t>Issuance of Preferred Series C, net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24,496,946</w:t>
            </w: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72"/>
              </w:rPr>
              <w:t>117,324</w:t>
            </w:r>
          </w:p>
        </w:tc>
        <w:tc>
          <w:tcPr>
            <w:tcW w:w="8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ind w:left="324"/>
              <w:spacing w:after="0"/>
              <w:rPr>
                <w:sz w:val="20"/>
                <w:szCs w:val="20"/>
                <w:color w:val="auto"/>
              </w:rPr>
            </w:pPr>
            <w:r>
              <w:rPr>
                <w:rFonts w:ascii="Arial" w:cs="Arial" w:eastAsia="Arial" w:hAnsi="Arial"/>
                <w:sz w:val="16"/>
                <w:szCs w:val="16"/>
                <w:color w:val="auto"/>
                <w:w w:val="99"/>
              </w:rPr>
              <w:t>—</w:t>
            </w:r>
          </w:p>
        </w:tc>
        <w:tc>
          <w:tcPr>
            <w:tcW w:w="60" w:type="dxa"/>
            <w:vAlign w:val="bottom"/>
            <w:vMerge w:val="restart"/>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 w:type="dxa"/>
            <w:vAlign w:val="bottom"/>
            <w:vMerge w:val="restart"/>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center"/>
              <w:ind w:left="16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7"/>
              </w:rPr>
              <w:t>of issuance costs</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right w:val="single" w:sz="8" w:color="CCEEFF"/>
            </w:tcBorders>
            <w:shd w:val="clear" w:color="auto" w:fill="CCEEFF"/>
          </w:tcPr>
          <w:p>
            <w:pPr>
              <w:spacing w:after="0"/>
              <w:rPr>
                <w:sz w:val="17"/>
                <w:szCs w:val="17"/>
                <w:color w:val="auto"/>
              </w:rPr>
            </w:pPr>
          </w:p>
        </w:tc>
        <w:tc>
          <w:tcPr>
            <w:tcW w:w="50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520" w:type="dxa"/>
            <w:vAlign w:val="bottom"/>
            <w:gridSpan w:val="4"/>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171,535,213</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72"/>
              </w:rPr>
              <w:t>334,439</w:t>
            </w:r>
          </w:p>
        </w:tc>
        <w:tc>
          <w:tcPr>
            <w:tcW w:w="80" w:type="dxa"/>
            <w:vAlign w:val="bottom"/>
          </w:tcPr>
          <w:p>
            <w:pPr>
              <w:spacing w:after="0"/>
              <w:rPr>
                <w:sz w:val="20"/>
                <w:szCs w:val="20"/>
                <w:color w:val="auto"/>
              </w:rPr>
            </w:pPr>
          </w:p>
        </w:tc>
        <w:tc>
          <w:tcPr>
            <w:tcW w:w="80" w:type="dxa"/>
            <w:vAlign w:val="bottom"/>
            <w:tcBorders>
              <w:lef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124</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b w:val="1"/>
                <w:bCs w:val="1"/>
                <w:color w:val="auto"/>
                <w:w w:val="99"/>
              </w:rPr>
              <w:t>—</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b w:val="1"/>
                <w:bCs w:val="1"/>
                <w:color w:val="auto"/>
                <w:w w:val="99"/>
              </w:rPr>
              <w:t>—</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(204,368)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(204,368)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40"/>
          </w:cols>
          <w:pgMar w:left="320" w:top="139"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63"/>
        </w:trPr>
        <w:tc>
          <w:tcPr>
            <w:tcW w:w="8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(204,963)</w:t>
            </w:r>
          </w:p>
        </w:tc>
        <w:tc>
          <w:tcPr>
            <w:tcW w:w="10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(115,657)</w:t>
            </w:r>
          </w:p>
        </w:tc>
      </w:tr>
      <w:tr>
        <w:trPr>
          <w:trHeight w:val="227"/>
        </w:trPr>
        <w:tc>
          <w:tcPr>
            <w:tcW w:w="8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8,147</w:t>
            </w: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182,454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30,073</w:t>
            </w:r>
          </w:p>
        </w:tc>
      </w:tr>
      <w:tr>
        <w:trPr>
          <w:trHeight w:val="215"/>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2B2A29"/>
              </w:rPr>
              <w:t>Change in fair value of warrant and contingent liabilities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8200" w:type="dxa"/>
            <w:vAlign w:val="bottom"/>
          </w:tcPr>
          <w:p>
            <w:pPr>
              <w:ind w:left="160"/>
              <w:spacing w:after="0"/>
              <w:rPr>
                <w:sz w:val="20"/>
                <w:szCs w:val="20"/>
                <w:color w:val="auto"/>
              </w:rPr>
            </w:pPr>
            <w:r>
              <w:rPr>
                <w:rFonts w:ascii="Arial" w:cs="Arial" w:eastAsia="Arial" w:hAnsi="Arial"/>
                <w:sz w:val="16"/>
                <w:szCs w:val="16"/>
                <w:color w:val="2B2A29"/>
              </w:rPr>
              <w:t>Provision for excess and obsolete inventory</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Non-cash lease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2,203</w:t>
            </w: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(3,159)</w:t>
            </w: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w:t>
            </w: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516</w:t>
            </w: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Due to/from related parties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617</w:t>
            </w: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1,174</w:t>
            </w: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03"/>
        </w:trPr>
        <w:tc>
          <w:tcPr>
            <w:tcW w:w="8200" w:type="dxa"/>
            <w:vAlign w:val="bottom"/>
          </w:tcPr>
          <w:p>
            <w:pPr>
              <w:ind w:left="30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10,068</w:t>
            </w:r>
          </w:p>
        </w:tc>
      </w:tr>
      <w:tr>
        <w:trPr>
          <w:trHeight w:val="19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(138,449)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(74,795)</w:t>
            </w:r>
          </w:p>
        </w:tc>
      </w:tr>
      <w:tr>
        <w:trPr>
          <w:trHeight w:val="207"/>
        </w:trPr>
        <w:tc>
          <w:tcPr>
            <w:tcW w:w="8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(17,310)</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(20,475)</w:t>
            </w:r>
          </w:p>
        </w:tc>
      </w:tr>
      <w:tr>
        <w:trPr>
          <w:trHeight w:val="207"/>
        </w:trPr>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Proceeds from issuance of Series C redeemable convertible preferred stock, net of issuance costs</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117,326</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PIPE issuance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Proceeds from equity infusion from the merger, net of redemptions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442,684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Legacy Sema4 Shareholder payout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Payment of transaction costs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Appreciation Rights payout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Repayment of long-term debt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principal payments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Long-term debt principal payments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Exercise of stock options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494,758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119,942</w:t>
            </w:r>
          </w:p>
        </w:tc>
      </w:tr>
      <w:tr>
        <w:trPr>
          <w:trHeight w:val="207"/>
        </w:trPr>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24,672</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115,006</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139,678</w:t>
            </w:r>
          </w:p>
        </w:tc>
      </w:tr>
      <w:tr>
        <w:trPr>
          <w:trHeight w:val="801"/>
        </w:trPr>
        <w:tc>
          <w:tcPr>
            <w:tcW w:w="8200" w:type="dxa"/>
            <w:vAlign w:val="bottom"/>
          </w:tcPr>
          <w:p>
            <w:pPr>
              <w:ind w:left="554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60"/>
          </w:cols>
          <w:pgMar w:left="320" w:top="139" w:right="31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2,128</w:t>
            </w:r>
          </w:p>
        </w:tc>
        <w:tc>
          <w:tcPr>
            <w:tcW w:w="6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1,826</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21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6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c>
          <w:tcPr>
            <w:tcW w:w="6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21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6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21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641</w:t>
            </w:r>
          </w:p>
        </w:tc>
        <w:tc>
          <w:tcPr>
            <w:tcW w:w="6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5,637</w:t>
            </w: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320" w:top="139" w:right="31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67"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color w:val="auto"/>
        </w:rPr>
        <w:t>Mount Sinai Genomics Inc., a Delaware corporation (“Legacy Sema4”)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recent novel coronavirus (“COVID-19”) outbreak. Legacy Sema4 serves patients and bills third-party payors across the United States, with a substantial portion of its diagnostic testing volume occurring in New York, California, Florida, Connecticut and New Jersey.</w:t>
      </w:r>
    </w:p>
    <w:p>
      <w:pPr>
        <w:spacing w:after="0" w:line="12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46"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10"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2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2020, 2019 and 2018.</w:t>
      </w:r>
    </w:p>
    <w:p>
      <w:pPr>
        <w:spacing w:after="0" w:line="14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94"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Company’s historical financial information includes costs of certain services historically provided by Icahn School of Medicine at Mount Sinai (“ISMMS”) pursuant to the Transition Services Agreement ("TSA") and service agreements.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294" w:right="3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Except as described elsewhere in Note 2 and in Note 3, “Business Combination”, there have been no material changes to the Company’s significant accounting policies as described in the unaudited condensed consolidated financial statements for the periods ended September 30, 2021 and 2020.</w:t>
      </w:r>
    </w:p>
    <w:p>
      <w:pPr>
        <w:spacing w:after="0" w:line="11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75"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3"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warrant liability and earn-out contingent liability. Actual results could differ materially from those estimates, judgments and assumptions.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and accounts receivable.</w:t>
      </w:r>
    </w:p>
    <w:p>
      <w:pPr>
        <w:spacing w:after="0" w:line="174"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8"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The Company assesses both the customer and, if applicable, the third-party payor that reimburses the Company on the customer’s behalf when evaluating the concentration of credit risk. Significant customers and payors are those that represent more than 10% of the Company’s total annual revenues or accounts receivable balance at each respective balance sheet date. The significant concentrations of accounts receivable as of September 30, 2021 and December 31, 2020 were primarily from large managed care insurance companies and a reference laboratory. There was no individual customer that accounted for 10% or more of the Company’s revenue or accounts receivable for any of the periods presented. The Company does not require collateral as a means to mitigate customer credit risk.</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each significant payor, revenue as a percentage of total revenues and accounts receivable as a percentage of total accounts receivable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Revenue</w:t>
            </w: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926"/>
              <w:spacing w:after="0"/>
              <w:rPr>
                <w:sz w:val="20"/>
                <w:szCs w:val="20"/>
                <w:color w:val="auto"/>
              </w:rPr>
            </w:pPr>
            <w:r>
              <w:rPr>
                <w:rFonts w:ascii="Arial" w:cs="Arial" w:eastAsia="Arial" w:hAnsi="Arial"/>
                <w:sz w:val="13"/>
                <w:szCs w:val="13"/>
                <w:b w:val="1"/>
                <w:bCs w:val="1"/>
                <w:color w:val="auto"/>
              </w:rPr>
              <w:t>Accounts Receivable</w:t>
            </w: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252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rPr>
              <w:t>Three months ended September 30,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74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Nine months ended September 30,</w:t>
            </w:r>
          </w:p>
        </w:tc>
        <w:tc>
          <w:tcPr>
            <w:tcW w:w="1580" w:type="dxa"/>
            <w:vAlign w:val="bottom"/>
            <w:gridSpan w:val="2"/>
          </w:tcPr>
          <w:p>
            <w:pPr>
              <w:jc w:val="center"/>
              <w:ind w:right="60"/>
              <w:spacing w:after="0" w:line="116" w:lineRule="exact"/>
              <w:rPr>
                <w:sz w:val="20"/>
                <w:szCs w:val="20"/>
                <w:color w:val="auto"/>
              </w:rPr>
            </w:pPr>
            <w:r>
              <w:rPr>
                <w:rFonts w:ascii="Arial" w:cs="Arial" w:eastAsia="Arial" w:hAnsi="Arial"/>
                <w:sz w:val="13"/>
                <w:szCs w:val="13"/>
                <w:b w:val="1"/>
                <w:bCs w:val="1"/>
                <w:color w:val="auto"/>
                <w:w w:val="86"/>
              </w:rPr>
              <w:t>As of</w:t>
            </w:r>
          </w:p>
        </w:tc>
        <w:tc>
          <w:tcPr>
            <w:tcW w:w="15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September 30,</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9"/>
        </w:trPr>
        <w:tc>
          <w:tcPr>
            <w:tcW w:w="2060" w:type="dxa"/>
            <w:vAlign w:val="bottom"/>
          </w:tcPr>
          <w:p>
            <w:pPr>
              <w:spacing w:after="0"/>
              <w:rPr>
                <w:sz w:val="13"/>
                <w:szCs w:val="13"/>
                <w:color w:val="auto"/>
              </w:rPr>
            </w:pP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15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3"/>
                <w:szCs w:val="13"/>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c>
          <w:tcPr>
            <w:tcW w:w="0" w:type="dxa"/>
            <w:vAlign w:val="bottom"/>
          </w:tcPr>
          <w:p>
            <w:pPr>
              <w:spacing w:after="0"/>
              <w:rPr>
                <w:sz w:val="1"/>
                <w:szCs w:val="1"/>
                <w:color w:val="auto"/>
              </w:rPr>
            </w:pPr>
          </w:p>
        </w:tc>
      </w:tr>
      <w:tr>
        <w:trPr>
          <w:trHeight w:val="196"/>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Payor A</w:t>
            </w: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Payor B</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Payor C</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Payor D</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Payor 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4"/>
        </w:trPr>
        <w:tc>
          <w:tcPr>
            <w:tcW w:w="3020" w:type="dxa"/>
            <w:vAlign w:val="bottom"/>
            <w:gridSpan w:val="2"/>
          </w:tcPr>
          <w:p>
            <w:pPr>
              <w:ind w:left="20"/>
              <w:spacing w:after="0"/>
              <w:rPr>
                <w:sz w:val="20"/>
                <w:szCs w:val="20"/>
                <w:color w:val="auto"/>
              </w:rPr>
            </w:pPr>
            <w:r>
              <w:rPr>
                <w:rFonts w:ascii="Arial" w:cs="Arial" w:eastAsia="Arial" w:hAnsi="Arial"/>
                <w:sz w:val="16"/>
                <w:szCs w:val="16"/>
                <w:color w:val="auto"/>
              </w:rPr>
              <w:t>*less than 10%</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0"/>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764"/>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94" w:right="31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The Company is subject to a concentration of risk from a limited number of suppliers for certain reagents and laboratory supplies. One supplier accounted for approximately 8% and 12% for the three months ended September 30, 2021 and 2020, respectively and 10% and 9% of purchases of lab supplies, reagents and kits for the nine months ended September 30, 2021 and 2020, respectively. This risk is managed by maintaining a target quantity of surplus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63"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In March 2020, the World Health Organization declared the COVID-19 outbreak a global pandemic. COVID-19 has had, and continues to have, an extensive impact on global health and economic conditions. Many jurisdictions, including those in which the Company has current operations, have implemented measures to combat the spread of COVID-19, such as travel restrictions and shelter in place orders. In addition, the healthcare sector generally experienced a decline in discretionary care services at the onset of the pandemic.</w:t>
      </w:r>
    </w:p>
    <w:p>
      <w:pPr>
        <w:spacing w:after="0" w:line="141"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strains.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34"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September 30, 2021 and December 31, 2020.</w:t>
      </w:r>
    </w:p>
    <w:p>
      <w:pPr>
        <w:spacing w:after="0" w:line="134"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During 2021, the Company received an additional $5.6 million under the PRF distribution, which was recognized in other income (expense), net in the condensed consolidated statements of operations and comprehensive loss.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Cash Equivalents and Restricted Cash</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Cash equivalents consist of amounts invested in money market funds. Carrying values of cash equivalents approximate fair value due to the short-term nature of these instruments.</w:t>
      </w:r>
    </w:p>
    <w:p>
      <w:pPr>
        <w:spacing w:after="0" w:line="116"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As of</w:t>
            </w:r>
          </w:p>
        </w:tc>
        <w:tc>
          <w:tcPr>
            <w:tcW w:w="160" w:type="dxa"/>
            <w:vAlign w:val="bottom"/>
          </w:tcPr>
          <w:p>
            <w:pPr>
              <w:spacing w:after="0"/>
              <w:rPr>
                <w:sz w:val="12"/>
                <w:szCs w:val="12"/>
                <w:color w:val="auto"/>
              </w:rPr>
            </w:pPr>
          </w:p>
        </w:tc>
        <w:tc>
          <w:tcPr>
            <w:tcW w:w="1320" w:type="dxa"/>
            <w:vAlign w:val="bottom"/>
          </w:tcPr>
          <w:p>
            <w:pPr>
              <w:jc w:val="right"/>
              <w:ind w:right="527"/>
              <w:spacing w:after="0"/>
              <w:rPr>
                <w:sz w:val="20"/>
                <w:szCs w:val="20"/>
                <w:color w:val="auto"/>
              </w:rPr>
            </w:pPr>
            <w:r>
              <w:rPr>
                <w:rFonts w:ascii="Arial" w:cs="Arial" w:eastAsia="Arial" w:hAnsi="Arial"/>
                <w:sz w:val="13"/>
                <w:szCs w:val="13"/>
                <w:b w:val="1"/>
                <w:bCs w:val="1"/>
                <w:color w:val="auto"/>
              </w:rPr>
              <w:t>As of</w:t>
            </w:r>
          </w:p>
        </w:tc>
      </w:tr>
      <w:tr>
        <w:trPr>
          <w:trHeight w:val="166"/>
        </w:trPr>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 2021</w:t>
            </w:r>
          </w:p>
        </w:tc>
        <w:tc>
          <w:tcPr>
            <w:tcW w:w="160" w:type="dxa"/>
            <w:vAlign w:val="bottom"/>
          </w:tcPr>
          <w:p>
            <w:pPr>
              <w:spacing w:after="0"/>
              <w:rPr>
                <w:sz w:val="14"/>
                <w:szCs w:val="14"/>
                <w:color w:val="auto"/>
              </w:rPr>
            </w:pPr>
          </w:p>
        </w:tc>
        <w:tc>
          <w:tcPr>
            <w:tcW w:w="1320" w:type="dxa"/>
            <w:vAlign w:val="bottom"/>
          </w:tcPr>
          <w:p>
            <w:pPr>
              <w:jc w:val="right"/>
              <w:ind w:right="167"/>
              <w:spacing w:after="0"/>
              <w:rPr>
                <w:sz w:val="20"/>
                <w:szCs w:val="20"/>
                <w:color w:val="auto"/>
              </w:rPr>
            </w:pPr>
            <w:r>
              <w:rPr>
                <w:rFonts w:ascii="Arial" w:cs="Arial" w:eastAsia="Arial" w:hAnsi="Arial"/>
                <w:sz w:val="13"/>
                <w:szCs w:val="13"/>
                <w:b w:val="1"/>
                <w:bCs w:val="1"/>
                <w:color w:val="auto"/>
                <w:w w:val="90"/>
              </w:rPr>
              <w:t>December 31, 2020</w:t>
            </w:r>
          </w:p>
        </w:tc>
      </w:tr>
      <w:tr>
        <w:trPr>
          <w:trHeight w:val="19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461,276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108,132</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10,828</w:t>
            </w: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118,960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Restricted cash as of September 30, 2021 consists of money market deposit accounts that secure an irrevocable standby letter of credit that serves as collateral for security deposit operating leases (see Note 9).</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Liability</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As of the consummation of the Merger in July 2021, there were 21,995,000 warrants to purchase shares of Class A common stock outstanding, including 14,758,333 public warrants and 7,236,667 private placement warrants. As of September 30,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294" w:right="31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 common stock at an exercise price of $11.50 per share, subject to adjustment, at any time commencing on September 4, 2021.</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redeem the outstanding public warrants if the price per share of the common stock equals or exceeds $18.00 as described below:</w:t>
      </w:r>
    </w:p>
    <w:p>
      <w:pPr>
        <w:spacing w:after="0" w:line="222" w:lineRule="exact"/>
        <w:rPr>
          <w:sz w:val="20"/>
          <w:szCs w:val="20"/>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price of $0.01 per public warrant;</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to each warrant holder; and</w:t>
      </w:r>
    </w:p>
    <w:p>
      <w:pPr>
        <w:spacing w:after="0" w:line="150"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redeem the outstanding public warrants if the price per share of the common stock equals or exceeds $10.00 as described below:</w:t>
      </w:r>
    </w:p>
    <w:p>
      <w:pPr>
        <w:spacing w:after="0" w:line="222" w:lineRule="exact"/>
        <w:rPr>
          <w:sz w:val="20"/>
          <w:szCs w:val="20"/>
          <w:color w:val="auto"/>
        </w:rPr>
      </w:pPr>
    </w:p>
    <w:p>
      <w:pPr>
        <w:ind w:left="560" w:hanging="278"/>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50"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104"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6"/>
          <w:szCs w:val="16"/>
          <w:color w:val="auto"/>
        </w:rPr>
      </w:pPr>
    </w:p>
    <w:p>
      <w:pPr>
        <w:jc w:val="both"/>
        <w:ind w:left="560" w:hanging="278"/>
        <w:spacing w:after="0" w:line="262"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6"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were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Earn-out contingent liability</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320" w:top="294"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September 30, 2021 was $61.4 million.</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As for the earn-out RSUs for the Legacy Sema4 option holders, the vesting of such arrangement is conditioned on the satisfaction of both the service requirement and on the satisfaction of a market-based requirement. Therefore, the Company accounts for this arrangement in accordance with ASC 718- Compensation — Stock Compensation (“ASC 718”) and no amounts have been recorded in relation to the earn-out RSU during the quarter because they were not granted to the option holders during the three and nine months ended on September 30, 2021.</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estimated fair value of the earn-out is determined using a Monte Carlo valuation analysis.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Internal-Use Software Costs</w:t>
      </w:r>
    </w:p>
    <w:p>
      <w:pPr>
        <w:spacing w:after="0" w:line="163" w:lineRule="exact"/>
        <w:rPr>
          <w:sz w:val="20"/>
          <w:szCs w:val="20"/>
          <w:color w:val="auto"/>
        </w:rPr>
      </w:pPr>
    </w:p>
    <w:p>
      <w:pPr>
        <w:jc w:val="both"/>
        <w:ind w:right="20" w:firstLine="287"/>
        <w:spacing w:after="0" w:line="295" w:lineRule="auto"/>
        <w:rPr>
          <w:sz w:val="20"/>
          <w:szCs w:val="20"/>
          <w:color w:val="auto"/>
        </w:rPr>
      </w:pPr>
      <w:r>
        <w:rPr>
          <w:rFonts w:ascii="Arial" w:cs="Arial" w:eastAsia="Arial" w:hAnsi="Arial"/>
          <w:sz w:val="14"/>
          <w:szCs w:val="14"/>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Emerging Growth Company</w:t>
      </w:r>
    </w:p>
    <w:p>
      <w:pPr>
        <w:spacing w:after="0" w:line="163" w:lineRule="exact"/>
        <w:rPr>
          <w:sz w:val="20"/>
          <w:szCs w:val="20"/>
          <w:color w:val="auto"/>
        </w:rPr>
      </w:pPr>
    </w:p>
    <w:p>
      <w:pPr>
        <w:jc w:val="both"/>
        <w:ind w:right="20" w:firstLine="287"/>
        <w:spacing w:after="0" w:line="280"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unaudited condensed consolidated financial statements as the Company is not currently a participant in any such collaborative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6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February 2016, the FASB issued ASU 2016-02, Leases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294" w:right="31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and determining incremental borrowing rate and complete population of the leases for evaluation.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02"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36"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 Customer’s Accounting for Implementation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Costs Incurred in a Cloud Computing Arrangement That Is a Service Contract </w:t>
      </w:r>
      <w:r>
        <w:rPr>
          <w:rFonts w:ascii="Arial" w:cs="Arial" w:eastAsia="Arial" w:hAnsi="Arial"/>
          <w:sz w:val="15"/>
          <w:szCs w:val="15"/>
          <w:color w:val="auto"/>
        </w:rPr>
        <w:t>(“ASU 2018-15”), which aligns the requirements for capitalizing implementation costs incurred</w:t>
      </w:r>
      <w:r>
        <w:rPr>
          <w:rFonts w:ascii="Arial" w:cs="Arial" w:eastAsia="Arial" w:hAnsi="Arial"/>
          <w:sz w:val="15"/>
          <w:szCs w:val="15"/>
          <w:i w:val="1"/>
          <w:iCs w:val="1"/>
          <w:color w:val="auto"/>
        </w:rPr>
        <w:t xml:space="preserve"> </w:t>
      </w:r>
      <w:r>
        <w:rPr>
          <w:rFonts w:ascii="Arial" w:cs="Arial" w:eastAsia="Arial" w:hAnsi="Arial"/>
          <w:sz w:val="15"/>
          <w:szCs w:val="15"/>
          <w:color w:val="auto"/>
        </w:rPr>
        <w:t>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Additionally, ASU 2018-15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expecting to prospectively apply amendments to all implementation costs incurred after the date of adoption.</w:t>
      </w:r>
    </w:p>
    <w:p>
      <w:pPr>
        <w:spacing w:after="0" w:line="164" w:lineRule="exact"/>
        <w:rPr>
          <w:sz w:val="20"/>
          <w:szCs w:val="20"/>
          <w:color w:val="auto"/>
        </w:rPr>
      </w:pPr>
    </w:p>
    <w:p>
      <w:pPr>
        <w:jc w:val="both"/>
        <w:ind w:right="20" w:firstLine="287"/>
        <w:spacing w:after="0" w:line="242"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Business Combination</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discussed in Note 1, on July 22, 2021, the Company consummated the Business Combination and received net cash proceeds of $510.0 million.</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Pursuant to the Business Combination, the following occurred:</w:t>
      </w:r>
    </w:p>
    <w:p>
      <w:pPr>
        <w:spacing w:after="0" w:line="20" w:lineRule="exact"/>
        <w:rPr>
          <w:sz w:val="20"/>
          <w:szCs w:val="20"/>
          <w:color w:val="auto"/>
        </w:rPr>
      </w:pPr>
    </w:p>
    <w:p>
      <w:pPr>
        <w:jc w:val="both"/>
        <w:ind w:left="560" w:hanging="278"/>
        <w:spacing w:after="0" w:line="254"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320" w:top="294" w:right="31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310" w:lineRule="exact"/>
        <w:rPr>
          <w:sz w:val="20"/>
          <w:szCs w:val="20"/>
          <w:color w:val="auto"/>
        </w:rPr>
      </w:pPr>
    </w:p>
    <w:p>
      <w:pPr>
        <w:ind w:left="560" w:hanging="27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share of CMLS’s Class B common stock was automatically converted into common stock of the Company.</w:t>
      </w:r>
    </w:p>
    <w:p>
      <w:pPr>
        <w:spacing w:after="0" w:line="150" w:lineRule="exact"/>
        <w:rPr>
          <w:rFonts w:ascii="Arial" w:cs="Arial" w:eastAsia="Arial" w:hAnsi="Arial"/>
          <w:sz w:val="16"/>
          <w:szCs w:val="16"/>
          <w:color w:val="auto"/>
        </w:rPr>
      </w:pPr>
    </w:p>
    <w:p>
      <w:pPr>
        <w:jc w:val="both"/>
        <w:ind w:left="560" w:hanging="278"/>
        <w:spacing w:after="0" w:line="317" w:lineRule="auto"/>
        <w:tabs>
          <w:tab w:leader="none" w:pos="556" w:val="left"/>
        </w:tabs>
        <w:numPr>
          <w:ilvl w:val="0"/>
          <w:numId w:val="7"/>
        </w:numPr>
        <w:rPr>
          <w:rFonts w:ascii="Arial" w:cs="Arial" w:eastAsia="Arial" w:hAnsi="Arial"/>
          <w:sz w:val="14"/>
          <w:szCs w:val="14"/>
          <w:color w:val="auto"/>
        </w:rPr>
      </w:pPr>
      <w:r>
        <w:rPr>
          <w:rFonts w:ascii="Arial" w:cs="Arial" w:eastAsia="Arial" w:hAnsi="Arial"/>
          <w:sz w:val="14"/>
          <w:szCs w:val="14"/>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79" w:lineRule="exact"/>
        <w:rPr>
          <w:rFonts w:ascii="Arial" w:cs="Arial" w:eastAsia="Arial" w:hAnsi="Arial"/>
          <w:sz w:val="14"/>
          <w:szCs w:val="14"/>
          <w:color w:val="auto"/>
        </w:rPr>
      </w:pPr>
    </w:p>
    <w:p>
      <w:pPr>
        <w:jc w:val="both"/>
        <w:ind w:left="560" w:hanging="278"/>
        <w:spacing w:after="0" w:line="262"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4"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128"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Diagnostic Revenue</w:t>
      </w:r>
    </w:p>
    <w:p>
      <w:pPr>
        <w:spacing w:after="0" w:line="175"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The majority of the Company’s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294" w:right="31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Disaggregated revenue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tables summarize the Company’s revenue disaggregated by type of customer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Three months ended September 30,</w:t>
            </w:r>
          </w:p>
        </w:tc>
      </w:tr>
      <w:tr>
        <w:trPr>
          <w:trHeight w:val="163"/>
        </w:trPr>
        <w:tc>
          <w:tcPr>
            <w:tcW w:w="8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Diagnostic test revenue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Patients with third-party insurance</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36,738</w:t>
            </w:r>
          </w:p>
        </w:tc>
        <w:tc>
          <w:tcPr>
            <w:tcW w:w="100" w:type="dxa"/>
            <w:vAlign w:val="bottom"/>
          </w:tcPr>
          <w:p>
            <w:pPr>
              <w:spacing w:after="0"/>
              <w:rPr>
                <w:sz w:val="17"/>
                <w:szCs w:val="17"/>
                <w:color w:val="auto"/>
              </w:rPr>
            </w:pPr>
          </w:p>
        </w:tc>
        <w:tc>
          <w:tcPr>
            <w:tcW w:w="880" w:type="dxa"/>
            <w:vAlign w:val="bottom"/>
          </w:tcPr>
          <w:p>
            <w:pPr>
              <w:jc w:val="right"/>
              <w:ind w:right="7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31,627</w:t>
            </w: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Institutional customers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r>
      <w:tr>
        <w:trPr>
          <w:trHeight w:val="203"/>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Self-pay patients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diagnostic test revenue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37,893</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43,178</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8200" w:type="dxa"/>
            <w:vAlign w:val="bottom"/>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Borders>
              <w:bottom w:val="single" w:sz="8" w:color="auto"/>
            </w:tcBorders>
          </w:tcPr>
          <w:p>
            <w:pPr>
              <w:spacing w:after="0"/>
              <w:rPr>
                <w:sz w:val="24"/>
                <w:szCs w:val="2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Diagnostic test revenue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8200" w:type="dxa"/>
            <w:vAlign w:val="bottom"/>
          </w:tcPr>
          <w:p>
            <w:pPr>
              <w:ind w:left="160"/>
              <w:spacing w:after="0"/>
              <w:rPr>
                <w:sz w:val="20"/>
                <w:szCs w:val="20"/>
                <w:color w:val="auto"/>
              </w:rPr>
            </w:pPr>
            <w:r>
              <w:rPr>
                <w:rFonts w:ascii="Arial" w:cs="Arial" w:eastAsia="Arial" w:hAnsi="Arial"/>
                <w:sz w:val="16"/>
                <w:szCs w:val="16"/>
                <w:color w:val="auto"/>
              </w:rPr>
              <w:t>Patients with third-party insurance</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123,395</w:t>
            </w:r>
          </w:p>
        </w:tc>
        <w:tc>
          <w:tcPr>
            <w:tcW w:w="100" w:type="dxa"/>
            <w:vAlign w:val="bottom"/>
          </w:tcPr>
          <w:p>
            <w:pPr>
              <w:spacing w:after="0"/>
              <w:rPr>
                <w:sz w:val="17"/>
                <w:szCs w:val="17"/>
                <w:color w:val="auto"/>
              </w:rPr>
            </w:pPr>
          </w:p>
        </w:tc>
        <w:tc>
          <w:tcPr>
            <w:tcW w:w="880" w:type="dxa"/>
            <w:vAlign w:val="bottom"/>
          </w:tcPr>
          <w:p>
            <w:pPr>
              <w:jc w:val="right"/>
              <w:ind w:right="7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6"/>
              </w:rPr>
              <w:t>103,422</w:t>
            </w:r>
          </w:p>
        </w:tc>
      </w:tr>
      <w:tr>
        <w:trPr>
          <w:trHeight w:val="203"/>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Institutional customers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8,948</w:t>
            </w:r>
          </w:p>
        </w:tc>
      </w:tr>
      <w:tr>
        <w:trPr>
          <w:trHeight w:val="203"/>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Self-pay patients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diagnostic test revenue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148,973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113,759</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154,394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115,365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Reassessment of variable consideration</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8"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For the three months ended September 30, 2021, the quarterly change in estimate resulted in a net $0.6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September 30, 2020, the quarterly change in estimate did not result in material adjustments to the Company’s previously reported revenue or accounts receivable amounts.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 represent partially unsatisfied performance obligations as of September 30, 2021. The revenues under existing collaboration service agreements with original expected durations of more than one year are estimated to be approximately $10.7 million. The Company expects to recognize the majority of this revenue over the next 4 years.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63"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70"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294"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reconciliation of the beginning and ending balances of contract assets and contract liabilities is shown in the table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Contract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25"/>
              <w:spacing w:after="0"/>
              <w:rPr>
                <w:sz w:val="20"/>
                <w:szCs w:val="20"/>
                <w:color w:val="auto"/>
              </w:rPr>
            </w:pPr>
            <w:r>
              <w:rPr>
                <w:rFonts w:ascii="Arial" w:cs="Arial" w:eastAsia="Arial" w:hAnsi="Arial"/>
                <w:sz w:val="13"/>
                <w:szCs w:val="13"/>
                <w:b w:val="1"/>
                <w:bCs w:val="1"/>
                <w:color w:val="auto"/>
              </w:rPr>
              <w:t>Contract</w:t>
            </w:r>
          </w:p>
        </w:tc>
      </w:tr>
      <w:tr>
        <w:trPr>
          <w:trHeight w:val="166"/>
        </w:trPr>
        <w:tc>
          <w:tcPr>
            <w:tcW w:w="82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Assets</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Liabilities</w:t>
            </w: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3,811</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Contract asset additions</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prepayments</w:t>
            </w:r>
          </w:p>
        </w:tc>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1,723</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 recognized</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 2021</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2,965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3,458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The decrease in contract liabilities as of September 30, 2021 is primarily due to the execution of the performance obligations during the period. The Company presents contract assets and contract liabilities with respect to customer contracts on a net basis on its condensed consolidated balance sheets. As of September 30, 2021 and December 31, 2020, $0.5 million and $1.8 million is recorded as current contract liabilities, respectively.</w:t>
      </w:r>
    </w:p>
    <w:p>
      <w:pPr>
        <w:spacing w:after="0" w:line="12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Revenues recognized that were included in the contract liability balance at the beginning of each period were $0.3 million and $0.1 million, respectively, for the three months ended September 30, 2021 and September 30, 2020 and $2.1 million and $0.3 million for the nine months ended September 30, 2021 and September 30, 2020.</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to fulfill contracts</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consolidated balance sheets as current or non-current based upon forecasted performance.</w:t>
      </w:r>
    </w:p>
    <w:p>
      <w:pPr>
        <w:spacing w:after="0" w:line="1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As of September 30, 2021 and December 31, 2020, the Company had outstanding deferred costs to fulfill contracts of $2.2 million and $3.0 million, respectively. As of September 30, 2021 and December 31, 2020, all outstanding deferred costs were recorded as prepaid expenses and other current assets.</w:t>
      </w:r>
    </w:p>
    <w:p>
      <w:pPr>
        <w:spacing w:after="0" w:line="128"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Amortization of deferred costs was $0.3 million and $0.2 million for the three months ended September 30, 2021 and 2020, respectively and $0.9 million and $0.7 million for the nine months ended September 30, 2021 and 2020, respectively. The amortization of these costs is recorded in the cost of services on the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26"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both"/>
        <w:ind w:right="20" w:firstLine="287"/>
        <w:spacing w:after="0" w:line="317" w:lineRule="auto"/>
        <w:rPr>
          <w:sz w:val="20"/>
          <w:szCs w:val="20"/>
          <w:color w:val="auto"/>
        </w:rPr>
      </w:pPr>
      <w:r>
        <w:rPr>
          <w:rFonts w:ascii="Arial" w:cs="Arial" w:eastAsia="Arial" w:hAnsi="Arial"/>
          <w:sz w:val="14"/>
          <w:szCs w:val="14"/>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Observable inputs such as quoted prices (unadjusted) in active markets that are accessible at the measurement date for identical assets or liabilities.</w:t>
      </w:r>
    </w:p>
    <w:p>
      <w:pPr>
        <w:spacing w:after="0" w:line="234" w:lineRule="exact"/>
        <w:rPr>
          <w:sz w:val="20"/>
          <w:szCs w:val="20"/>
          <w:color w:val="auto"/>
        </w:rPr>
      </w:pPr>
    </w:p>
    <w:p>
      <w:pPr>
        <w:ind w:left="360" w:right="20"/>
        <w:spacing w:after="0" w:line="275"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inputs such as quoted prices for similar instruments in active markets, quoted prices for identical or similar instruments in markets that are not active</w:t>
      </w:r>
      <w:r>
        <w:rPr>
          <w:rFonts w:ascii="Arial" w:cs="Arial" w:eastAsia="Arial" w:hAnsi="Arial"/>
          <w:sz w:val="16"/>
          <w:szCs w:val="16"/>
          <w:i w:val="1"/>
          <w:iCs w:val="1"/>
          <w:color w:val="auto"/>
        </w:rPr>
        <w:t xml:space="preserve"> </w:t>
      </w:r>
      <w:r>
        <w:rPr>
          <w:rFonts w:ascii="Arial" w:cs="Arial" w:eastAsia="Arial" w:hAnsi="Arial"/>
          <w:sz w:val="16"/>
          <w:szCs w:val="16"/>
          <w:color w:val="auto"/>
        </w:rPr>
        <w:t>or model-derived valuations whose significant inputs are observable.</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significant to the measurement of fair value but are supported by little to no market data.</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320" w:top="294" w:right="31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The Company’s financial assets and liabilities consist of cash and cash equivalents, restricted cash, accounts receivable, accounts payable, accrued liabilities, capital leases, warrant liability, earn-out contingent liability and long-term debt. The Company’s cash and cash equivalents, restricted cash, accounts receivable, accounts payable and accrued liabilities approximate their fair value due to the relatively short-term nature of these accounts.</w:t>
      </w:r>
    </w:p>
    <w:p>
      <w:pPr>
        <w:spacing w:after="0" w:line="1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As of September 30, 2021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3"/>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424"/>
              <w:spacing w:after="0"/>
              <w:rPr>
                <w:sz w:val="20"/>
                <w:szCs w:val="20"/>
                <w:color w:val="auto"/>
              </w:rPr>
            </w:pPr>
            <w:r>
              <w:rPr>
                <w:rFonts w:ascii="Arial" w:cs="Arial" w:eastAsia="Arial" w:hAnsi="Arial"/>
                <w:sz w:val="13"/>
                <w:szCs w:val="13"/>
                <w:b w:val="1"/>
                <w:bCs w:val="1"/>
                <w:color w:val="auto"/>
              </w:rPr>
              <w:t>Level 3</w:t>
            </w:r>
          </w:p>
        </w:tc>
      </w:tr>
      <w:tr>
        <w:trPr>
          <w:trHeight w:val="18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451,784</w:t>
            </w:r>
          </w:p>
        </w:tc>
        <w:tc>
          <w:tcPr>
            <w:tcW w:w="8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451,784</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2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assets</w:t>
            </w: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6"/>
                <w:szCs w:val="16"/>
                <w:color w:val="auto"/>
              </w:rPr>
              <w:t>Public warrant liability</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31,287</w:t>
            </w:r>
          </w:p>
        </w:tc>
        <w:tc>
          <w:tcPr>
            <w:tcW w:w="8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31,287</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warrant liability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3"/>
        </w:trPr>
        <w:tc>
          <w:tcPr>
            <w:tcW w:w="5560" w:type="dxa"/>
            <w:vAlign w:val="bottom"/>
          </w:tcPr>
          <w:p>
            <w:pPr>
              <w:ind w:left="20"/>
              <w:spacing w:after="0"/>
              <w:rPr>
                <w:sz w:val="20"/>
                <w:szCs w:val="20"/>
                <w:color w:val="auto"/>
              </w:rPr>
            </w:pPr>
            <w:r>
              <w:rPr>
                <w:rFonts w:ascii="Arial" w:cs="Arial" w:eastAsia="Arial" w:hAnsi="Arial"/>
                <w:sz w:val="16"/>
                <w:szCs w:val="16"/>
                <w:color w:val="auto"/>
              </w:rPr>
              <w:t>Earn-out contingent liability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61,400</w:t>
            </w:r>
          </w:p>
        </w:tc>
      </w:tr>
      <w:tr>
        <w:trPr>
          <w:trHeight w:val="22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61,400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As of December 31, 2020</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3"/>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424"/>
              <w:spacing w:after="0"/>
              <w:rPr>
                <w:sz w:val="20"/>
                <w:szCs w:val="20"/>
                <w:color w:val="auto"/>
              </w:rPr>
            </w:pPr>
            <w:r>
              <w:rPr>
                <w:rFonts w:ascii="Arial" w:cs="Arial" w:eastAsia="Arial" w:hAnsi="Arial"/>
                <w:sz w:val="13"/>
                <w:szCs w:val="13"/>
                <w:b w:val="1"/>
                <w:bCs w:val="1"/>
                <w:color w:val="auto"/>
              </w:rPr>
              <w:t>Level 3</w:t>
            </w:r>
          </w:p>
        </w:tc>
      </w:tr>
      <w:tr>
        <w:trPr>
          <w:trHeight w:val="18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92,940</w:t>
            </w:r>
          </w:p>
        </w:tc>
        <w:tc>
          <w:tcPr>
            <w:tcW w:w="8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92,940</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2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assets</w:t>
            </w: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September 30, 2021 and December 31, 2020, money market funds are classified within Level 1 of the fair value hierarchy as the fair value is based on quoted prices in active markets.</w:t>
      </w:r>
    </w:p>
    <w:p>
      <w:pPr>
        <w:spacing w:after="0" w:line="319"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September 30,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69" w:lineRule="exact"/>
        <w:rPr>
          <w:sz w:val="20"/>
          <w:szCs w:val="20"/>
          <w:color w:val="auto"/>
        </w:rPr>
      </w:pPr>
    </w:p>
    <w:p>
      <w:pPr>
        <w:jc w:val="both"/>
        <w:ind w:firstLine="287"/>
        <w:spacing w:after="0" w:line="241" w:lineRule="auto"/>
        <w:rPr>
          <w:sz w:val="20"/>
          <w:szCs w:val="20"/>
          <w:color w:val="auto"/>
        </w:rPr>
      </w:pPr>
      <w:r>
        <w:rPr>
          <w:rFonts w:ascii="Arial" w:cs="Arial" w:eastAsia="Arial" w:hAnsi="Arial"/>
          <w:sz w:val="15"/>
          <w:szCs w:val="15"/>
          <w:color w:val="auto"/>
        </w:rPr>
        <w:t>The contingent obligation to issue earn-out shares for Legacy Sema4 stockholders was accounted for as a liability and required remeasurement at each reporting date. The estimated fair value of the total earn-out shares as of September 30,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 operating metrics. The key assumptions utilized in the valuation included the Company’s stock price of $7.59, expected volatility of 67.5%, risk-free rate of 0.24%, and an expected term of 1.8 years. The earn-out contingent liability is categorized as Level 3 of the fair value hierarchy as the Company utilizes unobservable inputs in estimating volatility rate. Initial fair value determined and recorded at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294"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9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Closing Date was $143.1 million and a gain of $81.7 million was recorded in the change in fair market value of warrant and earn-out contingent liabilities in the condensed consolidated statements of operations and comprehensive loss based on re-measurement performed as of September 30, 2021.</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transfers between Level 1, Level 2 and Level 3 during the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Property and Equipment</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As of</w:t>
            </w:r>
          </w:p>
        </w:tc>
        <w:tc>
          <w:tcPr>
            <w:tcW w:w="220" w:type="dxa"/>
            <w:vAlign w:val="bottom"/>
          </w:tcPr>
          <w:p>
            <w:pPr>
              <w:spacing w:after="0"/>
              <w:rPr>
                <w:sz w:val="13"/>
                <w:szCs w:val="13"/>
                <w:color w:val="auto"/>
              </w:rPr>
            </w:pPr>
          </w:p>
        </w:tc>
        <w:tc>
          <w:tcPr>
            <w:tcW w:w="1260" w:type="dxa"/>
            <w:vAlign w:val="bottom"/>
          </w:tcPr>
          <w:p>
            <w:pPr>
              <w:jc w:val="center"/>
              <w:ind w:right="144"/>
              <w:spacing w:after="0"/>
              <w:rPr>
                <w:sz w:val="20"/>
                <w:szCs w:val="20"/>
                <w:color w:val="auto"/>
              </w:rPr>
            </w:pPr>
            <w:r>
              <w:rPr>
                <w:rFonts w:ascii="Arial" w:cs="Arial" w:eastAsia="Arial" w:hAnsi="Arial"/>
                <w:sz w:val="13"/>
                <w:szCs w:val="13"/>
                <w:b w:val="1"/>
                <w:bCs w:val="1"/>
                <w:color w:val="auto"/>
                <w:w w:val="86"/>
              </w:rPr>
              <w:t>As of</w:t>
            </w:r>
          </w:p>
        </w:tc>
      </w:tr>
      <w:tr>
        <w:trPr>
          <w:trHeight w:val="119"/>
        </w:trPr>
        <w:tc>
          <w:tcPr>
            <w:tcW w:w="8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87"/>
              </w:rPr>
              <w:t>September 30,</w:t>
            </w:r>
          </w:p>
        </w:tc>
        <w:tc>
          <w:tcPr>
            <w:tcW w:w="220" w:type="dxa"/>
            <w:vAlign w:val="bottom"/>
          </w:tcPr>
          <w:p>
            <w:pPr>
              <w:spacing w:after="0"/>
              <w:rPr>
                <w:sz w:val="10"/>
                <w:szCs w:val="10"/>
                <w:color w:val="auto"/>
              </w:rPr>
            </w:pPr>
          </w:p>
        </w:tc>
        <w:tc>
          <w:tcPr>
            <w:tcW w:w="1260" w:type="dxa"/>
            <w:vAlign w:val="bottom"/>
          </w:tcPr>
          <w:p>
            <w:pPr>
              <w:jc w:val="center"/>
              <w:ind w:right="164"/>
              <w:spacing w:after="0" w:line="119" w:lineRule="exact"/>
              <w:rPr>
                <w:sz w:val="20"/>
                <w:szCs w:val="20"/>
                <w:color w:val="auto"/>
              </w:rPr>
            </w:pPr>
            <w:r>
              <w:rPr>
                <w:rFonts w:ascii="Arial" w:cs="Arial" w:eastAsia="Arial" w:hAnsi="Arial"/>
                <w:sz w:val="13"/>
                <w:szCs w:val="13"/>
                <w:b w:val="1"/>
                <w:bCs w:val="1"/>
                <w:color w:val="auto"/>
                <w:w w:val="87"/>
              </w:rPr>
              <w:t>December 31,</w:t>
            </w:r>
          </w:p>
        </w:tc>
      </w:tr>
      <w:tr>
        <w:trPr>
          <w:trHeight w:val="166"/>
        </w:trPr>
        <w:tc>
          <w:tcPr>
            <w:tcW w:w="8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89"/>
              </w:rPr>
              <w:t>2020</w:t>
            </w: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22,818</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Equipment under capital leases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20,743</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16,736</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14,631</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under capital lease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6,276</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Construction in-progress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4,673</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4,118</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fixtures and other equipment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3,214</w:t>
            </w:r>
          </w:p>
        </w:tc>
      </w:tr>
      <w:tr>
        <w:trPr>
          <w:trHeight w:val="195"/>
        </w:trPr>
        <w:tc>
          <w:tcPr>
            <w:tcW w:w="8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property and equipment</w:t>
            </w: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93,209</w:t>
            </w:r>
          </w:p>
        </w:tc>
      </w:tr>
      <w:tr>
        <w:trPr>
          <w:trHeight w:val="19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(30,099)</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63,110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287"/>
        <w:spacing w:after="0" w:line="306" w:lineRule="auto"/>
        <w:rPr>
          <w:sz w:val="20"/>
          <w:szCs w:val="20"/>
          <w:color w:val="auto"/>
        </w:rPr>
      </w:pPr>
      <w:r>
        <w:rPr>
          <w:rFonts w:ascii="Arial" w:cs="Arial" w:eastAsia="Arial" w:hAnsi="Arial"/>
          <w:sz w:val="14"/>
          <w:szCs w:val="14"/>
          <w:color w:val="auto"/>
        </w:rPr>
        <w:t>For the three months ended September 30, 2021 and 2020, depreciation and amortization expense was $5.5 million and $3.1 million. For the nine months ended September 30, 2021 and 2020, depreciation and amortization expense was $16.0 million and $8.1 million, respectively. This included software amortization expense of $1.4 million and $0.8 million for the three months ended September 30, 2021 and 2020 and $4.0 million and $2.0 million for the nine months ended September 30, 2021 and 2020, respectively. Depreciation and amortization expense is included within the condensed consolidated statements of operations and comprehensive loss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1,983</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depreciation and amortization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3,067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820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10,824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5,805</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1,650</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depreciation and amortization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16,012</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8,147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Related Party Transactions</w:t>
      </w:r>
    </w:p>
    <w:p>
      <w:pPr>
        <w:spacing w:after="0" w:line="167"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On June 1, 2017, the Company signed a contribution and funding agreement and other agreements with ISMMS, whereby ISMMS contributed certain assets and liabilities related to the Company’s operations, provided certain services 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294" w:right="31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9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For three and nine months ended September 30, 2021 and 2020, the Company incurred certain related party costs. Expenses recognized under the TSA totaled $0 and $1.7 million for the three months ended September 30, 2021 and 2020, respectively and $1.4 million and $5.5 million for the nine months ended September 30, 2021 and 2020 and are presented within related party expenses in the condensed consolidated statements of operations and comprehensive loss. The Company had TSA payables due to ISMMS of $0 and $0.6 million as of September 30, 2021 and December 31, 2020, respectively. These amounts are included within due to related parties on the Company’s condensed consolidated balance sheets.</w:t>
      </w:r>
    </w:p>
    <w:p>
      <w:pPr>
        <w:spacing w:after="0" w:line="13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Expenses recognized pursuant to other service arrangements with ISMMS totaled $1.5 million and $0.6 million for the three months ended September 30, 2021 and 2020 and $4.1 million and $2.2 million for the nine months ended September 30, 2021 and 2020, respectively. These amounts are included in either cost of services or related party expenses on the condensed consolidated statements of operations and comprehensive loss depending on the particular activity to which the costs relate. Payables due to ISMMS for the other service arrangements were $1.4 million $0.8 million as of September 30, 2021 and December 31, 2020, respectively. These amounts are included within due to related parties on the Company’s condensed consolidated balance sheets.</w:t>
      </w:r>
    </w:p>
    <w:p>
      <w:pPr>
        <w:spacing w:after="0" w:line="14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Total related party costs are included within cost of services and related party expenses in the condensed consolidated statements of operations and comprehensive loss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1,933</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related party costs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2,385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596"/>
        </w:trPr>
        <w:tc>
          <w:tcPr>
            <w:tcW w:w="820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1,485</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6,239</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related party costs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7,724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2016 Funding Commitment</w:t>
      </w:r>
    </w:p>
    <w:p>
      <w:pPr>
        <w:spacing w:after="0" w:line="16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June 2017, ISMMS assigned a loan funding commitment from the Connecticut Department of Economic and Community Development (“DECD”) to the Company (the “DECD Loan Agreement”).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outstanding loan balance from the DECD Loan Agreement was $11.0 million as of September 30, 2021 and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Master Loan Agreement</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 August 2020, the Company entered into a loan and security agreement with a bank (the “Master Loan Agreement”), in which the Company received a loan of $6.3 million and deposited the proceeds into a deposit account held by the bank.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294" w:right="31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The Company was required to make sixty consecutive monthly payments of principal and interest at a fixed monthly amount of $0.1 million beginning in November 2020.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payments were fixed at an annual interest rate of 4.75%.</w:t>
      </w:r>
    </w:p>
    <w:p>
      <w:pPr>
        <w:spacing w:after="0" w:line="150"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The Company recorded the $6.3 million proceeds as restricted cash on the condensed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(expense), net in the condensed consolidated statements of operations and comprehensive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Master Lease Agreement</w:t>
      </w:r>
    </w:p>
    <w:p>
      <w:pPr>
        <w:spacing w:after="0" w:line="175"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29"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29"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The Company recorded the $3.6 million proceeds as restricted cash on the condensed consolidated balance sheets at December 31, 2020. The outstanding loan balance was $3.6 million at December 31, 2020. In July 2021, the Company terminated the Master Lease Agreement by paying off the full amount, including $3.3 million principal and interest and early payment penalties of $0.2 million assessed pursuant to the terms of the agreement which is included in other income (expense), net in the condensed consolidated statements of operations and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Maturities of Long-Term Debt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80" w:type="dxa"/>
            <w:vAlign w:val="bottom"/>
          </w:tcPr>
          <w:p>
            <w:pPr>
              <w:ind w:left="280"/>
              <w:spacing w:after="0"/>
              <w:rPr>
                <w:sz w:val="20"/>
                <w:szCs w:val="20"/>
                <w:color w:val="auto"/>
              </w:rPr>
            </w:pPr>
            <w:r>
              <w:rPr>
                <w:rFonts w:ascii="Arial" w:cs="Arial" w:eastAsia="Arial" w:hAnsi="Arial"/>
                <w:sz w:val="16"/>
                <w:szCs w:val="16"/>
                <w:color w:val="auto"/>
              </w:rPr>
              <w:t>As of September 30, 2021, long-term debt matures as follows (in thousands):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0"/>
        </w:trPr>
        <w:tc>
          <w:tcPr>
            <w:tcW w:w="9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 of year)</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2,131</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w:t>
            </w:r>
          </w:p>
        </w:tc>
      </w:tr>
      <w:tr>
        <w:trPr>
          <w:trHeight w:val="195"/>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maturities of long-term debt</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9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long-term debt, net of current maturities</w:t>
            </w:r>
          </w:p>
        </w:tc>
        <w:tc>
          <w:tcPr>
            <w:tcW w:w="54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63"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The Company’s operating leases consist of office and lab space leases and a ground lease associated with a building under capital lease. The Company has entered into leases of office and lab space with ISMMS, including month-to-month leases in place during the nine months ended September 30, 2021 and 2020. Pursuant to the terms of a lease agreement, the Company was required to have issued an irrevocable standby letter of credit to the lessor for $0.9 million, which was included in restricted cash on the condensed consolidated balance sheets as of September 30, 2021 and December 31,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320" w:top="294" w:right="31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80" w:type="dxa"/>
            <w:vAlign w:val="bottom"/>
          </w:tcPr>
          <w:p>
            <w:pPr>
              <w:ind w:left="4860"/>
              <w:spacing w:after="0"/>
              <w:rPr>
                <w:sz w:val="20"/>
                <w:szCs w:val="20"/>
                <w:color w:val="auto"/>
              </w:rPr>
            </w:pPr>
            <w:r>
              <w:rPr>
                <w:rFonts w:ascii="Arial" w:cs="Arial" w:eastAsia="Arial" w:hAnsi="Arial"/>
                <w:sz w:val="16"/>
                <w:szCs w:val="16"/>
                <w:b w:val="1"/>
                <w:bCs w:val="1"/>
                <w:color w:val="auto"/>
              </w:rPr>
              <w:t>Sema4 Holdings Corp.</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7"/>
        </w:trPr>
        <w:tc>
          <w:tcPr>
            <w:tcW w:w="9780" w:type="dxa"/>
            <w:vAlign w:val="bottom"/>
          </w:tcPr>
          <w:p>
            <w:pPr>
              <w:ind w:left="3380"/>
              <w:spacing w:after="0"/>
              <w:rPr>
                <w:sz w:val="20"/>
                <w:szCs w:val="20"/>
                <w:color w:val="auto"/>
              </w:rPr>
            </w:pPr>
            <w:r>
              <w:rPr>
                <w:rFonts w:ascii="Arial" w:cs="Arial" w:eastAsia="Arial" w:hAnsi="Arial"/>
                <w:sz w:val="16"/>
                <w:szCs w:val="16"/>
                <w:b w:val="1"/>
                <w:bCs w:val="1"/>
                <w:color w:val="auto"/>
              </w:rPr>
              <w:t>Notes to Unaudited Condensed Consolidated Financial Statements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57"/>
        </w:trPr>
        <w:tc>
          <w:tcPr>
            <w:tcW w:w="9780" w:type="dxa"/>
            <w:vAlign w:val="bottom"/>
          </w:tcPr>
          <w:p>
            <w:pPr>
              <w:ind w:left="280"/>
              <w:spacing w:after="0"/>
              <w:rPr>
                <w:sz w:val="20"/>
                <w:szCs w:val="20"/>
                <w:color w:val="auto"/>
              </w:rPr>
            </w:pPr>
            <w:r>
              <w:rPr>
                <w:rFonts w:ascii="Arial" w:cs="Arial" w:eastAsia="Arial" w:hAnsi="Arial"/>
                <w:sz w:val="16"/>
                <w:szCs w:val="16"/>
                <w:color w:val="auto"/>
              </w:rPr>
              <w:t>Future minimum payments under non-cancelable operating leases as of September 30, 2021 are as follows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9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 of year)</w:t>
            </w: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4,383</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4,562</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50,239</w:t>
            </w:r>
          </w:p>
        </w:tc>
      </w:tr>
      <w:tr>
        <w:trPr>
          <w:trHeight w:val="220"/>
        </w:trPr>
        <w:tc>
          <w:tcPr>
            <w:tcW w:w="9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lease obligations</w:t>
            </w:r>
          </w:p>
        </w:tc>
        <w:tc>
          <w:tcPr>
            <w:tcW w:w="52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69,418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Rent expense related to non-cancelable operating leases was $1.4 million for the three months ended September 30, 2021 and 2020, respectively. Rent expense related to month-to-month operating leases was $0.3 million and $0.9 million for the three months ended September 30, 2021 and 2020. Rent expense related to non-cancelable operating leases was $4.3 million and $4.0 million for the nine months ended September 30, 2021 and 2020, respectively. Rent expense related to month-to-month operating leases was $0.9 million and $2.4 million for the nine months ended September 30,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Leases</w:t>
      </w:r>
    </w:p>
    <w:p>
      <w:pPr>
        <w:spacing w:after="0" w:line="175"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The Company entered into various capital lease agreements to obtain laboratory equipment that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10"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Property and equipment under capital leases was $27.7 million and $27.0 million as of September 30, 2021 and December 31, 2020, respectively. Accumulated amortization on capital lease assets was $12.6 million and $9.7 million on September 30, 2021 and December 31, 2020, respectively.</w:t>
      </w:r>
    </w:p>
    <w:p>
      <w:pPr>
        <w:spacing w:after="0" w:line="11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condensed consolidated balance sheets in accordance with repayment terms. Future payments under capital leases as of September 30, 2021, are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 of year)</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4,808</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r>
      <w:tr>
        <w:trPr>
          <w:trHeight w:val="203"/>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2,763</w:t>
            </w:r>
          </w:p>
        </w:tc>
      </w:tr>
      <w:tr>
        <w:trPr>
          <w:trHeight w:val="20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51,886</w:t>
            </w:r>
          </w:p>
        </w:tc>
      </w:tr>
      <w:tr>
        <w:trPr>
          <w:trHeight w:val="195"/>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 lease obligations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66,717</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(44,271)</w:t>
            </w:r>
          </w:p>
        </w:tc>
      </w:tr>
      <w:tr>
        <w:trPr>
          <w:trHeight w:val="195"/>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net minimum capital lease payments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22,446</w:t>
            </w:r>
          </w:p>
        </w:tc>
      </w:tr>
      <w:tr>
        <w:trPr>
          <w:trHeight w:val="20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 current portion</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w:t>
            </w:r>
          </w:p>
        </w:tc>
      </w:tr>
      <w:tr>
        <w:trPr>
          <w:trHeight w:val="22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 net of current portion</w:t>
            </w: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Interest expense related to capital leases was $0.6 million for the three months ended September 30, 2021 and 2020 and $1.7 million for the nine months ended September 30, 2021 and 2020.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294" w:right="31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163"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10"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Company was not a party to any material legal proceedings as of September 30, 2021, nor is it a party to any legal proceedings as of the date of issuance of these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Incentive Plans</w:t>
      </w:r>
    </w:p>
    <w:p>
      <w:pPr>
        <w:spacing w:after="0" w:line="163" w:lineRule="exact"/>
        <w:rPr>
          <w:sz w:val="20"/>
          <w:szCs w:val="20"/>
          <w:color w:val="auto"/>
        </w:rPr>
      </w:pPr>
    </w:p>
    <w:p>
      <w:pPr>
        <w:jc w:val="both"/>
        <w:ind w:firstLine="287"/>
        <w:spacing w:after="0" w:line="349" w:lineRule="auto"/>
        <w:rPr>
          <w:sz w:val="20"/>
          <w:szCs w:val="20"/>
          <w:color w:val="auto"/>
        </w:rPr>
      </w:pPr>
      <w:r>
        <w:rPr>
          <w:rFonts w:ascii="Arial" w:cs="Arial" w:eastAsia="Arial" w:hAnsi="Arial"/>
          <w:sz w:val="14"/>
          <w:szCs w:val="14"/>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81"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29" w:lineRule="exact"/>
        <w:rPr>
          <w:sz w:val="20"/>
          <w:szCs w:val="20"/>
          <w:color w:val="auto"/>
        </w:rPr>
      </w:pPr>
    </w:p>
    <w:p>
      <w:pPr>
        <w:jc w:val="both"/>
        <w:ind w:right="20" w:firstLine="287"/>
        <w:spacing w:after="0" w:line="280" w:lineRule="auto"/>
        <w:rPr>
          <w:sz w:val="20"/>
          <w:szCs w:val="20"/>
          <w:color w:val="auto"/>
        </w:rPr>
      </w:pPr>
      <w:r>
        <w:rPr>
          <w:rFonts w:ascii="Arial" w:cs="Arial" w:eastAsia="Arial" w:hAnsi="Arial"/>
          <w:sz w:val="15"/>
          <w:szCs w:val="15"/>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The Company did not make any grants under the 2021 Plan during the three and nine month period ended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75" w:lineRule="exact"/>
        <w:rPr>
          <w:sz w:val="20"/>
          <w:szCs w:val="20"/>
          <w:color w:val="auto"/>
        </w:rPr>
      </w:pPr>
    </w:p>
    <w:p>
      <w:pPr>
        <w:jc w:val="both"/>
        <w:ind w:firstLine="287"/>
        <w:spacing w:after="0" w:line="301" w:lineRule="auto"/>
        <w:rPr>
          <w:sz w:val="20"/>
          <w:szCs w:val="20"/>
          <w:color w:val="auto"/>
        </w:rPr>
      </w:pPr>
      <w:r>
        <w:rPr>
          <w:rFonts w:ascii="Arial" w:cs="Arial" w:eastAsia="Arial" w:hAnsi="Arial"/>
          <w:sz w:val="14"/>
          <w:szCs w:val="14"/>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three and nine month periods ended September 30, 2021.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163" w:lineRule="exact"/>
        <w:rPr>
          <w:sz w:val="20"/>
          <w:szCs w:val="20"/>
          <w:color w:val="auto"/>
        </w:rPr>
      </w:pPr>
    </w:p>
    <w:p>
      <w:pPr>
        <w:jc w:val="both"/>
        <w:ind w:right="20" w:firstLine="287"/>
        <w:spacing w:after="0" w:line="306" w:lineRule="auto"/>
        <w:rPr>
          <w:sz w:val="20"/>
          <w:szCs w:val="20"/>
          <w:color w:val="auto"/>
        </w:rPr>
      </w:pPr>
      <w:r>
        <w:rPr>
          <w:rFonts w:ascii="Arial" w:cs="Arial" w:eastAsia="Arial" w:hAnsi="Arial"/>
          <w:sz w:val="14"/>
          <w:szCs w:val="14"/>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fair value of the liability awards were remeasured at each reporting period until the stockholder bears the risks and rewards of equity ownership for a reasonable period of time, which the Company concludes is at least six months.</w:t>
      </w:r>
    </w:p>
    <w:p>
      <w:pPr>
        <w:spacing w:after="0" w:line="111"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shareholders’ equity in the unaudited condensed consolidated financial statements as of July 22, 2021. An incremental expense of $0.4 million resulting from the modification event was recorded in the three months ended September 30, 2021.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294" w:right="31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Class A Common Stock</w:t>
            </w:r>
          </w:p>
        </w:tc>
        <w:tc>
          <w:tcPr>
            <w:tcW w:w="192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9"/>
              </w:rPr>
              <w:t>Stock Options Outstanding</w:t>
            </w:r>
          </w:p>
        </w:tc>
        <w:tc>
          <w:tcPr>
            <w:tcW w:w="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Weighted Average Exercise Price</w:t>
            </w: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32,339,970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03"/>
        </w:trPr>
        <w:tc>
          <w:tcPr>
            <w:tcW w:w="7320" w:type="dxa"/>
            <w:vAlign w:val="bottom"/>
          </w:tcPr>
          <w:p>
            <w:pPr>
              <w:ind w:left="160"/>
              <w:spacing w:after="0"/>
              <w:rPr>
                <w:sz w:val="20"/>
                <w:szCs w:val="20"/>
                <w:color w:val="auto"/>
              </w:rPr>
            </w:pPr>
            <w:r>
              <w:rPr>
                <w:rFonts w:ascii="Arial" w:cs="Arial" w:eastAsia="Arial" w:hAnsi="Arial"/>
                <w:sz w:val="16"/>
                <w:szCs w:val="16"/>
                <w:color w:val="auto"/>
              </w:rPr>
              <w:t>Options granted under 2017 Plan</w:t>
            </w:r>
          </w:p>
        </w:tc>
        <w:tc>
          <w:tcPr>
            <w:tcW w:w="1920" w:type="dxa"/>
            <w:vAlign w:val="bottom"/>
          </w:tcPr>
          <w:p>
            <w:pPr>
              <w:jc w:val="right"/>
              <w:ind w:right="3"/>
              <w:spacing w:after="0"/>
              <w:rPr>
                <w:sz w:val="20"/>
                <w:szCs w:val="20"/>
                <w:color w:val="auto"/>
              </w:rPr>
            </w:pPr>
            <w:r>
              <w:rPr>
                <w:rFonts w:ascii="Arial" w:cs="Arial" w:eastAsia="Arial" w:hAnsi="Arial"/>
                <w:sz w:val="16"/>
                <w:szCs w:val="16"/>
                <w:color w:val="auto"/>
              </w:rPr>
              <w:t>241,112</w:t>
            </w:r>
          </w:p>
        </w:tc>
        <w:tc>
          <w:tcPr>
            <w:tcW w:w="900" w:type="dxa"/>
            <w:vAlign w:val="bottom"/>
            <w:gridSpan w:val="2"/>
          </w:tcPr>
          <w:p>
            <w:pPr>
              <w:jc w:val="right"/>
              <w:ind w:right="64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03"/>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 exercised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(1,257,513)</w:t>
            </w:r>
          </w:p>
        </w:tc>
        <w:tc>
          <w:tcPr>
            <w:tcW w:w="900" w:type="dxa"/>
            <w:vAlign w:val="bottom"/>
            <w:gridSpan w:val="2"/>
            <w:shd w:val="clear" w:color="auto" w:fill="CCEEFF"/>
          </w:tcPr>
          <w:p>
            <w:pPr>
              <w:jc w:val="right"/>
              <w:ind w:right="64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r>
      <w:tr>
        <w:trPr>
          <w:trHeight w:val="203"/>
        </w:trPr>
        <w:tc>
          <w:tcPr>
            <w:tcW w:w="7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Options forfeited and canceled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(2,477,613)</w:t>
            </w:r>
          </w:p>
        </w:tc>
        <w:tc>
          <w:tcPr>
            <w:tcW w:w="900" w:type="dxa"/>
            <w:vAlign w:val="bottom"/>
            <w:tcBorders>
              <w:bottom w:val="single" w:sz="8" w:color="CCEEFF"/>
            </w:tcBorders>
            <w:gridSpan w:val="2"/>
          </w:tcPr>
          <w:p>
            <w:pPr>
              <w:jc w:val="right"/>
              <w:ind w:right="64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w:t>
            </w:r>
          </w:p>
        </w:tc>
      </w:tr>
      <w:tr>
        <w:trPr>
          <w:trHeight w:val="195"/>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28,845,956</w:t>
            </w:r>
          </w:p>
        </w:tc>
        <w:tc>
          <w:tcPr>
            <w:tcW w:w="900" w:type="dxa"/>
            <w:vAlign w:val="bottom"/>
            <w:gridSpan w:val="2"/>
            <w:shd w:val="clear" w:color="auto" w:fill="CCEEFF"/>
          </w:tcPr>
          <w:p>
            <w:pPr>
              <w:jc w:val="right"/>
              <w:ind w:right="64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195"/>
        </w:trPr>
        <w:tc>
          <w:tcPr>
            <w:tcW w:w="7320" w:type="dxa"/>
            <w:vAlign w:val="bottom"/>
          </w:tcPr>
          <w:p>
            <w:pPr>
              <w:ind w:left="160"/>
              <w:spacing w:after="0"/>
              <w:rPr>
                <w:sz w:val="20"/>
                <w:szCs w:val="20"/>
                <w:color w:val="auto"/>
              </w:rPr>
            </w:pPr>
            <w:r>
              <w:rPr>
                <w:rFonts w:ascii="Arial" w:cs="Arial" w:eastAsia="Arial" w:hAnsi="Arial"/>
                <w:sz w:val="16"/>
                <w:szCs w:val="16"/>
                <w:color w:val="auto"/>
              </w:rPr>
              <w:t>Options exercisable at September 30, 2021</w:t>
            </w:r>
          </w:p>
        </w:tc>
        <w:tc>
          <w:tcPr>
            <w:tcW w:w="1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22,851,188</w:t>
            </w:r>
          </w:p>
        </w:tc>
        <w:tc>
          <w:tcPr>
            <w:tcW w:w="900" w:type="dxa"/>
            <w:vAlign w:val="bottom"/>
            <w:gridSpan w:val="2"/>
          </w:tcPr>
          <w:p>
            <w:pPr>
              <w:jc w:val="right"/>
              <w:ind w:right="64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7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estimated fair value of the stock option awards as of September 30, 2021 and September 30, 2020, was estimated using the Black-Scholes option pricing model with the following assumptions:</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Nine months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2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020" w:type="dxa"/>
            <w:vAlign w:val="bottom"/>
            <w:tcBorders>
              <w:top w:val="single" w:sz="8" w:color="auto"/>
              <w:bottom w:val="single" w:sz="8" w:color="auto"/>
            </w:tcBorders>
          </w:tcPr>
          <w:p>
            <w:pPr>
              <w:jc w:val="right"/>
              <w:ind w:right="803"/>
              <w:spacing w:after="0"/>
              <w:rPr>
                <w:sz w:val="20"/>
                <w:szCs w:val="20"/>
                <w:color w:val="auto"/>
              </w:rPr>
            </w:pPr>
            <w:r>
              <w:rPr>
                <w:rFonts w:ascii="Arial" w:cs="Arial" w:eastAsia="Arial" w:hAnsi="Arial"/>
                <w:sz w:val="13"/>
                <w:szCs w:val="13"/>
                <w:b w:val="1"/>
                <w:bCs w:val="1"/>
                <w:color w:val="auto"/>
              </w:rPr>
              <w:t>2020</w:t>
            </w:r>
          </w:p>
        </w:tc>
      </w:tr>
      <w:tr>
        <w:trPr>
          <w:trHeight w:val="196"/>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49.60 %</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65.00 %</w:t>
            </w:r>
          </w:p>
        </w:tc>
      </w:tr>
      <w:tr>
        <w:trPr>
          <w:trHeight w:val="203"/>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7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2.00 - 4.50</w:t>
            </w:r>
          </w:p>
        </w:tc>
      </w:tr>
      <w:tr>
        <w:trPr>
          <w:trHeight w:val="20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0.71 %</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 - 0.27%</w:t>
            </w:r>
          </w:p>
        </w:tc>
      </w:tr>
      <w:tr>
        <w:trPr>
          <w:trHeight w:val="203"/>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Dividend yield</w:t>
            </w:r>
          </w:p>
        </w:tc>
        <w:tc>
          <w:tcPr>
            <w:tcW w:w="700" w:type="dxa"/>
            <w:vAlign w:val="bottom"/>
          </w:tcPr>
          <w:p>
            <w:pPr>
              <w:jc w:val="right"/>
              <w:spacing w:after="0"/>
              <w:rPr>
                <w:sz w:val="20"/>
                <w:szCs w:val="20"/>
                <w:color w:val="auto"/>
              </w:rPr>
            </w:pPr>
            <w:r>
              <w:rPr>
                <w:rFonts w:ascii="Arial" w:cs="Arial" w:eastAsia="Arial" w:hAnsi="Arial"/>
                <w:sz w:val="16"/>
                <w:szCs w:val="16"/>
                <w:color w:val="auto"/>
              </w:rPr>
              <w:t>0.00 %</w:t>
            </w:r>
          </w:p>
        </w:tc>
        <w:tc>
          <w:tcPr>
            <w:tcW w:w="1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0.00 %</w:t>
            </w:r>
          </w:p>
        </w:tc>
      </w:tr>
      <w:tr>
        <w:trPr>
          <w:trHeight w:val="20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of Class A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$0.89 - $1.85</w:t>
            </w: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As of September 30, 2021, unrecognized stock-based compensation cost related to the unvested portion of the Company’s stock options was $25.5 million. The Company expects to recognize the unrecognized compensation cost on a graded-vesting basis over a weighted-average period of 1.5 years.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Appreciation Rights (SAR) Activity</w:t>
      </w:r>
    </w:p>
    <w:p>
      <w:pPr>
        <w:spacing w:after="0" w:line="163" w:lineRule="exact"/>
        <w:rPr>
          <w:sz w:val="20"/>
          <w:szCs w:val="20"/>
          <w:color w:val="auto"/>
        </w:rPr>
      </w:pPr>
    </w:p>
    <w:p>
      <w:pPr>
        <w:jc w:val="both"/>
        <w:ind w:firstLine="287"/>
        <w:spacing w:after="0" w:line="317" w:lineRule="auto"/>
        <w:rPr>
          <w:sz w:val="20"/>
          <w:szCs w:val="20"/>
          <w:color w:val="auto"/>
        </w:rPr>
      </w:pPr>
      <w:r>
        <w:rPr>
          <w:rFonts w:ascii="Arial" w:cs="Arial" w:eastAsia="Arial" w:hAnsi="Arial"/>
          <w:sz w:val="14"/>
          <w:szCs w:val="14"/>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three months ended September 30, 2021. There were no outstanding SARs as of September 30, 2021.</w:t>
      </w:r>
    </w:p>
    <w:p>
      <w:pPr>
        <w:spacing w:after="0" w:line="91"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Stock-based compensation expense for all awards granted and outstanding is included within the condensed consolidated statements of operations and comprehensive loss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4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40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6,583</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4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40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16,606</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 expense</w:t>
            </w:r>
          </w:p>
        </w:tc>
        <w:tc>
          <w:tcPr>
            <w:tcW w:w="4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18,011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29,453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420"/>
              <w:spacing w:after="0"/>
              <w:rPr>
                <w:sz w:val="20"/>
                <w:szCs w:val="20"/>
                <w:color w:val="auto"/>
              </w:rPr>
            </w:pPr>
            <w:r>
              <w:rPr>
                <w:rFonts w:ascii="Arial" w:cs="Arial" w:eastAsia="Arial" w:hAnsi="Arial"/>
                <w:sz w:val="16"/>
                <w:szCs w:val="16"/>
                <w:color w:val="auto"/>
              </w:rPr>
              <w:t>27</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1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94" w:right="31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r>
      <w:tr>
        <w:trPr>
          <w:trHeight w:val="163"/>
        </w:trPr>
        <w:tc>
          <w:tcPr>
            <w:tcW w:w="8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19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40,977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6,687</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97,593</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17,021</w:t>
            </w:r>
          </w:p>
        </w:tc>
      </w:tr>
      <w:tr>
        <w:trPr>
          <w:trHeight w:val="22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182,454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30,073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Redeemable Convertible Preferred Stock</w:t>
      </w:r>
    </w:p>
    <w:p>
      <w:pPr>
        <w:spacing w:after="0" w:line="17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There were no shares of Redeemable Convertible Preferred Stock outstanding as of September 30, 2021. Redeemable Convertible Preferred Stock as of December 31, 2020 consisted of the following (in thousands, except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Redeemable Convertible Preferred Stock</w:t>
            </w:r>
          </w:p>
        </w:tc>
        <w:tc>
          <w:tcPr>
            <w:tcW w:w="15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 Authorized</w:t>
            </w:r>
          </w:p>
        </w:tc>
        <w:tc>
          <w:tcPr>
            <w:tcW w:w="1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Shares Issued and</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380" w:type="dxa"/>
            <w:vAlign w:val="bottom"/>
          </w:tcPr>
          <w:p>
            <w:pPr>
              <w:jc w:val="right"/>
              <w:ind w:right="65"/>
              <w:spacing w:after="0"/>
              <w:rPr>
                <w:sz w:val="20"/>
                <w:szCs w:val="20"/>
                <w:color w:val="auto"/>
              </w:rPr>
            </w:pPr>
            <w:r>
              <w:rPr>
                <w:rFonts w:ascii="Arial" w:cs="Arial" w:eastAsia="Arial" w:hAnsi="Arial"/>
                <w:sz w:val="13"/>
                <w:szCs w:val="13"/>
                <w:b w:val="1"/>
                <w:bCs w:val="1"/>
                <w:color w:val="auto"/>
                <w:w w:val="88"/>
              </w:rPr>
              <w:t>Aggregate Liquidation</w:t>
            </w:r>
          </w:p>
        </w:tc>
        <w:tc>
          <w:tcPr>
            <w:tcW w:w="0" w:type="dxa"/>
            <w:vAlign w:val="bottom"/>
          </w:tcPr>
          <w:p>
            <w:pPr>
              <w:spacing w:after="0"/>
              <w:rPr>
                <w:sz w:val="1"/>
                <w:szCs w:val="1"/>
                <w:color w:val="auto"/>
              </w:rPr>
            </w:pPr>
          </w:p>
        </w:tc>
      </w:tr>
      <w:tr>
        <w:trPr>
          <w:trHeight w:val="166"/>
        </w:trPr>
        <w:tc>
          <w:tcPr>
            <w:tcW w:w="508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Outstanding</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Preference</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A-1</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55,399,943</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55,399,943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Series A-2</w:t>
            </w:r>
          </w:p>
        </w:tc>
        <w:tc>
          <w:tcPr>
            <w:tcW w:w="1480" w:type="dxa"/>
            <w:vAlign w:val="bottom"/>
          </w:tcPr>
          <w:p>
            <w:pPr>
              <w:jc w:val="right"/>
              <w:spacing w:after="0"/>
              <w:rPr>
                <w:sz w:val="20"/>
                <w:szCs w:val="20"/>
                <w:color w:val="auto"/>
              </w:rPr>
            </w:pPr>
            <w:r>
              <w:rPr>
                <w:rFonts w:ascii="Arial" w:cs="Arial" w:eastAsia="Arial" w:hAnsi="Arial"/>
                <w:sz w:val="16"/>
                <w:szCs w:val="16"/>
                <w:color w:val="auto"/>
              </w:rPr>
              <w:t>64,718,940</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49,700,364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49,342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41,937,960</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41,937,960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204,302</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C</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24,497,317</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24,496,946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121,397</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Redeemable Convertible Preferred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186,554,160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171,535,213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430,041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Common Stock</w:t>
      </w:r>
    </w:p>
    <w:p>
      <w:pPr>
        <w:spacing w:after="0" w:line="179"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There were 240,190,402 shares of Sema4 Holdings Class A common stock and 124 shares of Legacy Sema4 Class A common stock issued and outstanding as of September 30, 2021 and December 31, 2020, respectively. There were 0 and 130,557 shares of Class B common stock issued and outstanding as of September 30, 2021 and December 31, 2020,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67"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Income taxes for the three and nine months ended September 30, 2021 and September 30, 2020 are recorded at the Company’s estimated annual effective income tax rate, subject to adjustments for discrete events, should they occur. The Company’s estimated annual effective tax rate was 0.0% for the three and nine months ended September 30, 2021 and September 30, 2020. The primary reconciling item between the federal statutory rate of 21.0% for these periods and the Company’s overall effective tax rate of 0.0% was related to the effects of the valuation allowance recorded against the full amount of its net deferred tax assets.</w:t>
      </w:r>
    </w:p>
    <w:p>
      <w:pPr>
        <w:spacing w:after="0" w:line="127"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2021 and September 30, 2020 since management believes that based on the earnings history of the Company, it is more likely than not that the benefits of these assets will not be realized.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294" w:right="31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Sema4 Holdings Corp.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Income (Loss) per Share</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Basic and diluted loss per share attributable to common stockholders was calculated as follows (amounts in thousands, except for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September 30,</w:t>
            </w:r>
          </w:p>
        </w:tc>
        <w:tc>
          <w:tcPr>
            <w:tcW w:w="360" w:type="dxa"/>
            <w:vAlign w:val="bottom"/>
          </w:tcPr>
          <w:p>
            <w:pPr>
              <w:spacing w:after="0"/>
              <w:rPr>
                <w:sz w:val="14"/>
                <w:szCs w:val="14"/>
                <w:color w:val="auto"/>
              </w:rPr>
            </w:pPr>
          </w:p>
        </w:tc>
        <w:tc>
          <w:tcPr>
            <w:tcW w:w="2700" w:type="dxa"/>
            <w:vAlign w:val="bottom"/>
            <w:gridSpan w:val="4"/>
          </w:tcPr>
          <w:p>
            <w:pPr>
              <w:jc w:val="right"/>
              <w:ind w:right="523"/>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63"/>
        </w:trPr>
        <w:tc>
          <w:tcPr>
            <w:tcW w:w="50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31,392</w:t>
            </w:r>
          </w:p>
        </w:tc>
        <w:tc>
          <w:tcPr>
            <w:tcW w:w="8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(56,615)</w:t>
            </w:r>
          </w:p>
        </w:tc>
        <w:tc>
          <w:tcPr>
            <w:tcW w:w="8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(204,963)</w:t>
            </w:r>
          </w:p>
        </w:tc>
        <w:tc>
          <w:tcPr>
            <w:tcW w:w="10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(115,657)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w w:val="92"/>
              </w:rPr>
              <w:t>Denominator for basic earnings per share-weighted-average common shares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185,680,394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63,121,738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Employee stock options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24,650,552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Denominator for diluted earnings per share-adjusted weighted-average</w:t>
            </w:r>
          </w:p>
        </w:tc>
        <w:tc>
          <w:tcPr>
            <w:tcW w:w="3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210,330,946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shares</w:t>
            </w:r>
          </w:p>
        </w:tc>
        <w:tc>
          <w:tcPr>
            <w:tcW w:w="3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Basic earnings/(loss) per share</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(456,573)</w:t>
            </w:r>
          </w:p>
        </w:tc>
        <w:tc>
          <w:tcPr>
            <w:tcW w:w="8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(932,718)</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earnings/(loss) per share</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(932,718)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0" w:firstLine="287"/>
        <w:spacing w:after="0" w:line="317" w:lineRule="auto"/>
        <w:rPr>
          <w:sz w:val="20"/>
          <w:szCs w:val="20"/>
          <w:color w:val="auto"/>
        </w:rPr>
      </w:pPr>
      <w:r>
        <w:rPr>
          <w:rFonts w:ascii="Arial" w:cs="Arial" w:eastAsia="Arial" w:hAnsi="Arial"/>
          <w:sz w:val="14"/>
          <w:szCs w:val="14"/>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earnings/(loss) per share calculation on a prospective basis.</w:t>
      </w:r>
    </w:p>
    <w:p>
      <w:pPr>
        <w:spacing w:after="0" w:line="10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134"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120" w:type="dxa"/>
            <w:vAlign w:val="bottom"/>
            <w:gridSpan w:val="4"/>
          </w:tcPr>
          <w:p>
            <w:pPr>
              <w:ind w:left="560"/>
              <w:spacing w:after="0"/>
              <w:rPr>
                <w:sz w:val="20"/>
                <w:szCs w:val="20"/>
                <w:color w:val="auto"/>
              </w:rPr>
            </w:pPr>
            <w:r>
              <w:rPr>
                <w:rFonts w:ascii="Arial" w:cs="Arial" w:eastAsia="Arial" w:hAnsi="Arial"/>
                <w:sz w:val="13"/>
                <w:szCs w:val="13"/>
                <w:b w:val="1"/>
                <w:bCs w:val="1"/>
                <w:color w:val="auto"/>
              </w:rPr>
              <w:t>Three months ended September 30,</w:t>
            </w:r>
          </w:p>
        </w:tc>
        <w:tc>
          <w:tcPr>
            <w:tcW w:w="3060" w:type="dxa"/>
            <w:vAlign w:val="bottom"/>
            <w:gridSpan w:val="3"/>
          </w:tcPr>
          <w:p>
            <w:pPr>
              <w:jc w:val="right"/>
              <w:ind w:right="524"/>
              <w:spacing w:after="0"/>
              <w:rPr>
                <w:sz w:val="20"/>
                <w:szCs w:val="20"/>
                <w:color w:val="auto"/>
              </w:rPr>
            </w:pPr>
            <w:r>
              <w:rPr>
                <w:rFonts w:ascii="Arial" w:cs="Arial" w:eastAsia="Arial" w:hAnsi="Arial"/>
                <w:sz w:val="13"/>
                <w:szCs w:val="13"/>
                <w:b w:val="1"/>
                <w:bCs w:val="1"/>
                <w:color w:val="auto"/>
              </w:rPr>
              <w:t>Nine months ended September 30,</w:t>
            </w:r>
          </w:p>
        </w:tc>
      </w:tr>
      <w:tr>
        <w:trPr>
          <w:trHeight w:val="163"/>
        </w:trPr>
        <w:tc>
          <w:tcPr>
            <w:tcW w:w="508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options to purchase Class A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12,796,144</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28,846,080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12,769,144</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Outstanding warrants</w:t>
            </w:r>
          </w:p>
        </w:tc>
        <w:tc>
          <w:tcPr>
            <w:tcW w:w="1480" w:type="dxa"/>
            <w:vAlign w:val="bottom"/>
          </w:tcPr>
          <w:p>
            <w:pPr>
              <w:jc w:val="right"/>
              <w:spacing w:after="0"/>
              <w:rPr>
                <w:sz w:val="20"/>
                <w:szCs w:val="20"/>
                <w:color w:val="auto"/>
              </w:rPr>
            </w:pPr>
            <w:r>
              <w:rPr>
                <w:rFonts w:ascii="Arial" w:cs="Arial" w:eastAsia="Arial" w:hAnsi="Arial"/>
                <w:sz w:val="16"/>
                <w:szCs w:val="16"/>
                <w:color w:val="auto"/>
              </w:rPr>
              <w:t>21,994,972</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21,994,972</w:t>
            </w:r>
          </w:p>
        </w:tc>
        <w:tc>
          <w:tcPr>
            <w:tcW w:w="10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16,331,812</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16,331,812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195"/>
        </w:trPr>
        <w:tc>
          <w:tcPr>
            <w:tcW w:w="5080" w:type="dxa"/>
            <w:vAlign w:val="bottom"/>
          </w:tcPr>
          <w:p>
            <w:pPr>
              <w:ind w:left="20"/>
              <w:spacing w:after="0"/>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38,326,784</w:t>
            </w:r>
          </w:p>
        </w:tc>
        <w:tc>
          <w:tcPr>
            <w:tcW w:w="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12,796,144</w:t>
            </w:r>
          </w:p>
        </w:tc>
        <w:tc>
          <w:tcPr>
            <w:tcW w:w="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67,172,864</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12,769,144</w:t>
            </w: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w:t>
      </w:r>
    </w:p>
    <w:p>
      <w:pPr>
        <w:spacing w:after="0" w:line="13" w:lineRule="exact"/>
        <w:rPr>
          <w:sz w:val="20"/>
          <w:szCs w:val="20"/>
          <w:color w:val="auto"/>
        </w:rPr>
      </w:pPr>
    </w:p>
    <w:p>
      <w:pPr>
        <w:jc w:val="both"/>
        <w:ind w:firstLine="287"/>
        <w:spacing w:after="0"/>
        <w:rPr>
          <w:sz w:val="20"/>
          <w:szCs w:val="20"/>
          <w:color w:val="auto"/>
        </w:rPr>
      </w:pPr>
      <w:r>
        <w:rPr>
          <w:rFonts w:ascii="Arial" w:cs="Arial" w:eastAsia="Arial" w:hAnsi="Arial"/>
          <w:sz w:val="15"/>
          <w:szCs w:val="15"/>
          <w:color w:val="auto"/>
        </w:rPr>
        <w:t>On November 15, 2021, the Company entered into a Loan and Security Agreement (the “SVB Agreement”) with Silicon Valley Bank (“SVB”), whereby SVB agreed to provide a $125,000,000 revolving credit facility (“Revolver”) with a maturity date of November 15, 2024. Any borrowings under the Revolver will bear interest at a floating rate that is the greater of either (a) Wall Street Journal Prime Rate (the “Prime Rate”) plus 0.75% (the “Prime Rate Margin”) or (b) 4.00%. The Revolver also requires an unused line fee of 0.25% per annum payable quarterly. The Revolver is secured by certain assets of the Company and its subsidiary, Sema4 Opco,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294" w:right="31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2020 and the related notes incorporated by reference in our audited financial statements appearing in the definitive proxy statement filed by CM Life Sciences, Inc. with the SEC on July 2, 2021 (the “Proxy Statement”).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3"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i w:val="1"/>
          <w:iCs w:val="1"/>
          <w:color w:val="auto"/>
        </w:rPr>
        <w:t>Unless the context otherwise requires, references herein to the “Company,” “Sema4” or “we,” “us” or and “our” refers to Mount Sinai Genomics Inc. d/b/a Sema4 (“Legacy Sema4”), prior to the consummation of the Business Combination (the “Closing,” and such date of the consummation of the Business Combination, the “Closing Date”) and to Sema4 Holdings Corp. (“Sema4 Holdings”) and its subsidiary following the Business Combination.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7"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8" w:lineRule="exact"/>
        <w:rPr>
          <w:sz w:val="20"/>
          <w:szCs w:val="20"/>
          <w:color w:val="auto"/>
        </w:rPr>
      </w:pPr>
    </w:p>
    <w:p>
      <w:pPr>
        <w:jc w:val="both"/>
        <w:ind w:firstLine="287"/>
        <w:spacing w:after="0" w:line="306" w:lineRule="auto"/>
        <w:rPr>
          <w:sz w:val="20"/>
          <w:szCs w:val="20"/>
          <w:color w:val="auto"/>
        </w:rPr>
      </w:pPr>
      <w:r>
        <w:rPr>
          <w:rFonts w:ascii="Arial" w:cs="Arial" w:eastAsia="Arial" w:hAnsi="Arial"/>
          <w:sz w:val="14"/>
          <w:szCs w:val="14"/>
          <w:color w:val="auto"/>
        </w:rPr>
        <w:t>We were established out of Icahn School of Medicine at Mount Sinai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11.9 million de-identified individual clinical records, many with genomic profiles. We also manage a data asset over 39.2 petabytes in size, expanding at 1.4 petabytes per month with an accelerating growth rate.</w:t>
      </w:r>
    </w:p>
    <w:p>
      <w:pPr>
        <w:spacing w:after="0" w:line="99"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Currently, we derive the majority of our revenue from our diagnostic test solutions. Our diagnostic business generates revenue and engages with patients primarily through our Women’s Health and Oncology solutions.</w:t>
      </w:r>
    </w:p>
    <w:p>
      <w:pPr>
        <w:spacing w:after="0" w:line="11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w:t>
      </w:r>
    </w:p>
    <w:p>
      <w:pPr>
        <w:spacing w:after="0" w:line="133"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167"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accessioned and resulted tests</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believe the number of accessioned and resulted tests in any period is an important indicator of the growth in our diagnostic testing services and correlates with long-term patient relationships and the size of our genomic database. A test is accessioned when we receive the test at our laboratory, enter the relevant information about the test into our computer</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39" w:right="31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system and the test sample is routed to the appropriate workflow. Once the appropriate workflow is completed, the test is resulted and details are provided to ordered patients or healthcare professionals for review.</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 obtaining and maintaining reimbursement</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29"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8"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lower the costs associated with performing our tests</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adoption of our services by existing and new customers</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 platform innovation to support commercial growth</w:t>
      </w:r>
    </w:p>
    <w:p>
      <w:pPr>
        <w:spacing w:after="0" w:line="175"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26"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0"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Indicators</w:t>
      </w:r>
    </w:p>
    <w:p>
      <w:pPr>
        <w:spacing w:after="0" w:line="167"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39" w:right="3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and financial condition together with our unaudited condensed consolidated financial statements and the related notes and other financial information included elsewhere in this Quarterly Report.</w:t>
      </w:r>
    </w:p>
    <w:p>
      <w:pPr>
        <w:spacing w:after="0" w:line="128"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that we accession and result are key indicators that we use to assess the operational efficiency of our business. A test is accessioned when we receive the test at our laboratory, the relevant information about the test is entered into our computer system and the test sample is routed through the appropriate workflow. Once the appropriate workflow is completed, the test is resulted and details are provided to ordered patients or healthcare professionals for reviews.</w:t>
      </w:r>
    </w:p>
    <w:p>
      <w:pPr>
        <w:spacing w:after="0" w:line="102"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During the nine months ended September 30, 2021, we accessioned approximately 480,291 tests in our laboratories, 271,354 tests of which were for COVID-19, compared to the period ended September 30, 2020, in which we accessioned approximately 197,593 tests in our laboratories, 47,578 of which were for COVID-19. We resulted approximately 481,896 tests in our laboratories, 272,973 tests of which were for COVID-19, compared to the period ended September 30, 2020, in which we resulted approximately 214,554 tests in our laboratories, 67,675 of which were for COVID-19. This 143% and 125% increase in accessioned and resulted volumes, respectively, from 2020 to 2021 largely resulted from newly entered service agreements for COVID-19 testing as well as an increase in non-COVID-19 institutional testing. The volume of resulted tests during the periods may include tests accessioned in prior periods that are completed and delivered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COVID-19 has had, and continues to have, an extensive impact on the global health and economic environments.</w:t>
      </w:r>
    </w:p>
    <w:p>
      <w:pPr>
        <w:spacing w:after="0" w:line="163"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21"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(“PRF”), distribution and $2.8 million received under the Employee Retention Credit (“ERC”), distribution. In 2021, we received an additional $5.6 million under the PRF distribution.</w:t>
      </w:r>
    </w:p>
    <w:p>
      <w:pPr>
        <w:spacing w:after="0" w:line="141" w:lineRule="exact"/>
        <w:rPr>
          <w:sz w:val="20"/>
          <w:szCs w:val="20"/>
          <w:color w:val="auto"/>
        </w:rPr>
      </w:pPr>
    </w:p>
    <w:p>
      <w:pPr>
        <w:jc w:val="both"/>
        <w:ind w:right="20" w:firstLine="287"/>
        <w:spacing w:after="0" w:line="306" w:lineRule="auto"/>
        <w:rPr>
          <w:sz w:val="20"/>
          <w:szCs w:val="20"/>
          <w:color w:val="auto"/>
        </w:rPr>
      </w:pPr>
      <w:r>
        <w:rPr>
          <w:rFonts w:ascii="Arial" w:cs="Arial" w:eastAsia="Arial" w:hAnsi="Arial"/>
          <w:sz w:val="14"/>
          <w:szCs w:val="14"/>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9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39" w:right="31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derive the majority of our revenue from diagnostic testing services, which primarily relate to Women’s Health, Oncology, and COVID-19. We also recognize revenue from collaboration service agreements with biopharma companies and other third parties under which we provide diagnostic testing and related data aggregation reporting services.</w:t>
      </w:r>
    </w:p>
    <w:p>
      <w:pPr>
        <w:spacing w:after="0" w:line="126"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 xml:space="preserve">In accordance with the Accounting Standards Codification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we recognize revenue when control of the promised goods or services is transferred to the customer in an amount that reflects the consideration which we expect to be entitled to in exchange for those goods or services.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Diagnostic Test Revenue</w:t>
      </w:r>
    </w:p>
    <w:p>
      <w:pPr>
        <w:spacing w:after="0" w:line="163"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several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0"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 accordance with the ASC 606, revenue is recognized at the point in time in which test results are delivered to customers in an amount that reflects what we expect to collect in exchange for our services.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63"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accordance with the ASC 606, we recognize revenue for collaboration service agreements over time, based on costs incurred during the contract period.</w:t>
      </w:r>
    </w:p>
    <w:p>
      <w:pPr>
        <w:spacing w:after="0" w:line="175"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With respect to existing collaboration service agreements, our revenue may fluctuate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contracts with third-party partners.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cost of services reflect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The cost of services are recorded as the services are performed.</w:t>
      </w:r>
    </w:p>
    <w:p>
      <w:pPr>
        <w:spacing w:after="0" w:line="146"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quarter to quarter.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63"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320" w:top="139" w:right="31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compensation,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41"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Marketing Expenses</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128"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generally expect our selling and marketing expenses to continue increasing in absolute dollars as we expand our commercial sales and marketing teams and increase marketing activities. However, we expect selling and marketing expenses to decrease as a percentage of revenue in the long term, subject to fluctuations due to the timing and magnitude of these expenses.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63"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138"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due to compensation-related charges.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Expenses</w:t>
      </w:r>
    </w:p>
    <w:p>
      <w:pPr>
        <w:spacing w:after="0" w:line="163"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 xml:space="preserve">Related party expenses consist of amounts due to ISMMS for expenses under our TSA which expired at the end of the first quarter of 2021, and other service agreements. Additional information can be found in Legacy Sema4’s audited financial statements in Note 7,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xml:space="preserve"> included within the Proxy Statement and our unaudited condensed consolidated financial statements in Note 7,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xml:space="preserve"> included within this Quarterly Report.</w:t>
      </w:r>
    </w:p>
    <w:p>
      <w:pPr>
        <w:spacing w:after="0" w:line="122"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 consists of interest earned on money market funds.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 consists of interest costs related to our capital leases and our long-term debt arrangements.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75"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Other income (expense), net primarily consists of funding received under the CARES Act and, gains and losses on equipment disposals. We recognized $2.6 million of the $5.4 million of funding received under the CARES Act as other income, net on the statements of operations and comprehensive loss during the nine months ended September 30, 2020 and recognized $5.6 million of additional funding received under the CARES Act during the first quarter of 2021 and the amount is included in other income, net for the period ended nine months ended September 30, 2021. In addition, the loss</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60"/>
          </w:cols>
          <w:pgMar w:left="320" w:top="139" w:right="31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incurred due to early payment penalties recognized upon extinguishment of debt of $0.3 million is included in 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three months ended September 30, 2021 and 2020</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3"/>
                <w:szCs w:val="13"/>
                <w:b w:val="1"/>
                <w:bCs w:val="1"/>
                <w:color w:val="auto"/>
              </w:rPr>
              <w:t>Three months ended September 30,</w:t>
            </w:r>
          </w:p>
        </w:tc>
      </w:tr>
      <w:tr>
        <w:trPr>
          <w:trHeight w:val="267"/>
        </w:trPr>
        <w:tc>
          <w:tcPr>
            <w:tcW w:w="820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r>
      <w:tr>
        <w:trPr>
          <w:trHeight w:val="267"/>
        </w:trPr>
        <w:tc>
          <w:tcPr>
            <w:tcW w:w="8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80" w:type="dxa"/>
            <w:vAlign w:val="bottom"/>
            <w:gridSpan w:val="3"/>
          </w:tcPr>
          <w:p>
            <w:pPr>
              <w:jc w:val="right"/>
              <w:ind w:right="66"/>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23"/>
                <w:szCs w:val="23"/>
                <w:color w:val="auto"/>
              </w:rPr>
            </w:pPr>
          </w:p>
        </w:tc>
      </w:tr>
      <w:tr>
        <w:trPr>
          <w:trHeight w:val="29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3"/>
        </w:trPr>
        <w:tc>
          <w:tcPr>
            <w:tcW w:w="8200" w:type="dxa"/>
            <w:vAlign w:val="bottom"/>
          </w:tcPr>
          <w:p>
            <w:pPr>
              <w:ind w:left="100"/>
              <w:spacing w:after="0"/>
              <w:rPr>
                <w:sz w:val="20"/>
                <w:szCs w:val="20"/>
                <w:color w:val="auto"/>
              </w:rPr>
            </w:pPr>
            <w:r>
              <w:rPr>
                <w:rFonts w:ascii="Arial" w:cs="Arial" w:eastAsia="Arial" w:hAnsi="Arial"/>
                <w:sz w:val="16"/>
                <w:szCs w:val="16"/>
                <w:color w:val="auto"/>
              </w:rPr>
              <w:t>Diagnostic test revenue</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41,410</w:t>
            </w:r>
          </w:p>
        </w:tc>
        <w:tc>
          <w:tcPr>
            <w:tcW w:w="100" w:type="dxa"/>
            <w:vAlign w:val="bottom"/>
          </w:tcPr>
          <w:p>
            <w:pPr>
              <w:spacing w:after="0"/>
              <w:rPr>
                <w:sz w:val="17"/>
                <w:szCs w:val="17"/>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37,893</w:t>
            </w:r>
          </w:p>
        </w:tc>
      </w:tr>
      <w:tr>
        <w:trPr>
          <w:trHeight w:val="203"/>
        </w:trPr>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revenue</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715</w:t>
            </w:r>
          </w:p>
        </w:tc>
      </w:tr>
      <w:tr>
        <w:trPr>
          <w:trHeight w:val="195"/>
        </w:trPr>
        <w:tc>
          <w:tcPr>
            <w:tcW w:w="8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revenue</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38,608</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58,752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36,530</w:t>
            </w:r>
          </w:p>
        </w:tc>
      </w:tr>
      <w:tr>
        <w:trPr>
          <w:trHeight w:val="195"/>
        </w:trPr>
        <w:tc>
          <w:tcPr>
            <w:tcW w:w="8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Gross (loss) profit</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(15,574)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2,078</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19,083</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12,735</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24,342</w:t>
            </w:r>
          </w:p>
        </w:tc>
      </w:tr>
      <w:tr>
        <w:trPr>
          <w:trHeight w:val="20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1,933</w:t>
            </w:r>
          </w:p>
        </w:tc>
      </w:tr>
      <w:tr>
        <w:trPr>
          <w:trHeight w:val="195"/>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(89,603)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(56,015)</w:t>
            </w:r>
          </w:p>
        </w:tc>
      </w:tr>
      <w:tr>
        <w:trPr>
          <w:trHeight w:val="203"/>
        </w:trPr>
        <w:tc>
          <w:tcPr>
            <w:tcW w:w="8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8200" w:type="dxa"/>
            <w:vAlign w:val="bottom"/>
          </w:tcPr>
          <w:p>
            <w:pPr>
              <w:ind w:left="100"/>
              <w:spacing w:after="0"/>
              <w:rPr>
                <w:sz w:val="20"/>
                <w:szCs w:val="20"/>
                <w:color w:val="auto"/>
              </w:rPr>
            </w:pPr>
            <w:r>
              <w:rPr>
                <w:rFonts w:ascii="Arial" w:cs="Arial" w:eastAsia="Arial" w:hAnsi="Arial"/>
                <w:sz w:val="16"/>
                <w:szCs w:val="16"/>
                <w:color w:val="auto"/>
              </w:rPr>
              <w:t>Change in fair market value of warrant and earn-out contingent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122,171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r>
      <w:tr>
        <w:trPr>
          <w:trHeight w:val="203"/>
        </w:trPr>
        <w:tc>
          <w:tcPr>
            <w:tcW w:w="820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5"/>
        </w:trPr>
        <w:tc>
          <w:tcPr>
            <w:tcW w:w="8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95"/>
        </w:trPr>
        <w:tc>
          <w:tcPr>
            <w:tcW w:w="8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other income (expense), net</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120,995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r>
      <w:tr>
        <w:trPr>
          <w:trHeight w:val="195"/>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(56,615)</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95"/>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and comprehensive income (loss)</w:t>
            </w:r>
          </w:p>
        </w:tc>
        <w:tc>
          <w:tcPr>
            <w:tcW w:w="88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31,392</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(56,615)</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center"/>
              <w:ind w:left="87"/>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4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40" w:type="dxa"/>
            <w:vAlign w:val="bottom"/>
          </w:tcPr>
          <w:p>
            <w:pPr>
              <w:spacing w:after="0"/>
              <w:rPr>
                <w:sz w:val="15"/>
                <w:szCs w:val="15"/>
                <w:color w:val="auto"/>
              </w:rPr>
            </w:pPr>
          </w:p>
        </w:tc>
        <w:tc>
          <w:tcPr>
            <w:tcW w:w="3000" w:type="dxa"/>
            <w:vAlign w:val="bottom"/>
            <w:gridSpan w:val="6"/>
          </w:tcPr>
          <w:p>
            <w:pPr>
              <w:ind w:left="480"/>
              <w:spacing w:after="0"/>
              <w:rPr>
                <w:sz w:val="20"/>
                <w:szCs w:val="20"/>
                <w:color w:val="auto"/>
              </w:rPr>
            </w:pPr>
            <w:r>
              <w:rPr>
                <w:rFonts w:ascii="Arial" w:cs="Arial" w:eastAsia="Arial" w:hAnsi="Arial"/>
                <w:sz w:val="13"/>
                <w:szCs w:val="13"/>
                <w:b w:val="1"/>
                <w:bCs w:val="1"/>
                <w:color w:val="auto"/>
              </w:rPr>
              <w:t>Three months ended September 30,</w:t>
            </w:r>
          </w:p>
        </w:tc>
        <w:tc>
          <w:tcPr>
            <w:tcW w:w="860" w:type="dxa"/>
            <w:vAlign w:val="bottom"/>
          </w:tcPr>
          <w:p>
            <w:pPr>
              <w:spacing w:after="0"/>
              <w:rPr>
                <w:sz w:val="15"/>
                <w:szCs w:val="15"/>
                <w:color w:val="auto"/>
              </w:rPr>
            </w:pPr>
          </w:p>
        </w:tc>
        <w:tc>
          <w:tcPr>
            <w:tcW w:w="118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Pr>
          <w:p>
            <w:pPr>
              <w:spacing w:after="0"/>
              <w:rPr>
                <w:sz w:val="15"/>
                <w:szCs w:val="15"/>
                <w:color w:val="auto"/>
              </w:rPr>
            </w:pPr>
          </w:p>
        </w:tc>
      </w:tr>
      <w:tr>
        <w:trPr>
          <w:trHeight w:val="183"/>
        </w:trPr>
        <w:tc>
          <w:tcPr>
            <w:tcW w:w="5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w:t>
            </w:r>
          </w:p>
        </w:tc>
      </w:tr>
      <w:tr>
        <w:trPr>
          <w:trHeight w:val="166"/>
        </w:trPr>
        <w:tc>
          <w:tcPr>
            <w:tcW w:w="5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3"/>
          </w:tcPr>
          <w:p>
            <w:pPr>
              <w:jc w:val="right"/>
              <w:ind w:right="169"/>
              <w:spacing w:after="0"/>
              <w:rPr>
                <w:sz w:val="20"/>
                <w:szCs w:val="20"/>
                <w:color w:val="auto"/>
              </w:rPr>
            </w:pPr>
            <w:r>
              <w:rPr>
                <w:rFonts w:ascii="Arial" w:cs="Arial" w:eastAsia="Arial" w:hAnsi="Arial"/>
                <w:sz w:val="13"/>
                <w:szCs w:val="13"/>
                <w:b w:val="1"/>
                <w:bCs w:val="1"/>
                <w:color w:val="auto"/>
                <w:w w:val="91"/>
              </w:rPr>
              <w:t>(dollars in thousands)</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Diagnostic test revenue</w:t>
            </w:r>
          </w:p>
        </w:tc>
        <w:tc>
          <w:tcPr>
            <w:tcW w:w="86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41,410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37,893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6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147 %</w:t>
            </w: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43,178</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38,608</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Total revenue increased by $4.6 million, or 12%, to $43.2 million for the three months ended September 30, 2021, from $38.6 million for the three months ended September 30, 2020.</w:t>
      </w:r>
    </w:p>
    <w:p>
      <w:pPr>
        <w:spacing w:after="0" w:line="11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Diagnostic test revenue increased by $3.5 million, or 9%, to $41.4 million for the three months ended September 30, 2021, from $37.9 million for the three months ended September 30, 2020. The increase was primarily attributable to an increase in overall volumes, excluding COVID-19 tests of 36%, partially offset by the change in the mix of tests performed and corresponding reduced reimbursement rates. Oncology testing volume increased by 166%. Women’s health testing volume, including carrier screening and NIPT testing, increased by 33%, which was partially offset by a lower average selling price.</w:t>
      </w:r>
    </w:p>
    <w:p>
      <w:pPr>
        <w:spacing w:after="0" w:line="129"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Other revenue increased by $1.1 million, or 147%, to $1.8 million for the three months ended September 30, 2021, from $0.7 million for the three months ended September 30, 2020. The increase was primarily attributable to fulfillment of performance obligations under a single arrangement for which there was no revenue in the third quarter of 2020 and has now generated $0.7 million in revenue in the third quarter of 2021.</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60"/>
          </w:cols>
          <w:pgMar w:left="320" w:top="139" w:right="31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center"/>
              <w:ind w:left="13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jc w:val="right"/>
              <w:ind w:right="151"/>
              <w:spacing w:after="0"/>
              <w:rPr>
                <w:sz w:val="20"/>
                <w:szCs w:val="20"/>
                <w:color w:val="auto"/>
              </w:rPr>
            </w:pPr>
            <w:r>
              <w:rPr>
                <w:rFonts w:ascii="Arial" w:cs="Arial" w:eastAsia="Arial" w:hAnsi="Arial"/>
                <w:sz w:val="13"/>
                <w:szCs w:val="13"/>
                <w:b w:val="1"/>
                <w:bCs w:val="1"/>
                <w:color w:val="auto"/>
                <w:w w:val="86"/>
              </w:rPr>
              <w:t>(dollars in thousands)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58,752</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36,530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1"/>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22,222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226" w:lineRule="exact"/>
        <w:rPr>
          <w:sz w:val="20"/>
          <w:szCs w:val="20"/>
          <w:color w:val="auto"/>
        </w:rPr>
      </w:pPr>
    </w:p>
    <w:p>
      <w:pPr>
        <w:jc w:val="both"/>
        <w:ind w:right="20" w:firstLine="287"/>
        <w:spacing w:after="0" w:line="297" w:lineRule="auto"/>
        <w:rPr>
          <w:sz w:val="20"/>
          <w:szCs w:val="20"/>
          <w:color w:val="auto"/>
        </w:rPr>
      </w:pPr>
      <w:r>
        <w:rPr>
          <w:rFonts w:ascii="Arial" w:cs="Arial" w:eastAsia="Arial" w:hAnsi="Arial"/>
          <w:sz w:val="14"/>
          <w:szCs w:val="14"/>
          <w:color w:val="auto"/>
        </w:rPr>
        <w:t>Cost of services increased by $22.2 million, or 61%, to $58.8 million for the three months ended September 30, 2021, from $36.5 million for the three months ended September 30, 2020. The increase was primarily driven by the following components: a $13.3 million increase in reagents and laboratory supplies expense due primarily to the increase in accessioned volumes; a $4.8 million increase in overall personnel-related expenses driven by an increase in average headcount; a $2.3 million increase in occupancy and depreciation expenses in connection with our laboratory move at the end of 2020 and the Stamford laboratory facility commencing operations in the first quarter 2021; a $0.8 million increase in software expenses due to increased cloud storage and expanded computing capacity requirements for testing data; and a $0.7 million increase in expenses for logistical costs due to higher accessioned volumes. The cost of services are expected to scale over time as we undertake various strategic initiatives.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1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9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17,831</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19,083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(1,252)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226"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Research and development expense decreased by $1.3 million, or 7%, to $17.8 million for the three months ended September 30, 2021, from $19.1 million for the three months ended September 30, 2020. The decrease was primarily attributable to a $3.4 million decrease in stock-based compensation expense, offset by a $1.8 million increase in depreciation expenses; and a $0.4 million increase in software expenses.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center"/>
              <w:ind w:left="9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left="7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jc w:val="right"/>
              <w:ind w:right="191"/>
              <w:spacing w:after="0"/>
              <w:rPr>
                <w:sz w:val="20"/>
                <w:szCs w:val="20"/>
                <w:color w:val="auto"/>
              </w:rPr>
            </w:pPr>
            <w:r>
              <w:rPr>
                <w:rFonts w:ascii="Arial" w:cs="Arial" w:eastAsia="Arial" w:hAnsi="Arial"/>
                <w:sz w:val="13"/>
                <w:szCs w:val="13"/>
                <w:b w:val="1"/>
                <w:bCs w:val="1"/>
                <w:color w:val="auto"/>
                <w:w w:val="86"/>
              </w:rPr>
              <w:t>(dollars in thousands)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22,121</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12,735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9,386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bl>
    <w:p>
      <w:pPr>
        <w:spacing w:after="0" w:line="22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Selling and marketing expense increased by $9.4 million, or 74%, to $22.1 million for the three months ended September 30, 2021, from $12.7 million for the three months ended September 30, 2020. The increase was primarily attributable to the expansion of our commercial footprint and the following cost components: a $5.7 million increase in personnel-related expenses driven by increased headcount; a $1.5 million increase in information technology-related expenses; and a $2.1 million increase in consulting service expenses to support revenue cycle transformation initiatives.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center"/>
              <w:ind w:left="7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33,230</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24,342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8,888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bl>
    <w:p>
      <w:pPr>
        <w:spacing w:after="0" w:line="226"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General and administrative expense increased by $8.9 million, or 37%, to $33.2 million for the three months ended September 30, 2021, from $24.3 million for the three months ended September 30, 2020. The increase was primarily attributable to an increase in expenses of $8.7 million for professional services incurred in connection with the Business Combination; an increase in personnel-related costs of $5.6 million driven by an increase in headcount; a $1.7 million</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139" w:right="31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increase in insurance expenses driven by transitioning to obtaining standalone insurance policies separate from ISMMS; and a $0.7 million increase in software expenses due to increased cloud storage requirements. These increases were partially offset by a decrease in stock-based compensation expense of $7.7 million and a $0.5 million decrease in occupancy expenses due to our laboratory move from New York City to Stamford, Connecticut.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1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9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3"/>
          </w:tcPr>
          <w:p>
            <w:pPr>
              <w:jc w:val="right"/>
              <w:ind w:right="151"/>
              <w:spacing w:after="0"/>
              <w:rPr>
                <w:sz w:val="20"/>
                <w:szCs w:val="20"/>
                <w:color w:val="auto"/>
              </w:rPr>
            </w:pPr>
            <w:r>
              <w:rPr>
                <w:rFonts w:ascii="Arial" w:cs="Arial" w:eastAsia="Arial" w:hAnsi="Arial"/>
                <w:sz w:val="13"/>
                <w:szCs w:val="13"/>
                <w:b w:val="1"/>
                <w:bCs w:val="1"/>
                <w:color w:val="auto"/>
                <w:w w:val="86"/>
              </w:rPr>
              <w:t>(dollars in 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expenses</w:t>
            </w: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(1,086)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22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Related party expenses decreased by $1.1 million, or 56%, to $0.8 million for the three months ended September 30, 2021, from $1.9 million for the three months ended September 30, 2020. The decrease was primarily attributable to the discontinued fees related to information technology support pursuant to the TSA with ISMMS as a result of the termination of the agreement in the first quarter of 2021 and a decrease in rent and facility expenses driven by a reduction of office and lab space leased from ISMMS pursuant to the TSA.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ind w:left="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3"/>
          </w:tcPr>
          <w:p>
            <w:pPr>
              <w:jc w:val="right"/>
              <w:ind w:right="251"/>
              <w:spacing w:after="0"/>
              <w:rPr>
                <w:sz w:val="20"/>
                <w:szCs w:val="20"/>
                <w:color w:val="auto"/>
              </w:rPr>
            </w:pPr>
            <w:r>
              <w:rPr>
                <w:rFonts w:ascii="Arial" w:cs="Arial" w:eastAsia="Arial" w:hAnsi="Arial"/>
                <w:sz w:val="13"/>
                <w:szCs w:val="13"/>
                <w:b w:val="1"/>
                <w:bCs w:val="1"/>
                <w:color w:val="auto"/>
                <w:w w:val="86"/>
              </w:rPr>
              <w:t>(dollars in thousands)</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(36)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Interest income decreased by $0.1 million, or 57%, to a nominal amount for the three months ended September 30, 2021, from $0.1 million for the three months ended September 30, 2020. The decrease was due to declines in interest rates on money market deposit accounts.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ind w:left="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3"/>
          </w:tcPr>
          <w:p>
            <w:pPr>
              <w:jc w:val="right"/>
              <w:ind w:right="251"/>
              <w:spacing w:after="0"/>
              <w:rPr>
                <w:sz w:val="20"/>
                <w:szCs w:val="20"/>
                <w:color w:val="auto"/>
              </w:rPr>
            </w:pPr>
            <w:r>
              <w:rPr>
                <w:rFonts w:ascii="Arial" w:cs="Arial" w:eastAsia="Arial" w:hAnsi="Arial"/>
                <w:sz w:val="13"/>
                <w:szCs w:val="13"/>
                <w:b w:val="1"/>
                <w:bCs w:val="1"/>
                <w:color w:val="auto"/>
                <w:w w:val="86"/>
              </w:rPr>
              <w:t>(dollars in thousands)</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CEEFF"/>
          </w:tcPr>
          <w:p>
            <w:pPr>
              <w:jc w:val="right"/>
              <w:ind w:right="79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98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(46)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Interest expense increased by $0.1 million, or 7%, to $0.7 million for the three months ended September 30, 2021, from $0.6 million for the three months ended September 30, 2020. The increase was driven by new loans executed in the second half of 2020.</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Change</w:t>
            </w:r>
          </w:p>
        </w:tc>
        <w:tc>
          <w:tcPr>
            <w:tcW w:w="960" w:type="dxa"/>
            <w:vAlign w:val="bottom"/>
          </w:tcPr>
          <w:p>
            <w:pPr>
              <w:spacing w:after="0"/>
              <w:rPr>
                <w:sz w:val="14"/>
                <w:szCs w:val="14"/>
                <w:color w:val="auto"/>
              </w:rPr>
            </w:pPr>
          </w:p>
        </w:tc>
      </w:tr>
      <w:tr>
        <w:trPr>
          <w:trHeight w:val="22"/>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4"/>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9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2020 to 2021</w:t>
            </w:r>
          </w:p>
        </w:tc>
        <w:tc>
          <w:tcPr>
            <w:tcW w:w="960" w:type="dxa"/>
            <w:vAlign w:val="bottom"/>
          </w:tcPr>
          <w:p>
            <w:pPr>
              <w:spacing w:after="0"/>
              <w:rPr>
                <w:sz w:val="15"/>
                <w:szCs w:val="15"/>
                <w:color w:val="auto"/>
              </w:rPr>
            </w:pPr>
          </w:p>
        </w:tc>
      </w:tr>
      <w:tr>
        <w:trPr>
          <w:trHeight w:val="183"/>
        </w:trPr>
        <w:tc>
          <w:tcPr>
            <w:tcW w:w="5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w:t>
            </w:r>
          </w:p>
        </w:tc>
        <w:tc>
          <w:tcPr>
            <w:tcW w:w="1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w:t>
            </w:r>
          </w:p>
        </w:tc>
      </w:tr>
      <w:tr>
        <w:trPr>
          <w:trHeight w:val="166"/>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jc w:val="right"/>
              <w:ind w:right="288"/>
              <w:spacing w:after="0"/>
              <w:rPr>
                <w:sz w:val="20"/>
                <w:szCs w:val="20"/>
                <w:color w:val="auto"/>
              </w:rPr>
            </w:pPr>
            <w:r>
              <w:rPr>
                <w:rFonts w:ascii="Arial" w:cs="Arial" w:eastAsia="Arial" w:hAnsi="Arial"/>
                <w:sz w:val="13"/>
                <w:szCs w:val="13"/>
                <w:b w:val="1"/>
                <w:bCs w:val="1"/>
                <w:color w:val="auto"/>
              </w:rPr>
              <w:t>(dollars in thousands)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11"/>
              <w:spacing w:after="0"/>
              <w:rPr>
                <w:sz w:val="20"/>
                <w:szCs w:val="20"/>
                <w:color w:val="auto"/>
              </w:rPr>
            </w:pPr>
            <w:r>
              <w:rPr>
                <w:rFonts w:ascii="Arial" w:cs="Arial" w:eastAsia="Arial" w:hAnsi="Arial"/>
                <w:sz w:val="16"/>
                <w:szCs w:val="16"/>
                <w:color w:val="auto"/>
              </w:rPr>
              <w:t>(494)</w:t>
            </w:r>
          </w:p>
        </w:tc>
        <w:tc>
          <w:tcPr>
            <w:tcW w:w="960" w:type="dxa"/>
            <w:vAlign w:val="bottom"/>
            <w:shd w:val="clear" w:color="auto" w:fill="CCEEFF"/>
          </w:tcPr>
          <w:p>
            <w:pPr>
              <w:jc w:val="right"/>
              <w:spacing w:after="0" w:line="215"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0"/>
                <w:szCs w:val="20"/>
                <w:color w:val="auto"/>
                <w:vertAlign w:val="superscript"/>
              </w:rPr>
              <w:t>(1)</w:t>
            </w:r>
          </w:p>
        </w:tc>
      </w:tr>
    </w:tbl>
    <w:p>
      <w:pPr>
        <w:spacing w:after="0" w:line="2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__________________</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 Not Meaningful (“NM”)</w:t>
      </w:r>
    </w:p>
    <w:p>
      <w:pPr>
        <w:spacing w:after="0" w:line="131"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Other income (expense), net increased by $0.5 million, to $0.5 million for the three months ended September 30, 2021, from a nominal amount for the three months ended September 30, 2020. The increase in the expense was primarily attributable to penalty payments of $0.3 million related to debt that was repaid earlier than the maturity date during the three months ended September 30, 2020.</w:t>
      </w:r>
    </w:p>
    <w:p>
      <w:pPr>
        <w:spacing w:after="0" w:line="200" w:lineRule="exact"/>
        <w:rPr>
          <w:sz w:val="20"/>
          <w:szCs w:val="20"/>
          <w:color w:val="auto"/>
        </w:rPr>
      </w:pPr>
    </w:p>
    <w:p>
      <w:pPr>
        <w:spacing w:after="0" w:line="29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39" w:right="31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nine months ended September 30, 2021 and 2020</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Nine months ended September 30,</w:t>
            </w:r>
          </w:p>
        </w:tc>
      </w:tr>
      <w:tr>
        <w:trPr>
          <w:trHeight w:val="267"/>
        </w:trPr>
        <w:tc>
          <w:tcPr>
            <w:tcW w:w="5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23"/>
                <w:szCs w:val="23"/>
                <w:color w:val="auto"/>
              </w:rPr>
            </w:pPr>
          </w:p>
        </w:tc>
      </w:tr>
      <w:tr>
        <w:trPr>
          <w:trHeight w:val="267"/>
        </w:trPr>
        <w:tc>
          <w:tcPr>
            <w:tcW w:w="5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gridSpan w:val="4"/>
          </w:tcPr>
          <w:p>
            <w:pPr>
              <w:ind w:left="560"/>
              <w:spacing w:after="0"/>
              <w:rPr>
                <w:sz w:val="20"/>
                <w:szCs w:val="20"/>
                <w:color w:val="auto"/>
              </w:rPr>
            </w:pPr>
            <w:r>
              <w:rPr>
                <w:rFonts w:ascii="Arial" w:cs="Arial" w:eastAsia="Arial" w:hAnsi="Arial"/>
                <w:sz w:val="13"/>
                <w:szCs w:val="13"/>
                <w:b w:val="1"/>
                <w:bCs w:val="1"/>
                <w:color w:val="auto"/>
                <w:w w:val="98"/>
              </w:rPr>
              <w:t>(in thousands)</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9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3"/>
        </w:trPr>
        <w:tc>
          <w:tcPr>
            <w:tcW w:w="5140" w:type="dxa"/>
            <w:vAlign w:val="bottom"/>
          </w:tcPr>
          <w:p>
            <w:pPr>
              <w:ind w:left="100"/>
              <w:spacing w:after="0"/>
              <w:rPr>
                <w:sz w:val="20"/>
                <w:szCs w:val="20"/>
                <w:color w:val="auto"/>
              </w:rPr>
            </w:pPr>
            <w:r>
              <w:rPr>
                <w:rFonts w:ascii="Arial" w:cs="Arial" w:eastAsia="Arial" w:hAnsi="Arial"/>
                <w:sz w:val="16"/>
                <w:szCs w:val="16"/>
                <w:color w:val="auto"/>
              </w:rPr>
              <w:t>Diagnostic test revenue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148,973</w:t>
            </w:r>
          </w:p>
        </w:tc>
        <w:tc>
          <w:tcPr>
            <w:tcW w:w="10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113,759</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revenue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5,421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60" w:type="dxa"/>
            <w:vAlign w:val="bottom"/>
            <w:tcBorders>
              <w:bottom w:val="single" w:sz="8" w:color="auto"/>
            </w:tcBorders>
            <w:shd w:val="clear" w:color="auto" w:fill="CCEEFF"/>
          </w:tcPr>
          <w:p>
            <w:pPr>
              <w:spacing w:after="0"/>
              <w:rPr>
                <w:sz w:val="17"/>
                <w:szCs w:val="17"/>
                <w:color w:val="auto"/>
              </w:rPr>
            </w:pPr>
          </w:p>
        </w:tc>
      </w:tr>
      <w:tr>
        <w:trPr>
          <w:trHeight w:val="195"/>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154,394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115,365</w:t>
            </w:r>
          </w:p>
        </w:tc>
        <w:tc>
          <w:tcPr>
            <w:tcW w:w="60" w:type="dxa"/>
            <w:vAlign w:val="bottom"/>
            <w:tcBorders>
              <w:bottom w:val="single" w:sz="8" w:color="auto"/>
            </w:tcBorders>
          </w:tcPr>
          <w:p>
            <w:pPr>
              <w:spacing w:after="0"/>
              <w:rPr>
                <w:sz w:val="16"/>
                <w:szCs w:val="16"/>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180,195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111,754</w:t>
            </w:r>
          </w:p>
        </w:tc>
        <w:tc>
          <w:tcPr>
            <w:tcW w:w="60" w:type="dxa"/>
            <w:vAlign w:val="bottom"/>
            <w:tcBorders>
              <w:bottom w:val="single" w:sz="8" w:color="auto"/>
            </w:tcBorders>
            <w:shd w:val="clear" w:color="auto" w:fill="CCEEFF"/>
          </w:tcPr>
          <w:p>
            <w:pPr>
              <w:spacing w:after="0"/>
              <w:rPr>
                <w:sz w:val="16"/>
                <w:szCs w:val="16"/>
                <w:color w:val="auto"/>
              </w:rPr>
            </w:pPr>
          </w:p>
        </w:tc>
      </w:tr>
      <w:tr>
        <w:trPr>
          <w:trHeight w:val="195"/>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Gross (loss) profit</w:t>
            </w:r>
          </w:p>
        </w:tc>
        <w:tc>
          <w:tcPr>
            <w:tcW w:w="3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(25,801)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w:t>
            </w:r>
          </w:p>
        </w:tc>
        <w:tc>
          <w:tcPr>
            <w:tcW w:w="60" w:type="dxa"/>
            <w:vAlign w:val="bottom"/>
            <w:tcBorders>
              <w:bottom w:val="single" w:sz="8" w:color="auto"/>
            </w:tcBorders>
          </w:tcPr>
          <w:p>
            <w:pPr>
              <w:spacing w:after="0"/>
              <w:rPr>
                <w:sz w:val="16"/>
                <w:szCs w:val="16"/>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82,916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41,540</w:t>
            </w:r>
          </w:p>
        </w:tc>
        <w:tc>
          <w:tcPr>
            <w:tcW w:w="60" w:type="dxa"/>
            <w:vAlign w:val="bottom"/>
            <w:shd w:val="clear" w:color="auto" w:fill="CCEEFF"/>
          </w:tcPr>
          <w:p>
            <w:pPr>
              <w:spacing w:after="0"/>
              <w:rPr>
                <w:sz w:val="16"/>
                <w:szCs w:val="16"/>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69,937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33,154</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147,941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60" w:type="dxa"/>
            <w:vAlign w:val="bottom"/>
            <w:shd w:val="clear" w:color="auto" w:fill="CCEEFF"/>
          </w:tcPr>
          <w:p>
            <w:pPr>
              <w:spacing w:after="0"/>
              <w:rPr>
                <w:sz w:val="17"/>
                <w:szCs w:val="17"/>
                <w:color w:val="auto"/>
              </w:rPr>
            </w:pPr>
          </w:p>
        </w:tc>
      </w:tr>
      <w:tr>
        <w:trPr>
          <w:trHeight w:val="20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3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3,532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6,239</w:t>
            </w:r>
          </w:p>
        </w:tc>
        <w:tc>
          <w:tcPr>
            <w:tcW w:w="60" w:type="dxa"/>
            <w:vAlign w:val="bottom"/>
            <w:tcBorders>
              <w:bottom w:val="single" w:sz="8" w:color="auto"/>
            </w:tcBorders>
          </w:tcPr>
          <w:p>
            <w:pPr>
              <w:spacing w:after="0"/>
              <w:rPr>
                <w:sz w:val="17"/>
                <w:szCs w:val="17"/>
                <w:color w:val="auto"/>
              </w:rPr>
            </w:pPr>
          </w:p>
        </w:tc>
      </w:tr>
      <w:tr>
        <w:trPr>
          <w:trHeight w:val="195"/>
        </w:trPr>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(330,127)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(116,949)</w:t>
            </w:r>
          </w:p>
        </w:tc>
      </w:tr>
      <w:tr>
        <w:trPr>
          <w:trHeight w:val="239"/>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ind w:left="100"/>
              <w:spacing w:after="0"/>
              <w:rPr>
                <w:sz w:val="20"/>
                <w:szCs w:val="20"/>
                <w:color w:val="auto"/>
              </w:rPr>
            </w:pPr>
            <w:r>
              <w:rPr>
                <w:rFonts w:ascii="Arial" w:cs="Arial" w:eastAsia="Arial" w:hAnsi="Arial"/>
                <w:sz w:val="16"/>
                <w:szCs w:val="16"/>
                <w:color w:val="auto"/>
                <w:w w:val="98"/>
              </w:rPr>
              <w:t>Change in fair market value of warrant and earn-out contingent liabilities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122,171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(1,826)</w:t>
            </w:r>
          </w:p>
        </w:tc>
      </w:tr>
      <w:tr>
        <w:trPr>
          <w:trHeight w:val="215"/>
        </w:trPr>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5,064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60" w:type="dxa"/>
            <w:vAlign w:val="bottom"/>
            <w:tcBorders>
              <w:bottom w:val="single" w:sz="8" w:color="auto"/>
            </w:tcBorders>
            <w:shd w:val="clear" w:color="auto" w:fill="CCEEFF"/>
          </w:tcPr>
          <w:p>
            <w:pPr>
              <w:spacing w:after="0"/>
              <w:rPr>
                <w:sz w:val="18"/>
                <w:szCs w:val="18"/>
                <w:color w:val="auto"/>
              </w:rPr>
            </w:pPr>
          </w:p>
        </w:tc>
      </w:tr>
      <w:tr>
        <w:trPr>
          <w:trHeight w:val="195"/>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125,164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60" w:type="dxa"/>
            <w:vAlign w:val="bottom"/>
            <w:tcBorders>
              <w:bottom w:val="single" w:sz="8" w:color="auto"/>
            </w:tcBorders>
          </w:tcPr>
          <w:p>
            <w:pPr>
              <w:spacing w:after="0"/>
              <w:rPr>
                <w:sz w:val="16"/>
                <w:szCs w:val="16"/>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(204,963)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(115,657)</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5"/>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and comprehensive income (loss)</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(204,963)</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(115,657)</w:t>
            </w:r>
          </w:p>
        </w:tc>
      </w:tr>
      <w:tr>
        <w:trPr>
          <w:trHeight w:val="422"/>
        </w:trPr>
        <w:tc>
          <w:tcPr>
            <w:tcW w:w="514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8"/>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4"/>
          </w:tcPr>
          <w:p>
            <w:pPr>
              <w:ind w:left="680"/>
              <w:spacing w:after="0"/>
              <w:rPr>
                <w:sz w:val="20"/>
                <w:szCs w:val="20"/>
                <w:color w:val="auto"/>
              </w:rPr>
            </w:pPr>
            <w:r>
              <w:rPr>
                <w:rFonts w:ascii="Arial" w:cs="Arial" w:eastAsia="Arial" w:hAnsi="Arial"/>
                <w:sz w:val="13"/>
                <w:szCs w:val="13"/>
                <w:b w:val="1"/>
                <w:bCs w:val="1"/>
                <w:color w:val="auto"/>
              </w:rPr>
              <w:t>Change</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
        </w:trPr>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 September 30,</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4"/>
          </w:tcPr>
          <w:p>
            <w:pPr>
              <w:ind w:left="540"/>
              <w:spacing w:after="0"/>
              <w:rPr>
                <w:sz w:val="20"/>
                <w:szCs w:val="20"/>
                <w:color w:val="auto"/>
              </w:rPr>
            </w:pPr>
            <w:r>
              <w:rPr>
                <w:rFonts w:ascii="Arial" w:cs="Arial" w:eastAsia="Arial" w:hAnsi="Arial"/>
                <w:sz w:val="13"/>
                <w:szCs w:val="13"/>
                <w:b w:val="1"/>
                <w:bCs w:val="1"/>
                <w:color w:val="auto"/>
              </w:rPr>
              <w:t>2020 to 2021</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5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r>
      <w:tr>
        <w:trPr>
          <w:trHeight w:val="166"/>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
        </w:trPr>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Diagnostic test revenue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148,973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60" w:type="dxa"/>
            <w:vAlign w:val="bottom"/>
          </w:tcPr>
          <w:p>
            <w:pPr>
              <w:spacing w:after="0"/>
              <w:rPr>
                <w:sz w:val="17"/>
                <w:szCs w:val="17"/>
                <w:color w:val="auto"/>
              </w:rPr>
            </w:pPr>
          </w:p>
        </w:tc>
      </w:tr>
      <w:tr>
        <w:trPr>
          <w:trHeight w:val="20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238 %</w:t>
            </w:r>
          </w:p>
        </w:tc>
        <w:tc>
          <w:tcPr>
            <w:tcW w:w="60" w:type="dxa"/>
            <w:vAlign w:val="bottom"/>
          </w:tcPr>
          <w:p>
            <w:pPr>
              <w:spacing w:after="0"/>
              <w:rPr>
                <w:sz w:val="17"/>
                <w:szCs w:val="17"/>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154,394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115,365</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60" w:type="dxa"/>
            <w:vAlign w:val="bottom"/>
          </w:tcPr>
          <w:p>
            <w:pPr>
              <w:spacing w:after="0"/>
              <w:rPr>
                <w:sz w:val="16"/>
                <w:szCs w:val="16"/>
                <w:color w:val="auto"/>
              </w:rPr>
            </w:pPr>
          </w:p>
        </w:tc>
      </w:tr>
    </w:tbl>
    <w:p>
      <w:pPr>
        <w:spacing w:after="0" w:line="2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Total revenue increased by $39.0 million, or 34%, to $154.4 million for the nine months ended September 30, 2021, from $115.4 million for the nine months ended September 30, 2020.</w:t>
      </w:r>
    </w:p>
    <w:p>
      <w:pPr>
        <w:spacing w:after="0" w:line="128"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Diagnostic test revenue increased by $35.2 million, or 31%, to $149.0 million for the nine months ended September 30, 2021, from $113.8 million for the nine months ended September 30, 2020. The increase was primarily attributable to a 303% increase in COVID-19 test volumes and overall increase in volumes of 125%, partially offset by the change in the mix of tests performed and reduced reimbursement rates. COVID-19 testing was introduced in May of 2020 which had a minor impact on volume during the nine months ended September 30, 2020, compared to approximately 272,973 tests in the nine months ended September 30, 2021. There was also an increase in large carrier screening tests performed during the nine months ended September 30, 2020.</w:t>
      </w:r>
    </w:p>
    <w:p>
      <w:pPr>
        <w:spacing w:after="0" w:line="134"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Other revenue increased by $3.8 million, or 238%, to $5.4 million for the nine months ended September 30, 2021, from $1.6 million for the nine months ended September 30, 2020. The increase was primarily attributable to growth in collaboration service activities due to the execution of a third-party contracts which generated $2.9 million in revenues in 2021 compared to $0.7 million in 2020, partially offset by reduced revenues recognized related to an existing third-party contract.</w:t>
      </w: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39" w:right="31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1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ind w:left="220"/>
              <w:spacing w:after="0"/>
              <w:rPr>
                <w:sz w:val="20"/>
                <w:szCs w:val="20"/>
                <w:color w:val="auto"/>
              </w:rPr>
            </w:pPr>
            <w:r>
              <w:rPr>
                <w:rFonts w:ascii="Arial" w:cs="Arial" w:eastAsia="Arial" w:hAnsi="Arial"/>
                <w:sz w:val="13"/>
                <w:szCs w:val="13"/>
                <w:b w:val="1"/>
                <w:bCs w:val="1"/>
                <w:color w:val="auto"/>
              </w:rPr>
              <w:t>Nine months ended September 30,</w:t>
            </w:r>
          </w:p>
        </w:tc>
        <w:tc>
          <w:tcPr>
            <w:tcW w:w="840" w:type="dxa"/>
            <w:vAlign w:val="bottom"/>
          </w:tcPr>
          <w:p>
            <w:pPr>
              <w:spacing w:after="0"/>
              <w:rPr>
                <w:sz w:val="15"/>
                <w:szCs w:val="15"/>
                <w:color w:val="auto"/>
              </w:rPr>
            </w:pPr>
          </w:p>
        </w:tc>
        <w:tc>
          <w:tcPr>
            <w:tcW w:w="1200" w:type="dxa"/>
            <w:vAlign w:val="bottom"/>
          </w:tcPr>
          <w:p>
            <w:pPr>
              <w:jc w:val="center"/>
              <w:ind w:left="9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(dollars in 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180,195</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111,754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68,441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226" w:lineRule="exact"/>
        <w:rPr>
          <w:sz w:val="20"/>
          <w:szCs w:val="20"/>
          <w:color w:val="auto"/>
        </w:rPr>
      </w:pPr>
    </w:p>
    <w:p>
      <w:pPr>
        <w:jc w:val="both"/>
        <w:ind w:firstLine="287"/>
        <w:spacing w:after="0" w:line="294" w:lineRule="auto"/>
        <w:rPr>
          <w:sz w:val="20"/>
          <w:szCs w:val="20"/>
          <w:color w:val="auto"/>
        </w:rPr>
      </w:pPr>
      <w:r>
        <w:rPr>
          <w:rFonts w:ascii="Arial" w:cs="Arial" w:eastAsia="Arial" w:hAnsi="Arial"/>
          <w:sz w:val="14"/>
          <w:szCs w:val="14"/>
          <w:color w:val="auto"/>
        </w:rPr>
        <w:t>Cost of services increased by $68.4 million, or 61%, to $180.2 million for the nine months ended September 30, 2021, from $111.8 million for the nine months ended September 30, 2020. The increase was primarily driven by the following cost components: a $19.7 million increase in stock-based compensation expense primarily driven by the increase in fair value of the liability-classified awards until the Closing Date; a $12.8 million increase in personnel-related expenses driven by an increase in average headcount; a $4.6 million increase in costs driven by temporary hires contracted to perform COVID-19 testing activities; a $3.6 million increase in logistical expenses as a result of an increase in operations; a $16.6 million increase in reagents and laboratory supplies expense due primarily to the 125% increase in volumes; a $2.8 million increase in software expenses due to increased cloud storage and expanded computing capacity requirements from New York City to Stamford, Connecticut for testing data; a $1.2 million increase in the inventory obsolescence reserve for expiring COVID-19 testing kits; a $2.9 million increase in occupancy expenses and a $4.0 million increase in depreciation expenses in connection with our laboratory move at the end of 2020, with production activities commencing at the Stamford facility in the first quarter of 2021.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center"/>
              <w:ind w:left="13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82,916</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41,540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1"/>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41,376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22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Research and development expenses increased by $41.4 million, or 100%, to $82.9 million for the nine months ended September 30, 2021, from $41.5 million for the nine months ended September 30, 2020. The increase was primarily attributable to the following cost components: a $34.3 million increase in stock-based compensation expense driven by the increase in fair value of the liability-classified awards until the Closing Date; a $4.0 million increase in depreciation expenses; a $2.1 million increase in expenses for reagents, laboratory supplies and laboratory software for research and development; a $0.6 million increase in other personnel-related expenses driven by an increase in headcount.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center"/>
              <w:ind w:left="13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3"/>
          </w:tcPr>
          <w:p>
            <w:pPr>
              <w:jc w:val="right"/>
              <w:ind w:right="151"/>
              <w:spacing w:after="0"/>
              <w:rPr>
                <w:sz w:val="20"/>
                <w:szCs w:val="20"/>
                <w:color w:val="auto"/>
              </w:rPr>
            </w:pPr>
            <w:r>
              <w:rPr>
                <w:rFonts w:ascii="Arial" w:cs="Arial" w:eastAsia="Arial" w:hAnsi="Arial"/>
                <w:sz w:val="13"/>
                <w:szCs w:val="13"/>
                <w:b w:val="1"/>
                <w:bCs w:val="1"/>
                <w:color w:val="auto"/>
                <w:w w:val="86"/>
              </w:rPr>
              <w:t>(dollars in thousands)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69,937</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33,154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1"/>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36,783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r>
    </w:tbl>
    <w:p>
      <w:pPr>
        <w:spacing w:after="0" w:line="226"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Selling and marketing expenses increased by $36.7 million, or 111%, to $69.9 million for the nine months ended September 30, 2021, from $33.2 million for the nine months ended September 30, 2020. The increase was primarily attributable to the following cost components: an $17.9 million increase in stock-based compensation expense driven by the increase in fair value of the liability-classified awards until the Closing Date; a $11.9 million increase in personnel-related expenses driven by increased headcount; a $2.8 million increase in consulting service expenses to support revenue cycle transformation initiatives; a $2.0 million increase in information technology-related expenses; a $0.8 million increase in other administrative expenses; and a $1.0 million increase in travel and business expenses.</w:t>
      </w:r>
    </w:p>
    <w:p>
      <w:pPr>
        <w:spacing w:after="0" w:line="34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39" w:right="3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center"/>
              <w:ind w:left="17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15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(dollars in thousands)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40" w:type="dxa"/>
            <w:vAlign w:val="bottom"/>
            <w:shd w:val="clear" w:color="auto" w:fill="CCEEFF"/>
          </w:tcPr>
          <w:p>
            <w:pPr>
              <w:jc w:val="right"/>
              <w:ind w:right="67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147,941</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39,627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1"/>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w w:val="96"/>
              </w:rPr>
              <w:t>108,314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273 %</w:t>
            </w:r>
          </w:p>
        </w:tc>
      </w:tr>
    </w:tbl>
    <w:p>
      <w:pPr>
        <w:spacing w:after="0" w:line="226"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General and administrative expenses increased by $108.3 million, or 273%, to $147.9 million for the nine months ended September 30, 2021, from $39.6 million for the nine months ended September 30, 2020. The increase was primarily attributable to the following cost components: an $80.6 million increase in stock-based compensation expense driven by the increase in fair value of the liability-classified awards until the Closing Date; a $13.9 million increase in professional services incurred in connection with the Business Combination transaction; a $9.8 million increase in personnel-related expenses driven by an increase in average headcount including executive headcount; a $1.3 million increase in software expenses due to increased cloud storage requirements; and a $3.5 million increase in insurance expenses driven by transitioning to obtaining standalone insurance policies separate from ISMMS. These increases were partially offset by a $1.2 million decrease in occupancy expenses in connection with our laboratory move from New York City to Stamford, Connecticut.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center"/>
              <w:ind w:left="11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9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ind w:right="171"/>
              <w:spacing w:after="0"/>
              <w:rPr>
                <w:sz w:val="20"/>
                <w:szCs w:val="20"/>
                <w:color w:val="auto"/>
              </w:rPr>
            </w:pPr>
            <w:r>
              <w:rPr>
                <w:rFonts w:ascii="Arial" w:cs="Arial" w:eastAsia="Arial" w:hAnsi="Arial"/>
                <w:sz w:val="13"/>
                <w:szCs w:val="13"/>
                <w:b w:val="1"/>
                <w:bCs w:val="1"/>
                <w:color w:val="auto"/>
                <w:w w:val="86"/>
              </w:rPr>
              <w:t>(dollars in 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expenses</w:t>
            </w:r>
          </w:p>
        </w:tc>
        <w:tc>
          <w:tcPr>
            <w:tcW w:w="920" w:type="dxa"/>
            <w:vAlign w:val="bottom"/>
            <w:shd w:val="clear" w:color="auto" w:fill="CCEEFF"/>
          </w:tcPr>
          <w:p>
            <w:pPr>
              <w:jc w:val="right"/>
              <w:ind w:right="75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(2,707)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22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Related party expenses decreased by $2.7 million, or 43%, to $3.5 million for the nine months ended September 30, 2021, from $6.2 million for the nine months ended September 30, 2020. The decrease was primarily attributable to the following cost components: a $1.5 million decrease in rent and facility expenses driven by a reduction of office and lab space leased from ISMMS pursuant to the transition services agreement which ended in the first quarter of 2021; and a $0.9 million decrease in fees associated with information technology support pursuant to the TSA with ISMMS.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gridSpan w:val="3"/>
          </w:tcPr>
          <w:p>
            <w:pPr>
              <w:jc w:val="right"/>
              <w:ind w:right="211"/>
              <w:spacing w:after="0"/>
              <w:rPr>
                <w:sz w:val="20"/>
                <w:szCs w:val="20"/>
                <w:color w:val="auto"/>
              </w:rPr>
            </w:pPr>
            <w:r>
              <w:rPr>
                <w:rFonts w:ascii="Arial" w:cs="Arial" w:eastAsia="Arial" w:hAnsi="Arial"/>
                <w:sz w:val="13"/>
                <w:szCs w:val="13"/>
                <w:b w:val="1"/>
                <w:bCs w:val="1"/>
                <w:color w:val="auto"/>
                <w:w w:val="88"/>
              </w:rPr>
              <w:t>(dollars in thousands)</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(416)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bl>
    <w:p>
      <w:pPr>
        <w:spacing w:after="0" w:line="226"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Interest income decreased by $0.4 million, or 88%, to $0.1 million for the nine months ended September 30, 2021, from $0.5 million for the nine months ended September 30, 2020. The decrease was due to declines in interest rates on money market deposit.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(2,128)</w:t>
            </w:r>
          </w:p>
        </w:tc>
        <w:tc>
          <w:tcPr>
            <w:tcW w:w="96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(1,826)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71"/>
              <w:spacing w:after="0"/>
              <w:rPr>
                <w:sz w:val="20"/>
                <w:szCs w:val="20"/>
                <w:color w:val="auto"/>
              </w:rPr>
            </w:pPr>
            <w:r>
              <w:rPr>
                <w:rFonts w:ascii="Arial" w:cs="Arial" w:eastAsia="Arial" w:hAnsi="Arial"/>
                <w:sz w:val="16"/>
                <w:szCs w:val="16"/>
                <w:color w:val="auto"/>
              </w:rPr>
              <w:t>(302)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bl>
    <w:p>
      <w:pPr>
        <w:spacing w:after="0" w:line="22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Interest expense increased by $0.3 million, or 17%, to $2.1 million for the nine months ended September 30, 2021, from $1.8 million for the nine months ended September 30, 2020. The increase was driven by new capital lease obligations for our Stamford laboratory facility which commenced operations in 2021.</w:t>
      </w:r>
    </w:p>
    <w:p>
      <w:pPr>
        <w:spacing w:after="0" w:line="3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39" w:right="31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center"/>
              <w:ind w:left="91"/>
              <w:spacing w:after="0"/>
              <w:rPr>
                <w:sz w:val="20"/>
                <w:szCs w:val="20"/>
                <w:color w:val="auto"/>
              </w:rPr>
            </w:pPr>
            <w:r>
              <w:rPr>
                <w:rFonts w:ascii="Arial" w:cs="Arial" w:eastAsia="Arial" w:hAnsi="Arial"/>
                <w:sz w:val="13"/>
                <w:szCs w:val="13"/>
                <w:b w:val="1"/>
                <w:bCs w:val="1"/>
                <w:color w:val="auto"/>
                <w:w w:val="88"/>
              </w:rPr>
              <w:t>Change</w:t>
            </w: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left="71"/>
              <w:spacing w:after="0"/>
              <w:rPr>
                <w:sz w:val="20"/>
                <w:szCs w:val="20"/>
                <w:color w:val="auto"/>
              </w:rPr>
            </w:pPr>
            <w:r>
              <w:rPr>
                <w:rFonts w:ascii="Arial" w:cs="Arial" w:eastAsia="Arial" w:hAnsi="Arial"/>
                <w:sz w:val="13"/>
                <w:szCs w:val="13"/>
                <w:b w:val="1"/>
                <w:bCs w:val="1"/>
                <w:color w:val="auto"/>
                <w:w w:val="87"/>
              </w:rPr>
              <w:t>2020 to 2021</w:t>
            </w:r>
          </w:p>
        </w:tc>
        <w:tc>
          <w:tcPr>
            <w:tcW w:w="1020" w:type="dxa"/>
            <w:vAlign w:val="bottom"/>
            <w:tcBorders>
              <w:bottom w:val="single" w:sz="8" w:color="auto"/>
            </w:tcBorders>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w:t>
            </w:r>
          </w:p>
        </w:tc>
      </w:tr>
      <w:tr>
        <w:trPr>
          <w:trHeight w:val="166"/>
        </w:trPr>
        <w:tc>
          <w:tcPr>
            <w:tcW w:w="5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jc w:val="right"/>
              <w:ind w:right="191"/>
              <w:spacing w:after="0"/>
              <w:rPr>
                <w:sz w:val="20"/>
                <w:szCs w:val="20"/>
                <w:color w:val="auto"/>
              </w:rPr>
            </w:pPr>
            <w:r>
              <w:rPr>
                <w:rFonts w:ascii="Arial" w:cs="Arial" w:eastAsia="Arial" w:hAnsi="Arial"/>
                <w:sz w:val="13"/>
                <w:szCs w:val="13"/>
                <w:b w:val="1"/>
                <w:bCs w:val="1"/>
                <w:color w:val="auto"/>
                <w:w w:val="86"/>
              </w:rPr>
              <w:t>(dollars in thousands)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20" w:type="dxa"/>
            <w:vAlign w:val="bottom"/>
            <w:shd w:val="clear" w:color="auto" w:fill="CCEEFF"/>
          </w:tcPr>
          <w:p>
            <w:pPr>
              <w:jc w:val="right"/>
              <w:ind w:right="75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w:t>
            </w:r>
          </w:p>
        </w:tc>
        <w:tc>
          <w:tcPr>
            <w:tcW w:w="98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611"/>
              <w:spacing w:after="0"/>
              <w:rPr>
                <w:sz w:val="20"/>
                <w:szCs w:val="20"/>
                <w:color w:val="auto"/>
              </w:rPr>
            </w:pPr>
            <w:r>
              <w:rPr>
                <w:rFonts w:ascii="Arial" w:cs="Arial" w:eastAsia="Arial" w:hAnsi="Arial"/>
                <w:sz w:val="16"/>
                <w:szCs w:val="16"/>
                <w:color w:val="auto"/>
              </w:rPr>
              <w:t>2,419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bl>
    <w:p>
      <w:pPr>
        <w:spacing w:after="0" w:line="226"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Other income, net increased by $2.5 million or 91% to $5.1 million for the nine months ended September 30, 2021, from $2.6 million for the nine months ended September 30,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167"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35"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6" w:lineRule="exact"/>
        <w:rPr>
          <w:sz w:val="20"/>
          <w:szCs w:val="20"/>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expenditures or future requirements for capital expenditures or contractual commitments;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working capital needs;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 for income taxes, which may be a necessary element of our costs and ability to operate;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of replacing the assets being depreciated, which will often have to be replaced in the future;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non-cash component of employee compensation expense;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earnings or charges resulting from matters we consider not to be reflective, on a recurring basis, of our ongoing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Gross Profit and Adjusted Gross Margin</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39" w:right="319" w:bottom="1440" w:gutter="0" w:footer="0" w:header="0"/>
        </w:sectPr>
      </w:pPr>
    </w:p>
    <w:bookmarkStart w:id="41" w:name="page42"/>
    <w:bookmarkEnd w:id="41"/>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4"/>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three months ended September 30, 2021 and 2020:</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3"/>
        </w:trPr>
        <w:tc>
          <w:tcPr>
            <w:tcW w:w="7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9"/>
        </w:trPr>
        <w:tc>
          <w:tcPr>
            <w:tcW w:w="7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43,178</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38,608</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58,752</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36,530</w:t>
            </w:r>
          </w:p>
        </w:tc>
        <w:tc>
          <w:tcPr>
            <w:tcW w:w="0" w:type="dxa"/>
            <w:vAlign w:val="bottom"/>
          </w:tcPr>
          <w:p>
            <w:pPr>
              <w:spacing w:after="0"/>
              <w:rPr>
                <w:sz w:val="1"/>
                <w:szCs w:val="1"/>
                <w:color w:val="auto"/>
              </w:rPr>
            </w:pPr>
          </w:p>
        </w:tc>
      </w:tr>
      <w:tr>
        <w:trPr>
          <w:trHeight w:val="29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(Loss) Profit</w:t>
            </w: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b w:val="1"/>
                <w:bCs w:val="1"/>
                <w:color w:val="auto"/>
              </w:rPr>
              <w:t>(15,574)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2,078</w:t>
            </w:r>
          </w:p>
        </w:tc>
        <w:tc>
          <w:tcPr>
            <w:tcW w:w="0" w:type="dxa"/>
            <w:vAlign w:val="bottom"/>
          </w:tcPr>
          <w:p>
            <w:pPr>
              <w:spacing w:after="0"/>
              <w:rPr>
                <w:sz w:val="1"/>
                <w:szCs w:val="1"/>
                <w:color w:val="auto"/>
              </w:rPr>
            </w:pPr>
          </w:p>
        </w:tc>
      </w:tr>
      <w:tr>
        <w:trPr>
          <w:trHeight w:val="19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5 %</w:t>
            </w:r>
          </w:p>
        </w:tc>
        <w:tc>
          <w:tcPr>
            <w:tcW w:w="0" w:type="dxa"/>
            <w:vAlign w:val="bottom"/>
          </w:tcPr>
          <w:p>
            <w:pPr>
              <w:spacing w:after="0"/>
              <w:rPr>
                <w:sz w:val="1"/>
                <w:szCs w:val="1"/>
                <w:color w:val="auto"/>
              </w:rPr>
            </w:pPr>
          </w:p>
        </w:tc>
      </w:tr>
      <w:tr>
        <w:trPr>
          <w:trHeight w:val="21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Add:</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3,699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9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(Loss) Profit</w:t>
            </w: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b w:val="1"/>
                <w:bCs w:val="1"/>
                <w:color w:val="auto"/>
              </w:rPr>
              <w:t>(11,875)</w:t>
            </w:r>
          </w:p>
        </w:tc>
        <w:tc>
          <w:tcPr>
            <w:tcW w:w="6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5,584</w:t>
            </w:r>
          </w:p>
        </w:tc>
        <w:tc>
          <w:tcPr>
            <w:tcW w:w="0" w:type="dxa"/>
            <w:vAlign w:val="bottom"/>
          </w:tcPr>
          <w:p>
            <w:pPr>
              <w:spacing w:after="0"/>
              <w:rPr>
                <w:sz w:val="1"/>
                <w:szCs w:val="1"/>
                <w:color w:val="auto"/>
              </w:rPr>
            </w:pPr>
          </w:p>
        </w:tc>
      </w:tr>
      <w:tr>
        <w:trPr>
          <w:trHeight w:val="231"/>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Adjusted Gross Margin</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14 %</w:t>
            </w:r>
          </w:p>
        </w:tc>
        <w:tc>
          <w:tcPr>
            <w:tcW w:w="0" w:type="dxa"/>
            <w:vAlign w:val="bottom"/>
          </w:tcPr>
          <w:p>
            <w:pPr>
              <w:spacing w:after="0"/>
              <w:rPr>
                <w:sz w:val="1"/>
                <w:szCs w:val="1"/>
                <w:color w:val="auto"/>
              </w:rPr>
            </w:pPr>
          </w:p>
        </w:tc>
      </w:tr>
      <w:tr>
        <w:trPr>
          <w:trHeight w:val="60"/>
        </w:trPr>
        <w:tc>
          <w:tcPr>
            <w:tcW w:w="7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84"/>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nine months ended September 30, 2021 and 2020:</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center"/>
              <w:ind w:right="322"/>
              <w:spacing w:after="0"/>
              <w:rPr>
                <w:sz w:val="20"/>
                <w:szCs w:val="20"/>
                <w:color w:val="auto"/>
              </w:rPr>
            </w:pPr>
            <w:r>
              <w:rPr>
                <w:rFonts w:ascii="Arial" w:cs="Arial" w:eastAsia="Arial" w:hAnsi="Arial"/>
                <w:sz w:val="13"/>
                <w:szCs w:val="13"/>
                <w:b w:val="1"/>
                <w:bCs w:val="1"/>
                <w:color w:val="auto"/>
                <w:w w:val="87"/>
              </w:rPr>
              <w:t>Nine months ended September 30,</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3"/>
          </w:tcPr>
          <w:p>
            <w:pPr>
              <w:jc w:val="center"/>
              <w:ind w:left="645"/>
              <w:spacing w:after="0"/>
              <w:rPr>
                <w:sz w:val="20"/>
                <w:szCs w:val="20"/>
                <w:color w:val="auto"/>
              </w:rPr>
            </w:pPr>
            <w:r>
              <w:rPr>
                <w:rFonts w:ascii="Arial" w:cs="Arial" w:eastAsia="Arial" w:hAnsi="Arial"/>
                <w:sz w:val="13"/>
                <w:szCs w:val="13"/>
                <w:b w:val="1"/>
                <w:bCs w:val="1"/>
                <w:color w:val="auto"/>
                <w:w w:val="84"/>
              </w:rPr>
              <w:t>(in thousands)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154,394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115,365</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services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180,195</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111,754</w:t>
            </w:r>
          </w:p>
        </w:tc>
        <w:tc>
          <w:tcPr>
            <w:tcW w:w="0" w:type="dxa"/>
            <w:vAlign w:val="bottom"/>
          </w:tcPr>
          <w:p>
            <w:pPr>
              <w:spacing w:after="0"/>
              <w:rPr>
                <w:sz w:val="1"/>
                <w:szCs w:val="1"/>
                <w:color w:val="auto"/>
              </w:rPr>
            </w:pPr>
          </w:p>
        </w:tc>
      </w:tr>
      <w:tr>
        <w:trPr>
          <w:trHeight w:val="291"/>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(Loss) Profit</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b w:val="1"/>
                <w:bCs w:val="1"/>
                <w:color w:val="auto"/>
              </w:rPr>
              <w:t>(25,801)</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3,611</w:t>
            </w:r>
          </w:p>
        </w:tc>
        <w:tc>
          <w:tcPr>
            <w:tcW w:w="0" w:type="dxa"/>
            <w:vAlign w:val="bottom"/>
          </w:tcPr>
          <w:p>
            <w:pPr>
              <w:spacing w:after="0"/>
              <w:rPr>
                <w:sz w:val="1"/>
                <w:szCs w:val="1"/>
                <w:color w:val="auto"/>
              </w:rPr>
            </w:pPr>
          </w:p>
        </w:tc>
      </w:tr>
      <w:tr>
        <w:trPr>
          <w:trHeight w:val="195"/>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Margin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3 %</w:t>
            </w:r>
          </w:p>
        </w:tc>
        <w:tc>
          <w:tcPr>
            <w:tcW w:w="0" w:type="dxa"/>
            <w:vAlign w:val="bottom"/>
          </w:tcPr>
          <w:p>
            <w:pPr>
              <w:spacing w:after="0"/>
              <w:rPr>
                <w:sz w:val="1"/>
                <w:szCs w:val="1"/>
                <w:color w:val="auto"/>
              </w:rPr>
            </w:pPr>
          </w:p>
        </w:tc>
      </w:tr>
      <w:tr>
        <w:trPr>
          <w:trHeight w:val="219"/>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Add:</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17"/>
                <w:szCs w:val="17"/>
                <w:color w:val="auto"/>
              </w:rPr>
            </w:pPr>
          </w:p>
        </w:tc>
        <w:tc>
          <w:tcPr>
            <w:tcW w:w="1240" w:type="dxa"/>
            <w:vAlign w:val="bottom"/>
          </w:tcPr>
          <w:p>
            <w:pPr>
              <w:jc w:val="right"/>
              <w:ind w:right="145"/>
              <w:spacing w:after="0"/>
              <w:rPr>
                <w:sz w:val="20"/>
                <w:szCs w:val="20"/>
                <w:color w:val="auto"/>
              </w:rPr>
            </w:pPr>
            <w:r>
              <w:rPr>
                <w:rFonts w:ascii="Arial" w:cs="Arial" w:eastAsia="Arial" w:hAnsi="Arial"/>
                <w:sz w:val="16"/>
                <w:szCs w:val="16"/>
                <w:color w:val="auto"/>
              </w:rPr>
              <w:t>23,162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7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COVID Costs </w:t>
            </w:r>
            <w:r>
              <w:rPr>
                <w:rFonts w:ascii="Arial" w:cs="Arial" w:eastAsia="Arial" w:hAnsi="Arial"/>
                <w:sz w:val="20"/>
                <w:szCs w:val="20"/>
                <w:color w:val="auto"/>
                <w:vertAlign w:val="superscript"/>
              </w:rPr>
              <w:t>(1)</w:t>
            </w:r>
          </w:p>
        </w:tc>
        <w:tc>
          <w:tcPr>
            <w:tcW w:w="380" w:type="dxa"/>
            <w:vAlign w:val="bottom"/>
            <w:shd w:val="clear" w:color="auto" w:fill="CCEEFF"/>
          </w:tcPr>
          <w:p>
            <w:pPr>
              <w:spacing w:after="0"/>
              <w:rPr>
                <w:sz w:val="23"/>
                <w:szCs w:val="23"/>
                <w:color w:val="auto"/>
              </w:rPr>
            </w:pPr>
          </w:p>
        </w:tc>
        <w:tc>
          <w:tcPr>
            <w:tcW w:w="1240" w:type="dxa"/>
            <w:vAlign w:val="bottom"/>
            <w:vMerge w:val="restart"/>
            <w:shd w:val="clear" w:color="auto" w:fill="CCEEFF"/>
          </w:tcPr>
          <w:p>
            <w:pPr>
              <w:jc w:val="right"/>
              <w:ind w:right="145"/>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107"/>
        </w:trPr>
        <w:tc>
          <w:tcPr>
            <w:tcW w:w="1620" w:type="dxa"/>
            <w:vAlign w:val="bottom"/>
            <w:shd w:val="clear" w:color="auto" w:fill="CCEEFF"/>
          </w:tcPr>
          <w:p>
            <w:pPr>
              <w:spacing w:after="0"/>
              <w:rPr>
                <w:sz w:val="9"/>
                <w:szCs w:val="9"/>
                <w:color w:val="auto"/>
              </w:rPr>
            </w:pPr>
          </w:p>
        </w:tc>
        <w:tc>
          <w:tcPr>
            <w:tcW w:w="632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Gross (Loss) Profit</w:t>
            </w:r>
          </w:p>
        </w:tc>
        <w:tc>
          <w:tcPr>
            <w:tcW w:w="380" w:type="dxa"/>
            <w:vAlign w:val="bottom"/>
          </w:tcPr>
          <w:p>
            <w:pPr>
              <w:jc w:val="right"/>
              <w:ind w:right="2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105"/>
              <w:spacing w:after="0"/>
              <w:rPr>
                <w:sz w:val="20"/>
                <w:szCs w:val="20"/>
                <w:color w:val="auto"/>
              </w:rPr>
            </w:pPr>
            <w:r>
              <w:rPr>
                <w:rFonts w:ascii="Arial" w:cs="Arial" w:eastAsia="Arial" w:hAnsi="Arial"/>
                <w:sz w:val="16"/>
                <w:szCs w:val="16"/>
                <w:b w:val="1"/>
                <w:bCs w:val="1"/>
                <w:color w:val="auto"/>
              </w:rPr>
              <w:t>(2,639)</w:t>
            </w:r>
          </w:p>
        </w:tc>
        <w:tc>
          <w:tcPr>
            <w:tcW w:w="6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10,290</w:t>
            </w:r>
          </w:p>
        </w:tc>
        <w:tc>
          <w:tcPr>
            <w:tcW w:w="0" w:type="dxa"/>
            <w:vAlign w:val="bottom"/>
          </w:tcPr>
          <w:p>
            <w:pPr>
              <w:spacing w:after="0"/>
              <w:rPr>
                <w:sz w:val="1"/>
                <w:szCs w:val="1"/>
                <w:color w:val="auto"/>
              </w:rPr>
            </w:pPr>
          </w:p>
        </w:tc>
      </w:tr>
      <w:tr>
        <w:trPr>
          <w:trHeight w:val="271"/>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shd w:val="clear" w:color="auto" w:fill="CCEEFF"/>
              </w:rPr>
              <w:t>Adjusted Gross Margin</w:t>
            </w:r>
          </w:p>
        </w:tc>
        <w:tc>
          <w:tcPr>
            <w:tcW w:w="63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9 %</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13"/>
                <w:szCs w:val="13"/>
                <w:color w:val="auto"/>
              </w:rPr>
              <w:t>__________________</w:t>
            </w:r>
          </w:p>
        </w:tc>
        <w:tc>
          <w:tcPr>
            <w:tcW w:w="6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4" w:right="80" w:hanging="284"/>
        <w:spacing w:after="0" w:line="239" w:lineRule="auto"/>
        <w:tabs>
          <w:tab w:leader="none" w:pos="277"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color w:val="auto"/>
        </w:rPr>
        <w:t>Represents labor costs with respect to laboratory employees’ downtime. During the second quarter of 2020, we did not reduce the workforce in our laboratory from COVID-19. However, we were adversely affected by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3" w:lineRule="exact"/>
        <w:rPr>
          <w:sz w:val="20"/>
          <w:szCs w:val="20"/>
          <w:color w:val="auto"/>
        </w:rPr>
      </w:pPr>
    </w:p>
    <w:p>
      <w:pPr>
        <w:jc w:val="both"/>
        <w:ind w:left="4" w:firstLine="287"/>
        <w:spacing w:after="0" w:line="258" w:lineRule="auto"/>
        <w:rPr>
          <w:sz w:val="20"/>
          <w:szCs w:val="20"/>
          <w:color w:val="auto"/>
        </w:rPr>
      </w:pPr>
      <w:r>
        <w:rPr>
          <w:rFonts w:ascii="Arial" w:cs="Arial" w:eastAsia="Arial" w:hAnsi="Arial"/>
          <w:sz w:val="16"/>
          <w:szCs w:val="16"/>
          <w:color w:val="auto"/>
        </w:rPr>
        <w:t>Adjusted EBITDA is a non-GAAP financial measure that we define as net loss adjusted for interest expense, net, depreciation and amortization, stock-based compensation expenses, transaction costs, other income (expense), net, change in fair market value of warrant and earn-out contingent liabilities and COVID-19 costs.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356" w:lineRule="exact"/>
        <w:rPr>
          <w:sz w:val="20"/>
          <w:szCs w:val="20"/>
          <w:color w:val="auto"/>
        </w:rPr>
      </w:pPr>
    </w:p>
    <w:p>
      <w:pPr>
        <w:jc w:val="center"/>
        <w:ind w:right="-283"/>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4"/>
          </w:cols>
          <w:pgMar w:left="316" w:top="139" w:right="319" w:bottom="1440" w:gutter="0" w:footer="0" w:header="0"/>
        </w:sectPr>
      </w:pPr>
    </w:p>
    <w:bookmarkStart w:id="42" w:name="page43"/>
    <w:bookmarkEnd w:id="42"/>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is a reconciliation of our net loss to Adjusted EBITDA for the three months ended September 30, 2021 and 2020:</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w w:val="97"/>
              </w:rPr>
              <w:t>Three months ended September 30,</w:t>
            </w:r>
          </w:p>
        </w:tc>
      </w:tr>
      <w:tr>
        <w:trPr>
          <w:trHeight w:val="163"/>
        </w:trPr>
        <w:tc>
          <w:tcPr>
            <w:tcW w:w="8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2020</w:t>
            </w:r>
          </w:p>
        </w:tc>
      </w:tr>
      <w:tr>
        <w:trPr>
          <w:trHeight w:val="159"/>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66"/>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3"/>
                <w:szCs w:val="13"/>
                <w:color w:val="auto"/>
              </w:rPr>
            </w:pP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(56,615)</w:t>
            </w:r>
          </w:p>
        </w:tc>
      </w:tr>
      <w:tr>
        <w:trPr>
          <w:trHeight w:val="203"/>
        </w:trPr>
        <w:tc>
          <w:tcPr>
            <w:tcW w:w="820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Interest expense, net </w:t>
            </w:r>
            <w:r>
              <w:rPr>
                <w:rFonts w:ascii="Arial" w:cs="Arial" w:eastAsia="Arial" w:hAnsi="Arial"/>
                <w:sz w:val="20"/>
                <w:szCs w:val="20"/>
                <w:color w:val="auto"/>
                <w:vertAlign w:val="superscript"/>
              </w:rPr>
              <w:t>(1)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574</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3,067</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18,011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29,453</w:t>
            </w:r>
          </w:p>
        </w:tc>
      </w:tr>
      <w:tr>
        <w:trPr>
          <w:trHeight w:val="203"/>
        </w:trPr>
        <w:tc>
          <w:tcPr>
            <w:tcW w:w="82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 xml:space="preserve">Transaction costs </w:t>
            </w:r>
            <w:r>
              <w:rPr>
                <w:rFonts w:ascii="Arial" w:cs="Arial" w:eastAsia="Arial" w:hAnsi="Arial"/>
                <w:sz w:val="20"/>
                <w:szCs w:val="20"/>
                <w:color w:val="auto"/>
                <w:vertAlign w:val="superscript"/>
              </w:rPr>
              <w:t>(2)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Change in fair market value of warrant and earn-out contingent liabilities </w:t>
            </w:r>
            <w:r>
              <w:rPr>
                <w:rFonts w:ascii="Arial" w:cs="Arial" w:eastAsia="Arial" w:hAnsi="Arial"/>
                <w:sz w:val="20"/>
                <w:szCs w:val="20"/>
                <w:color w:val="auto"/>
                <w:vertAlign w:val="superscript"/>
              </w:rPr>
              <w:t>(3)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(122,171)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0"/>
                <w:szCs w:val="20"/>
                <w:color w:val="auto"/>
                <w:vertAlign w:val="superscript"/>
              </w:rPr>
              <w:t>(4)</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r>
      <w:tr>
        <w:trPr>
          <w:trHeight w:val="195"/>
        </w:trPr>
        <w:tc>
          <w:tcPr>
            <w:tcW w:w="8200" w:type="dxa"/>
            <w:vAlign w:val="bottom"/>
          </w:tcPr>
          <w:p>
            <w:pPr>
              <w:ind w:left="48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(65,887)</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(23,495)</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__________________</w:t>
      </w:r>
    </w:p>
    <w:p>
      <w:pPr>
        <w:ind w:left="284" w:hanging="284"/>
        <w:spacing w:after="0" w:line="236" w:lineRule="auto"/>
        <w:tabs>
          <w:tab w:leader="none" w:pos="284"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Represents the total of Interest Expense related to our capital leases and interest-bearing loans and Interest Income on money market funds.</w:t>
      </w:r>
    </w:p>
    <w:p>
      <w:pPr>
        <w:ind w:left="284" w:hanging="284"/>
        <w:spacing w:after="0" w:line="230" w:lineRule="auto"/>
        <w:tabs>
          <w:tab w:leader="none" w:pos="284"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Represents professional service costs incurred in connection with pursuing the Business Combination transaction that did not meet the requirement for capitalization.</w:t>
      </w:r>
    </w:p>
    <w:p>
      <w:pPr>
        <w:ind w:left="284" w:right="80" w:hanging="284"/>
        <w:spacing w:after="0" w:line="230" w:lineRule="auto"/>
        <w:tabs>
          <w:tab w:leader="none" w:pos="277"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For the three months ended September 30, 2021, represents the change in fair market value of the liabilities associated with our public warrants and private placement warrants and the earn-out shares issuable under the terms of the Merger Agreement.</w:t>
      </w:r>
    </w:p>
    <w:p>
      <w:pPr>
        <w:ind w:left="284" w:hanging="284"/>
        <w:spacing w:after="0"/>
        <w:tabs>
          <w:tab w:leader="none" w:pos="284"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For the three months ended September 30, 2021, consists primarily of penalties related to early extinguishment of debt.</w:t>
      </w:r>
    </w:p>
    <w:p>
      <w:pPr>
        <w:spacing w:after="0" w:line="155"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is a reconciliation of our net loss to Adjusted EBITDA for the nine months ended September 30, 2021 and 2020:</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63"/>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2020</w:t>
            </w:r>
          </w:p>
        </w:tc>
      </w:tr>
      <w:tr>
        <w:trPr>
          <w:trHeight w:val="159"/>
        </w:trPr>
        <w:tc>
          <w:tcPr>
            <w:tcW w:w="8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66"/>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3"/>
                <w:szCs w:val="13"/>
                <w:color w:val="auto"/>
              </w:rPr>
            </w:pP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(204,963)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(115,657)</w:t>
            </w:r>
          </w:p>
        </w:tc>
      </w:tr>
      <w:tr>
        <w:trPr>
          <w:trHeight w:val="203"/>
        </w:trPr>
        <w:tc>
          <w:tcPr>
            <w:tcW w:w="820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Interest expense, net </w:t>
            </w:r>
            <w:r>
              <w:rPr>
                <w:rFonts w:ascii="Arial" w:cs="Arial" w:eastAsia="Arial" w:hAnsi="Arial"/>
                <w:sz w:val="20"/>
                <w:szCs w:val="20"/>
                <w:color w:val="auto"/>
                <w:vertAlign w:val="superscript"/>
              </w:rPr>
              <w:t>(1)</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1,353</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8,147</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182,454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30,073</w:t>
            </w:r>
          </w:p>
        </w:tc>
      </w:tr>
      <w:tr>
        <w:trPr>
          <w:trHeight w:val="203"/>
        </w:trPr>
        <w:tc>
          <w:tcPr>
            <w:tcW w:w="82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 xml:space="preserve">Transaction costs </w:t>
            </w:r>
            <w:r>
              <w:rPr>
                <w:rFonts w:ascii="Arial" w:cs="Arial" w:eastAsia="Arial" w:hAnsi="Arial"/>
                <w:sz w:val="20"/>
                <w:szCs w:val="20"/>
                <w:color w:val="auto"/>
                <w:vertAlign w:val="superscript"/>
              </w:rPr>
              <w:t>(2)</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Change in fair market value of warrant and earn-out contingent liabilities </w:t>
            </w:r>
            <w:r>
              <w:rPr>
                <w:rFonts w:ascii="Arial" w:cs="Arial" w:eastAsia="Arial" w:hAnsi="Arial"/>
                <w:sz w:val="20"/>
                <w:szCs w:val="20"/>
                <w:color w:val="auto"/>
                <w:vertAlign w:val="superscript"/>
              </w:rPr>
              <w:t>(3)</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2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0"/>
                <w:szCs w:val="20"/>
                <w:color w:val="auto"/>
                <w:vertAlign w:val="superscript"/>
              </w:rPr>
              <w:t>(4)</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r>
      <w:tr>
        <w:trPr>
          <w:trHeight w:val="203"/>
        </w:trPr>
        <w:tc>
          <w:tcPr>
            <w:tcW w:w="820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COVID-19 costs </w:t>
            </w:r>
            <w:r>
              <w:rPr>
                <w:rFonts w:ascii="Arial" w:cs="Arial" w:eastAsia="Arial" w:hAnsi="Arial"/>
                <w:sz w:val="20"/>
                <w:szCs w:val="20"/>
                <w:color w:val="auto"/>
                <w:vertAlign w:val="superscript"/>
              </w:rPr>
              <w:t>(5)</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3,179</w:t>
            </w:r>
          </w:p>
        </w:tc>
      </w:tr>
      <w:tr>
        <w:trPr>
          <w:trHeight w:val="220"/>
        </w:trPr>
        <w:tc>
          <w:tcPr>
            <w:tcW w:w="82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(75,550)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__________________</w:t>
      </w:r>
    </w:p>
    <w:p>
      <w:pPr>
        <w:ind w:left="284" w:hanging="284"/>
        <w:spacing w:after="0" w:line="236" w:lineRule="auto"/>
        <w:tabs>
          <w:tab w:leader="none" w:pos="284"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Represents the total of Interest Expense related to our capital leases and interest-bearing loans and Interest Income on money market funds.</w:t>
      </w:r>
    </w:p>
    <w:p>
      <w:pPr>
        <w:ind w:left="284" w:hanging="284"/>
        <w:spacing w:after="0" w:line="230" w:lineRule="auto"/>
        <w:tabs>
          <w:tab w:leader="none" w:pos="284"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Represents professional service costs incurred in connection with pursuing the Business Combination transaction that did not meet the requirement for capitalization.</w:t>
      </w:r>
    </w:p>
    <w:p>
      <w:pPr>
        <w:ind w:left="284" w:right="120" w:hanging="284"/>
        <w:spacing w:after="0" w:line="230" w:lineRule="auto"/>
        <w:tabs>
          <w:tab w:leader="none" w:pos="277"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For the nine months ended September 30, 2021, represents the change in fair market value of the liabilities associated with our public warrants and private placement warrants and the earn-out shares issuable under the terms of the Merger Agreement.</w:t>
      </w:r>
    </w:p>
    <w:p>
      <w:pPr>
        <w:ind w:left="284" w:right="180" w:hanging="284"/>
        <w:spacing w:after="0" w:line="230" w:lineRule="auto"/>
        <w:tabs>
          <w:tab w:leader="none" w:pos="277"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For the nine months ended September 30, 2021 and 2020, consists primarily of funding received under the CARES Act Provider Relief Fund, offset by penalties related to early extinguishment of debt occurred in three months ended September 30, 2021.</w:t>
      </w:r>
    </w:p>
    <w:p>
      <w:pPr>
        <w:ind w:left="284" w:right="200" w:hanging="284"/>
        <w:spacing w:after="0" w:line="234" w:lineRule="auto"/>
        <w:tabs>
          <w:tab w:leader="none" w:pos="277"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Going Concern, Liquidity and Capital Resources</w:t>
      </w:r>
    </w:p>
    <w:p>
      <w:pPr>
        <w:spacing w:after="0" w:line="179" w:lineRule="exact"/>
        <w:rPr>
          <w:sz w:val="20"/>
          <w:szCs w:val="20"/>
          <w:color w:val="auto"/>
        </w:rPr>
      </w:pPr>
    </w:p>
    <w:p>
      <w:pPr>
        <w:ind w:left="4" w:right="20" w:firstLine="287"/>
        <w:spacing w:after="0" w:line="349" w:lineRule="auto"/>
        <w:rPr>
          <w:sz w:val="20"/>
          <w:szCs w:val="20"/>
          <w:color w:val="auto"/>
        </w:rPr>
      </w:pPr>
      <w:r>
        <w:rPr>
          <w:rFonts w:ascii="Arial" w:cs="Arial" w:eastAsia="Arial" w:hAnsi="Arial"/>
          <w:sz w:val="14"/>
          <w:szCs w:val="14"/>
          <w:color w:val="auto"/>
        </w:rPr>
        <w:t>On July 22, 2021, we completed the Business Combination with CMLS and received net cash proceeds of $510 million. Management determined that the cash proceeds received from the Business Combination provides us with sufficient liquidity to meet our obligations for at least twelve months from the date of this Quarterly Report.</w:t>
      </w:r>
    </w:p>
    <w:p>
      <w:pPr>
        <w:spacing w:after="0" w:line="297" w:lineRule="exact"/>
        <w:rPr>
          <w:sz w:val="20"/>
          <w:szCs w:val="20"/>
          <w:color w:val="auto"/>
        </w:rPr>
      </w:pPr>
    </w:p>
    <w:p>
      <w:pPr>
        <w:jc w:val="center"/>
        <w:ind w:right="-283"/>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4"/>
          </w:cols>
          <w:pgMar w:left="316" w:top="139" w:right="3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Accordingly, the unaudited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 for Known Contractual Obligations and Commitments</w:t>
      </w:r>
    </w:p>
    <w:p>
      <w:pPr>
        <w:spacing w:after="0" w:line="167"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 xml:space="preserve">The following is a description of commitments for known and reasonably likely cash requirements as of September 30, 2021 and December 31, 2020. We anticipate fulfilling such commitments with our existing cash and cash equivalents, which amounted to $461.3 million and $108.1 million as of September 30, 2021 and December 31, 2020, respectively, or through additional capital raised to finance our operations; see </w:t>
      </w:r>
      <w:r>
        <w:rPr>
          <w:rFonts w:ascii="Arial" w:cs="Arial" w:eastAsia="Arial" w:hAnsi="Arial"/>
          <w:sz w:val="15"/>
          <w:szCs w:val="15"/>
          <w:i w:val="1"/>
          <w:iCs w:val="1"/>
          <w:color w:val="auto"/>
        </w:rPr>
        <w:t>"—Going Concern, Liquidity and Capital Resources"</w:t>
      </w:r>
      <w:r>
        <w:rPr>
          <w:rFonts w:ascii="Arial" w:cs="Arial" w:eastAsia="Arial" w:hAnsi="Arial"/>
          <w:sz w:val="15"/>
          <w:szCs w:val="15"/>
          <w:color w:val="auto"/>
        </w:rPr>
        <w:t>.</w:t>
      </w:r>
    </w:p>
    <w:p>
      <w:pPr>
        <w:spacing w:after="0" w:line="110"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 xml:space="preserve">Our future minimum payments under non-cancellable operating lease agreements were $69.4 million as of September 30, 2021 and $73.3 million as of December 31, 2020. The timing of these future payments, by year, can be found in Legacy Sema4’s audited financial statements in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included within the Proxy Statement and our unaudited condensed consolidated financial statements in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included within the Quarterly Report respectively.</w:t>
      </w:r>
    </w:p>
    <w:p>
      <w:pPr>
        <w:spacing w:after="0" w:line="141"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 xml:space="preserve">Our future payments under capital leases were $66.7 million as of September 30, 2021. The timing of these future payments, by year, can be found in Legacy Sema4’s audited financial statements in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included within the Proxy Statement and our unaudited condensed consolidated financial statements in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included within this Quarterly Report,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center"/>
              <w:ind w:right="284"/>
              <w:spacing w:after="0"/>
              <w:rPr>
                <w:sz w:val="20"/>
                <w:szCs w:val="20"/>
                <w:color w:val="auto"/>
              </w:rPr>
            </w:pPr>
            <w:r>
              <w:rPr>
                <w:rFonts w:ascii="Arial" w:cs="Arial" w:eastAsia="Arial" w:hAnsi="Arial"/>
                <w:sz w:val="13"/>
                <w:szCs w:val="13"/>
                <w:b w:val="1"/>
                <w:bCs w:val="1"/>
                <w:color w:val="auto"/>
                <w:w w:val="87"/>
              </w:rPr>
              <w:t>Nine months ended September 30,</w:t>
            </w:r>
          </w:p>
        </w:tc>
      </w:tr>
      <w:tr>
        <w:trPr>
          <w:trHeight w:val="163"/>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r>
      <w:tr>
        <w:trPr>
          <w:trHeight w:val="159"/>
        </w:trPr>
        <w:tc>
          <w:tcPr>
            <w:tcW w:w="8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jc w:val="center"/>
              <w:ind w:left="568"/>
              <w:spacing w:after="0"/>
              <w:rPr>
                <w:sz w:val="20"/>
                <w:szCs w:val="20"/>
                <w:color w:val="auto"/>
              </w:rPr>
            </w:pPr>
            <w:r>
              <w:rPr>
                <w:rFonts w:ascii="Arial" w:cs="Arial" w:eastAsia="Arial" w:hAnsi="Arial"/>
                <w:sz w:val="13"/>
                <w:szCs w:val="13"/>
                <w:b w:val="1"/>
                <w:bCs w:val="1"/>
                <w:color w:val="auto"/>
                <w:w w:val="87"/>
              </w:rPr>
              <w:t>(in thousands)</w:t>
            </w:r>
          </w:p>
        </w:tc>
        <w:tc>
          <w:tcPr>
            <w:tcW w:w="1000" w:type="dxa"/>
            <w:vAlign w:val="bottom"/>
          </w:tcPr>
          <w:p>
            <w:pPr>
              <w:spacing w:after="0"/>
              <w:rPr>
                <w:sz w:val="13"/>
                <w:szCs w:val="13"/>
                <w:color w:val="auto"/>
              </w:rPr>
            </w:pPr>
          </w:p>
        </w:tc>
      </w:tr>
      <w:tr>
        <w:trPr>
          <w:trHeight w:val="204"/>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(138,449)</w:t>
            </w:r>
          </w:p>
        </w:tc>
        <w:tc>
          <w:tcPr>
            <w:tcW w:w="5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3"/>
              </w:rPr>
              <w:t>(74,795)</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(13,093)</w:t>
            </w:r>
          </w:p>
        </w:tc>
        <w:tc>
          <w:tcPr>
            <w:tcW w:w="540" w:type="dxa"/>
            <w:vAlign w:val="bottom"/>
          </w:tcPr>
          <w:p>
            <w:pPr>
              <w:spacing w:after="0"/>
              <w:rPr>
                <w:sz w:val="17"/>
                <w:szCs w:val="17"/>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w w:val="93"/>
              </w:rPr>
              <w:t>(20,475)</w:t>
            </w:r>
          </w:p>
        </w:tc>
      </w:t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494,758</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119,942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5"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Net cash used in operating activities during the nine months ended September 30, 2021 was $138.4 million, which was primarily attributable to a net loss of $205.0 million and a change in fair value of the warrant and earn-out liabilities of $122.2 million, partially offset by non-cash depreciation and amortization of $16.0 million and non-cash stock-based compensation expense of $182.5 million. The net change in our operating assets and liabilities primarily reflected a $10.8 million decrease in accounts receivable due to a decrease in COVID-19 test volume performed during the second and third quarter of 2021, a $7.3 million increase in inventories driven by a higher volume of purchases to support increasing testing volumes, a $15.7 million increase in prepaid expenses and other current assets mainly driven by new insurance policy premiums paid during the nine months period, a $4.7 million increase in accounts payable and accrued expenses due to the timing of vendor payments of large vendors, and a $3.4 million decrease in other current liabilities mainly driven by the repayment of capital leases and decrease in compensation related accruals.</w:t>
      </w:r>
    </w:p>
    <w:p>
      <w:pPr>
        <w:spacing w:after="0" w:line="120"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Net cash used in operating activities during the nine months ended September 30, 2020 was $74.8 million, which was primarily attributable to a net loss of $115.7 million, partially offset by non-cash depreciation and amortization of $8.1 million and non-cash stock-based compensation expense of $30.1 million. The net change in our operating assets and liabilities primarily reflected an increase in inventory of $8.1 million and an increase in other current liabilities of $10.1 million.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5"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Net cash used in investing activities during the nine months ended September 30, 2021 was $13.1 million, which was attributable to $4.3 million in purchases of property and equipment and $8.7 million of costs related to development of internal-use software assets.</w:t>
      </w:r>
    </w:p>
    <w:p>
      <w:pPr>
        <w:spacing w:after="0" w:line="11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Net cash used in investing activities during the nine months ended September 30, 2020 was $20.5 million, which was attributable to $17.3 million in purchases of property and equipment and $3.2 million of costs related to development of internal-use software assets.</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320" w:top="139" w:right="31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5"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Net cash provided by financing activities during the nine months ended September 30, 2021 was $494.8 million, which was attributable to the consummation of the Merger including: $350.0 million from PIPE investment proceeds; $442.7 million from an equity infusion from the Merger, net of redemptions; offset by $230.7 million in the cash payments to certain Legacy Sema4 stockholders; payment of transaction costs of $51.8 million; and $3.8 million of stock appreciate rights pay-outs. These amounts were further offset by an $8.7 million repayment of long-term debt and $3.0 million of capital lease principal payments.</w:t>
      </w:r>
    </w:p>
    <w:p>
      <w:pPr>
        <w:spacing w:after="0" w:line="115"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Net cash provided by financing activities during the nine months ended September 30, 2020 was $120.0 million, which was attributable to $117.3 million in proceeds, net of issuance costs from the issuance of Series C redeemable convertible preferred stock, and $6.0 million in cash proceeds from the issuance of long-term debt, partially offset by $3.4 million in principal payments on our capital lease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9" w:lineRule="exact"/>
        <w:rPr>
          <w:sz w:val="20"/>
          <w:szCs w:val="20"/>
          <w:color w:val="auto"/>
        </w:rPr>
      </w:pPr>
    </w:p>
    <w:p>
      <w:pPr>
        <w:ind w:right="560" w:firstLine="287"/>
        <w:spacing w:after="0" w:line="452" w:lineRule="auto"/>
        <w:rPr>
          <w:sz w:val="20"/>
          <w:szCs w:val="20"/>
          <w:color w:val="auto"/>
        </w:rPr>
      </w:pPr>
      <w:r>
        <w:rPr>
          <w:rFonts w:ascii="Arial" w:cs="Arial" w:eastAsia="Arial" w:hAnsi="Arial"/>
          <w:sz w:val="16"/>
          <w:szCs w:val="16"/>
          <w:color w:val="auto"/>
        </w:rPr>
        <w:t xml:space="preserve">We did not have during the periods presented, and we do not currently have, any off-balance sheet arrangements, as defined in the rules and regulations of the SEC. </w:t>
      </w:r>
      <w:r>
        <w:rPr>
          <w:rFonts w:ascii="Arial" w:cs="Arial" w:eastAsia="Arial" w:hAnsi="Arial"/>
          <w:sz w:val="16"/>
          <w:szCs w:val="16"/>
          <w:b w:val="1"/>
          <w:bCs w:val="1"/>
          <w:color w:val="auto"/>
        </w:rPr>
        <w:t>Critical Accounting Policies and Estimates</w:t>
      </w:r>
    </w:p>
    <w:p>
      <w:pPr>
        <w:jc w:val="both"/>
        <w:ind w:firstLine="287"/>
        <w:spacing w:after="0" w:line="274"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3" w:lineRule="exact"/>
        <w:rPr>
          <w:sz w:val="20"/>
          <w:szCs w:val="20"/>
          <w:color w:val="auto"/>
        </w:rPr>
      </w:pPr>
    </w:p>
    <w:p>
      <w:pPr>
        <w:jc w:val="both"/>
        <w:ind w:right="20" w:firstLine="287"/>
        <w:spacing w:after="0" w:line="317" w:lineRule="auto"/>
        <w:rPr>
          <w:sz w:val="20"/>
          <w:szCs w:val="20"/>
          <w:color w:val="auto"/>
        </w:rPr>
      </w:pPr>
      <w:r>
        <w:rPr>
          <w:rFonts w:ascii="Arial" w:cs="Arial" w:eastAsia="Arial" w:hAnsi="Arial"/>
          <w:sz w:val="14"/>
          <w:szCs w:val="14"/>
          <w:color w:val="auto"/>
        </w:rPr>
        <w:t xml:space="preserve">Except as described in Note 2, </w:t>
      </w:r>
      <w:r>
        <w:rPr>
          <w:rFonts w:ascii="Arial" w:cs="Arial" w:eastAsia="Arial" w:hAnsi="Arial"/>
          <w:sz w:val="14"/>
          <w:szCs w:val="14"/>
          <w:i w:val="1"/>
          <w:iCs w:val="1"/>
          <w:color w:val="auto"/>
        </w:rPr>
        <w:t>“Summary of Significant Accounting Policies – Recent Accounting Pronouncement Issued but Not Yet Adopted,”</w:t>
      </w:r>
      <w:r>
        <w:rPr>
          <w:rFonts w:ascii="Arial" w:cs="Arial" w:eastAsia="Arial" w:hAnsi="Arial"/>
          <w:sz w:val="14"/>
          <w:szCs w:val="14"/>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Legacy Sema4’s audited consolidated financial statements and notes thereto included within the Proxy Statement.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67"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46"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67"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 xml:space="preserve">Additional information on recent accounting pronouncements can be found in Legacy Sema4’s audited financial statements in Note 2,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w:t>
      </w:r>
      <w:r>
        <w:rPr>
          <w:rFonts w:ascii="Arial" w:cs="Arial" w:eastAsia="Arial" w:hAnsi="Arial"/>
          <w:sz w:val="16"/>
          <w:szCs w:val="16"/>
          <w:color w:val="auto"/>
        </w:rPr>
        <w:t>included within the Proxy Statement and our unaudited condensed consolidated financial statements in Note 2,</w:t>
      </w:r>
      <w:r>
        <w:rPr>
          <w:rFonts w:ascii="Arial" w:cs="Arial" w:eastAsia="Arial" w:hAnsi="Arial"/>
          <w:sz w:val="16"/>
          <w:szCs w:val="16"/>
          <w:i w:val="1"/>
          <w:iCs w:val="1"/>
          <w:color w:val="auto"/>
        </w:rPr>
        <w:t xml:space="preserve"> “Summary of Significant Accounting Policies.” </w:t>
      </w:r>
      <w:r>
        <w:rPr>
          <w:rFonts w:ascii="Arial" w:cs="Arial" w:eastAsia="Arial" w:hAnsi="Arial"/>
          <w:sz w:val="16"/>
          <w:szCs w:val="16"/>
          <w:color w:val="auto"/>
        </w:rPr>
        <w:t>Included within the Quarterly Report.</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139" w:right="31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Controls</w:t>
      </w:r>
    </w:p>
    <w:p>
      <w:pPr>
        <w:spacing w:after="0" w:line="179"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In connection with the preparation of Legacy Sema4's audited financial statements included in the Proxy Statement, we identified material weaknesses in our controls,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26" w:lineRule="exact"/>
        <w:rPr>
          <w:sz w:val="20"/>
          <w:szCs w:val="20"/>
          <w:color w:val="auto"/>
        </w:rPr>
      </w:pPr>
    </w:p>
    <w:p>
      <w:pPr>
        <w:jc w:val="both"/>
        <w:ind w:left="560" w:right="20" w:hanging="278"/>
        <w:spacing w:after="0" w:line="262"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6"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4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engaged outside consultants to assist us in the evaluation of our Enterprise Resource Planning (“ERP”) system in order to mitigate the internal control gaps and limitations with the current configuration, and to enhance the information technology general controls environment.</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remediation activities are continuing during 2021. In addition to the above actions, we expect to engage in additional activities, including, but not limited to:</w:t>
      </w:r>
    </w:p>
    <w:p>
      <w:pPr>
        <w:spacing w:after="0" w:line="186" w:lineRule="exact"/>
        <w:rPr>
          <w:sz w:val="20"/>
          <w:szCs w:val="20"/>
          <w:color w:val="auto"/>
        </w:rPr>
      </w:pPr>
    </w:p>
    <w:p>
      <w:pPr>
        <w:ind w:left="560" w:hanging="27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Hiring more technical accounting resources to enhance our control environment;</w:t>
      </w:r>
    </w:p>
    <w:p>
      <w:pPr>
        <w:spacing w:after="0" w:line="162"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116"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38"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9"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$462.2 million as of September 30, 2021. Such interest-bearing instruments carry a degree of risk; however, because our investments are primarily high-quality credit instruments with short-term durations with high-quality institutions, we have not been exposed to, nor do we anticipate</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139" w:right="31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being exposed to, material risks due to changes in interest rates. A 100 basis point change in interest rates would not have a material effect on the fair market value of our cash, cash equivalents and restricted cash.</w:t>
      </w:r>
    </w:p>
    <w:p>
      <w:pPr>
        <w:spacing w:after="0" w:line="128" w:lineRule="exact"/>
        <w:rPr>
          <w:sz w:val="20"/>
          <w:szCs w:val="20"/>
          <w:color w:val="auto"/>
        </w:rPr>
      </w:pPr>
    </w:p>
    <w:p>
      <w:pPr>
        <w:jc w:val="both"/>
        <w:ind w:right="20" w:firstLine="287"/>
        <w:spacing w:after="0" w:line="317" w:lineRule="auto"/>
        <w:rPr>
          <w:sz w:val="20"/>
          <w:szCs w:val="20"/>
          <w:color w:val="auto"/>
        </w:rPr>
      </w:pPr>
      <w:r>
        <w:rPr>
          <w:rFonts w:ascii="Arial" w:cs="Arial" w:eastAsia="Arial" w:hAnsi="Arial"/>
          <w:sz w:val="14"/>
          <w:szCs w:val="14"/>
          <w:color w:val="auto"/>
        </w:rPr>
        <w:t xml:space="preserve">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8,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and Sema4’s unaudited condensed consolidated financial statements in Note 8, </w:t>
      </w:r>
      <w:r>
        <w:rPr>
          <w:rFonts w:ascii="Arial" w:cs="Arial" w:eastAsia="Arial" w:hAnsi="Arial"/>
          <w:sz w:val="14"/>
          <w:szCs w:val="14"/>
          <w:i w:val="1"/>
          <w:i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7" w:lineRule="exact"/>
        <w:rPr>
          <w:sz w:val="20"/>
          <w:szCs w:val="20"/>
          <w:color w:val="auto"/>
        </w:rPr>
      </w:pPr>
    </w:p>
    <w:p>
      <w:pPr>
        <w:jc w:val="both"/>
        <w:ind w:right="20" w:firstLine="287"/>
        <w:spacing w:after="0" w:line="306"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on that evaluation, our Chief Executive Officer and Chief Financial Officer concluded that our disclosure controls and procedures were not effective as of September 30, 2021 because of the material weaknesses in internal control over financial reporting discussed below.</w:t>
      </w:r>
    </w:p>
    <w:p>
      <w:pPr>
        <w:spacing w:after="0" w:line="177" w:lineRule="exact"/>
        <w:rPr>
          <w:sz w:val="20"/>
          <w:szCs w:val="20"/>
          <w:color w:val="auto"/>
        </w:rPr>
      </w:pPr>
    </w:p>
    <w:p>
      <w:pPr>
        <w:ind w:right="160" w:firstLine="287"/>
        <w:spacing w:after="0" w:line="234" w:lineRule="auto"/>
        <w:rPr>
          <w:sz w:val="20"/>
          <w:szCs w:val="20"/>
          <w:color w:val="auto"/>
        </w:rPr>
      </w:pPr>
      <w:r>
        <w:rPr>
          <w:rFonts w:ascii="Arial" w:cs="Arial" w:eastAsia="Arial" w:hAnsi="Arial"/>
          <w:sz w:val="16"/>
          <w:szCs w:val="16"/>
          <w:color w:val="auto"/>
        </w:rPr>
        <w:t>Notwithstanding the material weakness in internal control over financial reporting described below,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Weaknesses</w:t>
      </w:r>
    </w:p>
    <w:p>
      <w:pPr>
        <w:spacing w:after="0" w:line="151"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As disclosed in the Proxy Statement, we have identified material weaknesses in our internal control over the financial statement close process related to deficiencies in information technology general controls and process level controls. These control deficiencies could result in a misstatement of our accounts or disclosures that would result in a material misstatement of our financial results that would not be prevented or detected, and accordingly, we determined that these control deficiencies result in material weaknesses.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Remediation Plan</w:t>
      </w:r>
    </w:p>
    <w:p>
      <w:pPr>
        <w:spacing w:after="0" w:line="163"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We are in the process of developing a detailed plan for remediation of the material weaknesses, as well as compliance with Section 404 of the Sarbanes-Oxley Act. Management has continued to implement remediation steps to address the material weaknesses and to improve our internal control over financial reporting. Specifically, we have hired key personnel in order to enhance the level of communication and understanding of controls within our financial accounting and reporting group. We also engaged external consultants to perform a gap analysis and assessment of design and implementation of internal controls that address relevant risks, as well as assist with remediation actions. As of September 30, 2021, the material weaknesses have not yet been fully remediated.</w:t>
      </w:r>
    </w:p>
    <w:p>
      <w:pPr>
        <w:spacing w:after="0" w:line="120"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320" w:top="139" w:right="3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rFonts w:ascii="Arial" w:cs="Arial" w:eastAsia="Arial" w:hAnsi="Arial"/>
          <w:sz w:val="16"/>
          <w:szCs w:val="16"/>
          <w:color w:val="0000FF"/>
        </w:rPr>
      </w:pPr>
      <w:hyperlink w:anchor="page45">
        <w:r>
          <w:rPr>
            <w:rFonts w:ascii="Arial" w:cs="Arial" w:eastAsia="Arial" w:hAnsi="Arial"/>
            <w:sz w:val="16"/>
            <w:szCs w:val="16"/>
            <w:color w:val="auto"/>
          </w:rPr>
          <w:t>design of our plan and take such other actions that we deem appropriate given the circumstances. For more information, see “</w:t>
        </w:r>
        <w:r>
          <w:rPr>
            <w:rFonts w:ascii="Arial" w:cs="Arial" w:eastAsia="Arial" w:hAnsi="Arial"/>
            <w:sz w:val="16"/>
            <w:szCs w:val="16"/>
            <w:u w:val="single" w:color="auto"/>
            <w:color w:val="0000FF"/>
          </w:rPr>
          <w:t>Item 2. Management's Discussion and Analysis of</w:t>
        </w:r>
      </w:hyperlink>
      <w:r>
        <w:rPr>
          <w:rFonts w:ascii="Arial" w:cs="Arial" w:eastAsia="Arial" w:hAnsi="Arial"/>
          <w:sz w:val="16"/>
          <w:szCs w:val="16"/>
          <w:color w:val="auto"/>
        </w:rPr>
        <w:t xml:space="preserve"> </w:t>
      </w:r>
      <w:hyperlink w:anchor="page45">
        <w:r>
          <w:rPr>
            <w:rFonts w:ascii="Arial" w:cs="Arial" w:eastAsia="Arial" w:hAnsi="Arial"/>
            <w:sz w:val="16"/>
            <w:szCs w:val="16"/>
            <w:u w:val="single" w:color="auto"/>
            <w:color w:val="0000FF"/>
          </w:rPr>
          <w:t>Financial Condition and Results of Operations—Internal Control</w:t>
        </w:r>
        <w:r>
          <w:rPr>
            <w:rFonts w:ascii="Arial" w:cs="Arial" w:eastAsia="Arial" w:hAnsi="Arial"/>
            <w:sz w:val="16"/>
            <w:szCs w:val="16"/>
            <w:color w:val="0000FF"/>
          </w:rPr>
          <w:t>s</w:t>
        </w:r>
        <w:r>
          <w:rPr>
            <w:rFonts w:ascii="Arial" w:cs="Arial" w:eastAsia="Arial" w:hAnsi="Arial"/>
            <w:sz w:val="16"/>
            <w:szCs w:val="16"/>
            <w:color w:val="000000"/>
          </w:rPr>
          <w:t>” above.</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63"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126"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During the fiscal quarter ended September 30, 2021, we completed the Business Combination and the internal controls of CMLS became our internal controls. We are engaged in the process of design and implementation of our internal control over financial reporting in a manner commensurate with the scale of our operations subsequent to the Business Combination, including the enhancement of our internal and external technical accounting resources.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Inherent Limitation on the Effectiveness of Internal Control</w:t>
      </w:r>
    </w:p>
    <w:p>
      <w:pPr>
        <w:spacing w:after="0" w:line="16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320" w:top="139" w:right="31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55" w:lineRule="exact"/>
        <w:rPr>
          <w:sz w:val="20"/>
          <w:szCs w:val="20"/>
          <w:color w:val="auto"/>
        </w:rPr>
      </w:pPr>
    </w:p>
    <w:p>
      <w:pPr>
        <w:ind w:right="380" w:firstLine="287"/>
        <w:spacing w:after="0" w:line="244" w:lineRule="auto"/>
        <w:rPr>
          <w:sz w:val="20"/>
          <w:szCs w:val="20"/>
          <w:color w:val="auto"/>
        </w:rPr>
      </w:pPr>
      <w:r>
        <w:rPr>
          <w:rFonts w:ascii="Arial" w:cs="Arial" w:eastAsia="Arial" w:hAnsi="Arial"/>
          <w:sz w:val="16"/>
          <w:szCs w:val="16"/>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9"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i w:val="1"/>
          <w:iCs w:val="1"/>
          <w:color w:val="auto"/>
        </w:rPr>
        <w:t>You should carefully review and consider the following risk factors and the other information contained in this Quarterly Report on Form 10-Qbefore deciding whether to invest in our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business is subject to a number of risks and uncertainties, including those risks discussed at length below. These risks include, among others, the following:</w:t>
      </w:r>
    </w:p>
    <w:p>
      <w:pPr>
        <w:spacing w:after="0" w:line="174" w:lineRule="exact"/>
        <w:rPr>
          <w:sz w:val="20"/>
          <w:szCs w:val="20"/>
          <w:color w:val="auto"/>
        </w:rPr>
      </w:pPr>
    </w:p>
    <w:p>
      <w:pPr>
        <w:ind w:left="560" w:hanging="27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COVID-19 pandemic has affected and may further materially and adversely affect our business and financial results.</w:t>
      </w:r>
    </w:p>
    <w:p>
      <w:pPr>
        <w:spacing w:after="0" w:line="162"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rFonts w:ascii="Arial" w:cs="Arial" w:eastAsia="Arial" w:hAnsi="Arial"/>
          <w:sz w:val="16"/>
          <w:szCs w:val="16"/>
          <w:color w:val="auto"/>
        </w:rPr>
      </w:pPr>
    </w:p>
    <w:p>
      <w:pPr>
        <w:jc w:val="both"/>
        <w:ind w:left="560" w:hanging="278"/>
        <w:spacing w:after="0" w:line="262"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8" w:lineRule="exact"/>
        <w:rPr>
          <w:rFonts w:ascii="Arial" w:cs="Arial" w:eastAsia="Arial" w:hAnsi="Arial"/>
          <w:sz w:val="16"/>
          <w:szCs w:val="16"/>
          <w:color w:val="auto"/>
        </w:rPr>
      </w:pPr>
    </w:p>
    <w:p>
      <w:pPr>
        <w:ind w:left="560" w:hanging="27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limited experience with the development and commercialization of our databases and our health information and genomic platforms.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comply with federal and state laboratory licensing requirements or standards, we could lose the ability to perform our tests or experience disruptions to our business.</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8"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rFonts w:ascii="Arial" w:cs="Arial" w:eastAsia="Arial" w:hAnsi="Arial"/>
          <w:sz w:val="16"/>
          <w:szCs w:val="16"/>
          <w:color w:val="auto"/>
        </w:rPr>
      </w:pPr>
    </w:p>
    <w:p>
      <w:pPr>
        <w:jc w:val="both"/>
        <w:ind w:left="560" w:hanging="278"/>
        <w:spacing w:after="0" w:line="262"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139" w:right="31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right="20" w:hanging="278"/>
        <w:spacing w:after="0" w:line="309" w:lineRule="auto"/>
        <w:tabs>
          <w:tab w:leader="none" w:pos="5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05" w:lineRule="exact"/>
        <w:rPr>
          <w:rFonts w:ascii="Arial" w:cs="Arial" w:eastAsia="Arial" w:hAnsi="Arial"/>
          <w:sz w:val="15"/>
          <w:szCs w:val="15"/>
          <w:color w:val="auto"/>
        </w:rPr>
      </w:pPr>
    </w:p>
    <w:p>
      <w:pPr>
        <w:ind w:left="560" w:right="2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6"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operating results could be subject to significant fluctuation, which could increase the volatility of our stock and warrant prices and cause losses to our stockholders.</w:t>
      </w:r>
    </w:p>
    <w:p>
      <w:pPr>
        <w:spacing w:after="0" w:line="128"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need to raise additional capital to fund our existing operations, develop additional products and services, commercialize new products and services or expand our operations.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expect to make significant investments in our continued research and development of new products and services, which may not be successful.</w:t>
      </w:r>
    </w:p>
    <w:p>
      <w:pPr>
        <w:spacing w:after="0" w:line="162" w:lineRule="exact"/>
        <w:rPr>
          <w:rFonts w:ascii="Arial" w:cs="Arial" w:eastAsia="Arial" w:hAnsi="Arial"/>
          <w:sz w:val="16"/>
          <w:szCs w:val="16"/>
          <w:color w:val="auto"/>
        </w:rPr>
      </w:pPr>
    </w:p>
    <w:p>
      <w:pPr>
        <w:ind w:left="560" w:right="20" w:hanging="278"/>
        <w:spacing w:after="0" w:line="349" w:lineRule="auto"/>
        <w:tabs>
          <w:tab w:leader="none" w:pos="5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81" w:lineRule="exact"/>
        <w:rPr>
          <w:rFonts w:ascii="Arial" w:cs="Arial" w:eastAsia="Arial" w:hAnsi="Arial"/>
          <w:sz w:val="14"/>
          <w:szCs w:val="14"/>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rely on third-party laboratories to perform certain elements of our service offerings.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Future changes in FDA enforcement discretion for LDTs could subject our operations to much more significant regulatory requirements.</w:t>
      </w:r>
    </w:p>
    <w:p>
      <w:pPr>
        <w:spacing w:after="0" w:line="162" w:lineRule="exact"/>
        <w:rPr>
          <w:rFonts w:ascii="Arial" w:cs="Arial" w:eastAsia="Arial" w:hAnsi="Arial"/>
          <w:sz w:val="16"/>
          <w:szCs w:val="16"/>
          <w:color w:val="auto"/>
        </w:rPr>
      </w:pPr>
    </w:p>
    <w:p>
      <w:pPr>
        <w:ind w:left="560" w:hanging="278"/>
        <w:spacing w:after="0" w:line="309" w:lineRule="auto"/>
        <w:tabs>
          <w:tab w:leader="none" w:pos="5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05" w:lineRule="exact"/>
        <w:rPr>
          <w:rFonts w:ascii="Arial" w:cs="Arial" w:eastAsia="Arial" w:hAnsi="Arial"/>
          <w:sz w:val="15"/>
          <w:szCs w:val="15"/>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Compliance with the HIPAA security, privacy and breach notification regulations may increase our costs.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uncertainty related to healthcare reform, pricing, coverage and reimbursement, which could reduce our revenue.</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effectively protect our proprietary products, processes, and technologies, including the confidentiality of our trade secrets, could harm our competitive position.</w:t>
      </w:r>
    </w:p>
    <w:p>
      <w:pPr>
        <w:spacing w:after="0" w:line="128"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incur increased costs and demands on management as a result of compliance with laws and regulations applicable to public companies, which could harm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Industry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affected and may further materially and adversely affect our business and financial results.</w:t>
      </w:r>
    </w:p>
    <w:p>
      <w:pPr>
        <w:spacing w:after="0" w:line="163"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The COVID-19 pandemic, together with related precautionary measures, began to materially disrupt our business in April 2020 and may continue to disrupt our business for an unknown period of time. The territories in which we market, sell, distribute and perform our tests and performs our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and the emergence of new variant strains of COVID-19. Even in areas where “stay-at-home” restrictions have been lifted and the number of cases of</w:t>
      </w:r>
    </w:p>
    <w:p>
      <w:pPr>
        <w:spacing w:after="0" w:line="34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139" w:right="31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and the emergence of new variant strains of COVID-19 in regions that have reopened has necessitated, and may in the future necessitate, renewed government restrictions. As a result, we experienced a significant impact to our 2020 operating results, including our order volumes, revenues, margins, and cash utilization, among other measures.</w:t>
      </w:r>
    </w:p>
    <w:p>
      <w:pPr>
        <w:spacing w:after="0" w:line="132"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Beginning in March 2020, we undertook temporary precautionary measures intended to help minimize the risk of the virus to our employees, including requiring most employees to work remotely; suspending field-based, face-to-face interactions by our sales force; requiring on-site employees to undergo COVID-19 testing, wear personal protective equipment (including face masks or shields) and maintain social distancing; pausing all non-essential travel for our employees; and limiting employee attendance at industry events and in-person work-related meetings, to the extent those events and meetings are continuing. Our current partners also took similar precautions, including suspending face-to-face interactions between sales representatives and healthcare providers.</w:t>
      </w:r>
    </w:p>
    <w:p>
      <w:pPr>
        <w:spacing w:after="0" w:line="134"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expect to adjust our precautionary measures at our various locations based on local recovery levels and applicable governmental regulations. For example, a portion of our sales force has recommenced field-based interactions, although access to healthcare providers remains limited and the resumption of normal activities is expected to be gradual. Our business could be negatively affected if it takes excessive, ineffective or inadequate precautions.</w:t>
      </w:r>
    </w:p>
    <w:p>
      <w:pPr>
        <w:spacing w:after="0" w:line="126"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 COVID-19 pandemic has materially impacted our business, and may continue to impact our business for an unknown period of time. Such impacts may include the following:</w:t>
      </w:r>
    </w:p>
    <w:p>
      <w:pPr>
        <w:spacing w:after="0" w:line="128" w:lineRule="exact"/>
        <w:rPr>
          <w:sz w:val="20"/>
          <w:szCs w:val="20"/>
          <w:color w:val="auto"/>
        </w:rPr>
      </w:pPr>
    </w:p>
    <w:p>
      <w:pPr>
        <w:jc w:val="both"/>
        <w:ind w:left="560" w:right="20" w:hanging="278"/>
        <w:spacing w:after="0" w:line="262"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6" w:lineRule="exact"/>
        <w:rPr>
          <w:rFonts w:ascii="Arial" w:cs="Arial" w:eastAsia="Arial" w:hAnsi="Arial"/>
          <w:sz w:val="16"/>
          <w:szCs w:val="16"/>
          <w:color w:val="auto"/>
        </w:rPr>
      </w:pPr>
    </w:p>
    <w:p>
      <w:pPr>
        <w:ind w:left="560" w:hanging="278"/>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on travel, commerce and shipping may prevent patients and pathologists from shipping samples to our clinical laboratories;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it or other parties may assert rights under force majeure clauses to excuse performance;</w:t>
      </w:r>
    </w:p>
    <w:p>
      <w:pPr>
        <w:spacing w:after="0" w:line="128"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experienced, and for an extended period of time may continue to experience, reduced volumes at our clinical laboratories and it may need to suspend operations at some or all of our clinical laboratories;</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it expects to achieve as a result of those efforts;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and our partners have postponed or cancelled clinical studies, which may delay or prevent our launch of future products and services;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workforce, much of which has been asked to work remotely in an effort to reduce the spread of COVID-19, may be infected by the virus or otherwise distracted;</w:t>
      </w:r>
    </w:p>
    <w:p>
      <w:pPr>
        <w:spacing w:after="0" w:line="185" w:lineRule="exact"/>
        <w:rPr>
          <w:rFonts w:ascii="Arial" w:cs="Arial" w:eastAsia="Arial" w:hAnsi="Arial"/>
          <w:sz w:val="14"/>
          <w:szCs w:val="14"/>
          <w:color w:val="auto"/>
        </w:rPr>
      </w:pPr>
    </w:p>
    <w:p>
      <w:pPr>
        <w:jc w:val="both"/>
        <w:ind w:left="560" w:right="20" w:hanging="278"/>
        <w:spacing w:after="0" w:line="258"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combination of factors, including infection from the virus, supply shortfalls, and inability to obtain or maintain equipment, could adversely affect our lab capacity and our ability to meet the demand for our testing services. In addition, in April of 2020 we began offering a COVID-19 test and by devoting lab capacity and supplies to that test, we may experience capacity limitations and supply shortfalls that adversely affect our ability to provide women’s health and oncology testing, and other tests that may generate more revenue and higher profits; and</w:t>
      </w:r>
    </w:p>
    <w:p>
      <w:pPr>
        <w:spacing w:after="0" w:line="129"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inaccurately estimate the duration or severity of the COVID-19 pandemic, which could cause us to misalign our staffing, spending, activities and precautionary measures with current or future market conditions.</w:t>
      </w:r>
    </w:p>
    <w:p>
      <w:pPr>
        <w:spacing w:after="0" w:line="128" w:lineRule="exact"/>
        <w:rPr>
          <w:sz w:val="20"/>
          <w:szCs w:val="20"/>
          <w:color w:val="auto"/>
        </w:rPr>
      </w:pPr>
    </w:p>
    <w:p>
      <w:pPr>
        <w:ind w:right="20" w:firstLine="287"/>
        <w:spacing w:after="0" w:line="275" w:lineRule="auto"/>
        <w:rPr>
          <w:sz w:val="20"/>
          <w:szCs w:val="20"/>
          <w:color w:val="auto"/>
        </w:rPr>
      </w:pPr>
      <w:r>
        <w:rPr>
          <w:rFonts w:ascii="Arial" w:cs="Arial" w:eastAsia="Arial" w:hAnsi="Arial"/>
          <w:sz w:val="16"/>
          <w:szCs w:val="16"/>
          <w:color w:val="auto"/>
        </w:rPr>
        <w:t>Despite our efforts, the ultimate impact of COVID-19, or the impact of the emergence of new strains of the virus and any future resurgences of COVID-19 or variant strains, depends on factors beyond our knowledge or control, including the</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320" w:top="139" w:right="31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duration and severity of the pandemic, third-party actions taken to contain its spread and mitigate its public health effects and short- and long-term changes in the behaviors of medical professionals and patients resulting from the pandemic.</w:t>
      </w:r>
    </w:p>
    <w:p>
      <w:pPr>
        <w:spacing w:after="0" w:line="12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16" w:lineRule="exact"/>
        <w:rPr>
          <w:sz w:val="20"/>
          <w:szCs w:val="20"/>
          <w:color w:val="auto"/>
        </w:rPr>
      </w:pPr>
    </w:p>
    <w:p>
      <w:pPr>
        <w:jc w:val="both"/>
        <w:ind w:firstLine="287"/>
        <w:spacing w:after="0" w:line="294" w:lineRule="auto"/>
        <w:rPr>
          <w:sz w:val="20"/>
          <w:szCs w:val="20"/>
          <w:color w:val="auto"/>
        </w:rPr>
      </w:pPr>
      <w:r>
        <w:rPr>
          <w:rFonts w:ascii="Arial" w:cs="Arial" w:eastAsia="Arial" w:hAnsi="Arial"/>
          <w:sz w:val="14"/>
          <w:szCs w:val="14"/>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9" w:lineRule="exact"/>
        <w:rPr>
          <w:sz w:val="20"/>
          <w:szCs w:val="20"/>
          <w:color w:val="auto"/>
        </w:rPr>
      </w:pPr>
    </w:p>
    <w:p>
      <w:pPr>
        <w:jc w:val="both"/>
        <w:ind w:firstLine="287"/>
        <w:spacing w:after="0" w:line="292" w:lineRule="auto"/>
        <w:rPr>
          <w:sz w:val="20"/>
          <w:szCs w:val="20"/>
          <w:color w:val="auto"/>
        </w:rPr>
      </w:pPr>
      <w:r>
        <w:rPr>
          <w:rFonts w:ascii="Arial" w:cs="Arial" w:eastAsia="Arial" w:hAnsi="Arial"/>
          <w:sz w:val="14"/>
          <w:szCs w:val="14"/>
          <w:color w:val="auto"/>
        </w:rPr>
        <w:t>In 2020, we received $5.4 million as part of the stimulus, comprised of $2.6 million received under the Provider Relief Fund, or PRF, distribution and $2.8 million received under the Employee Retention Credit, or ERC, distribution. During the three months ended March 31,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its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2020 and September 30, 2021.</w:t>
      </w:r>
    </w:p>
    <w:p>
      <w:pPr>
        <w:spacing w:after="0" w:line="109" w:lineRule="exact"/>
        <w:rPr>
          <w:sz w:val="20"/>
          <w:szCs w:val="20"/>
          <w:color w:val="auto"/>
        </w:rPr>
      </w:pPr>
    </w:p>
    <w:p>
      <w:pPr>
        <w:jc w:val="both"/>
        <w:ind w:right="20" w:firstLine="287"/>
        <w:spacing w:after="0" w:line="297" w:lineRule="auto"/>
        <w:rPr>
          <w:sz w:val="20"/>
          <w:szCs w:val="20"/>
          <w:color w:val="auto"/>
        </w:rPr>
      </w:pPr>
      <w:r>
        <w:rPr>
          <w:rFonts w:ascii="Arial" w:cs="Arial" w:eastAsia="Arial" w:hAnsi="Arial"/>
          <w:sz w:val="14"/>
          <w:szCs w:val="14"/>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139" w:right="31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18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it does.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21" w:lineRule="exact"/>
        <w:rPr>
          <w:sz w:val="20"/>
          <w:szCs w:val="20"/>
          <w:color w:val="auto"/>
        </w:rPr>
      </w:pPr>
    </w:p>
    <w:p>
      <w:pPr>
        <w:ind w:left="560" w:right="20" w:hanging="278"/>
        <w:spacing w:after="0" w:line="275" w:lineRule="auto"/>
        <w:tabs>
          <w:tab w:leader="none" w:pos="5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academic and scientific institutions;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governmental agencies;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and private research organizations.</w:t>
      </w:r>
    </w:p>
    <w:p>
      <w:pPr>
        <w:spacing w:after="0" w:line="163" w:lineRule="exact"/>
        <w:rPr>
          <w:sz w:val="20"/>
          <w:szCs w:val="20"/>
          <w:color w:val="auto"/>
        </w:rPr>
      </w:pPr>
    </w:p>
    <w:p>
      <w:pPr>
        <w:jc w:val="both"/>
        <w:ind w:firstLine="287"/>
        <w:spacing w:after="0" w:line="297" w:lineRule="auto"/>
        <w:rPr>
          <w:sz w:val="20"/>
          <w:szCs w:val="20"/>
          <w:color w:val="auto"/>
        </w:rPr>
      </w:pPr>
      <w:r>
        <w:rPr>
          <w:rFonts w:ascii="Arial" w:cs="Arial" w:eastAsia="Arial" w:hAnsi="Arial"/>
          <w:sz w:val="14"/>
          <w:szCs w:val="14"/>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it expands into. Even if we do develop new marketable products or services, our current and future competitors may develop products and services that are more commercially attractive than ours, and they may bring those products and services to market earlier or more effectively than it.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02"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aggressively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3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it in developing compelling products and services for or in attracting and retaining customers or partners in the market for health information and data science products and services, our operating results could be harmed.</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139" w:right="31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8" w:lineRule="exact"/>
        <w:rPr>
          <w:sz w:val="20"/>
          <w:szCs w:val="20"/>
          <w:color w:val="auto"/>
        </w:rPr>
      </w:pPr>
    </w:p>
    <w:p>
      <w:pPr>
        <w:jc w:val="both"/>
        <w:ind w:right="20" w:firstLine="287"/>
        <w:spacing w:after="0" w:line="280"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as managed care organizations and government payers (e.g., Medicare and Medicaid).</w:t>
      </w:r>
    </w:p>
    <w:p>
      <w:pPr>
        <w:spacing w:after="0" w:line="115"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23"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it does not adequately comply with these requirements. Our third-party payors have also requested, and in the future may request, audits of the amounts paid to it.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36"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75"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it manages and to which it has access, and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139" w:right="31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63"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28"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21"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3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34"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0"/>
          </w:cols>
          <w:pgMar w:left="320" w:top="139" w:right="31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samples taken from their citizens. We have CAP accreditations for our laboratories. Failure to maintain CAP accreditation could have a material adverse effect on the sales of our tests and the results of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Model</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any member or change in structure of our senior management team could adversely affect our business.</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founder and CEO, Eric Schadt, and certain other of our employees have performed, and will continue to perform, duties for or on behalf of Mount Sinai.</w:t>
      </w:r>
    </w:p>
    <w:p>
      <w:pPr>
        <w:spacing w:after="0" w:line="18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63"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it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320" w:top="139" w:right="31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28" w:lineRule="exact"/>
        <w:rPr>
          <w:sz w:val="20"/>
          <w:szCs w:val="20"/>
          <w:color w:val="auto"/>
        </w:rPr>
      </w:pPr>
    </w:p>
    <w:p>
      <w:pPr>
        <w:jc w:val="both"/>
        <w:ind w:right="20" w:firstLine="287"/>
        <w:spacing w:after="0" w:line="317" w:lineRule="auto"/>
        <w:rPr>
          <w:sz w:val="20"/>
          <w:szCs w:val="20"/>
          <w:color w:val="auto"/>
        </w:rPr>
      </w:pPr>
      <w:r>
        <w:rPr>
          <w:rFonts w:ascii="Arial" w:cs="Arial" w:eastAsia="Arial" w:hAnsi="Arial"/>
          <w:sz w:val="14"/>
          <w:szCs w:val="14"/>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91" w:lineRule="exact"/>
        <w:rPr>
          <w:sz w:val="20"/>
          <w:szCs w:val="20"/>
          <w:color w:val="auto"/>
        </w:rPr>
      </w:pPr>
    </w:p>
    <w:p>
      <w:pPr>
        <w:ind w:left="560" w:right="20" w:hanging="278"/>
        <w:spacing w:after="0" w:line="309" w:lineRule="auto"/>
        <w:tabs>
          <w:tab w:leader="none" w:pos="5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93" w:lineRule="exact"/>
        <w:rPr>
          <w:rFonts w:ascii="Arial" w:cs="Arial" w:eastAsia="Arial" w:hAnsi="Arial"/>
          <w:sz w:val="15"/>
          <w:szCs w:val="15"/>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approvals, permits and licenses;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by us, our collaborators or our distributors to obtain regulatory clearance, authorization or approval for the use of our products and services in various countries;</w:t>
      </w:r>
    </w:p>
    <w:p>
      <w:pPr>
        <w:spacing w:after="0" w:line="185" w:lineRule="exact"/>
        <w:rPr>
          <w:rFonts w:ascii="Arial" w:cs="Arial" w:eastAsia="Arial" w:hAnsi="Arial"/>
          <w:sz w:val="14"/>
          <w:szCs w:val="14"/>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potentially relevant third-party patent rights;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complexities and difficulties in obtaining intellectual property protection and enforcing our intellectual property;</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payer reimbursement regimes, government payers or patient self-pay systems;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negotiating favorable reimbursement negotiations with governmental authorities;</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0"/>
          </w:cols>
          <w:pgMar w:left="320" w:top="139" w:right="31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hanging="278"/>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logistics and regulations associated with shipping samples, including infrastructure conditions and transportation delays;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limits in our ability to penetrate international markets if we are not able to conduct our clinical diagnostic services locally;</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natural disasters, political and economic instability, including wars, terrorism and political unrest, and outbreak of disease;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boycotts, curtailment of trade and other business restrictions; and</w:t>
      </w:r>
    </w:p>
    <w:p>
      <w:pPr>
        <w:spacing w:after="0" w:line="162" w:lineRule="exact"/>
        <w:rPr>
          <w:rFonts w:ascii="Arial" w:cs="Arial" w:eastAsia="Arial" w:hAnsi="Arial"/>
          <w:sz w:val="16"/>
          <w:szCs w:val="16"/>
          <w:color w:val="auto"/>
        </w:rPr>
      </w:pPr>
    </w:p>
    <w:p>
      <w:pPr>
        <w:jc w:val="both"/>
        <w:ind w:left="560" w:hanging="278"/>
        <w:spacing w:after="0" w:line="317" w:lineRule="auto"/>
        <w:tabs>
          <w:tab w:leader="none" w:pos="5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U.S. or global economic conditions could adversely affect our business, financial condition or results of operations.</w:t>
      </w:r>
    </w:p>
    <w:p>
      <w:pPr>
        <w:spacing w:after="0" w:line="16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28"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287"/>
        <w:spacing w:after="0" w:line="295" w:lineRule="auto"/>
        <w:rPr>
          <w:sz w:val="20"/>
          <w:szCs w:val="20"/>
          <w:color w:val="auto"/>
        </w:rPr>
      </w:pPr>
      <w:r>
        <w:rPr>
          <w:rFonts w:ascii="Arial" w:cs="Arial" w:eastAsia="Arial" w:hAnsi="Arial"/>
          <w:sz w:val="14"/>
          <w:szCs w:val="14"/>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09"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0"/>
          </w:cols>
          <w:pgMar w:left="320" w:top="139" w:right="31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38"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2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6" w:lineRule="exact"/>
        <w:rPr>
          <w:sz w:val="20"/>
          <w:szCs w:val="20"/>
          <w:color w:val="auto"/>
        </w:rPr>
      </w:pPr>
    </w:p>
    <w:p>
      <w:pPr>
        <w:jc w:val="both"/>
        <w:ind w:right="20" w:firstLine="287"/>
        <w:spacing w:after="0" w:line="280" w:lineRule="auto"/>
        <w:rPr>
          <w:sz w:val="20"/>
          <w:szCs w:val="20"/>
          <w:color w:val="auto"/>
        </w:rPr>
      </w:pPr>
      <w:r>
        <w:rPr>
          <w:rFonts w:ascii="Arial" w:cs="Arial" w:eastAsia="Arial" w:hAnsi="Arial"/>
          <w:sz w:val="15"/>
          <w:szCs w:val="15"/>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27"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2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current and future products and services may never achieve significant commercial market acceptance.</w:t>
      </w:r>
    </w:p>
    <w:p>
      <w:pPr>
        <w:spacing w:after="0" w:line="175"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w:t>
      </w: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320" w:top="139" w:right="31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8"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jc w:val="both"/>
        <w:ind w:left="560" w:right="20" w:hanging="278"/>
        <w:spacing w:after="0" w:line="262"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2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28"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our investments in product and services, and technological innovation and commercial growth.</w:t>
      </w:r>
    </w:p>
    <w:p>
      <w:pPr>
        <w:spacing w:after="0" w:line="175"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4"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70"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60"/>
          </w:cols>
          <w:pgMar w:left="320" w:top="139" w:right="31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3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0"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40" w:lineRule="exact"/>
        <w:rPr>
          <w:sz w:val="20"/>
          <w:szCs w:val="20"/>
          <w:color w:val="auto"/>
        </w:rPr>
      </w:pPr>
    </w:p>
    <w:p>
      <w:pPr>
        <w:jc w:val="both"/>
        <w:ind w:firstLine="287"/>
        <w:spacing w:after="0" w:line="292" w:lineRule="auto"/>
        <w:rPr>
          <w:sz w:val="20"/>
          <w:szCs w:val="20"/>
          <w:color w:val="auto"/>
        </w:rPr>
      </w:pPr>
      <w:r>
        <w:rPr>
          <w:rFonts w:ascii="Arial" w:cs="Arial" w:eastAsia="Arial" w:hAnsi="Arial"/>
          <w:sz w:val="14"/>
          <w:szCs w:val="14"/>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w:t>
      </w: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60"/>
          </w:cols>
          <w:pgMar w:left="320" w:top="139" w:right="31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favorable exposure in peer-reviewed publications, the rate of clinician adoption of our diagnostic solutions and positive reimbursement coverage determinations for our diagnostic solutions could be negatively affected.</w:t>
      </w:r>
    </w:p>
    <w:p>
      <w:pPr>
        <w:spacing w:after="0" w:line="128"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1"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8"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10"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20"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products and services do not perform as expected, we may not realize the expected benefits of such products and services.</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0"/>
          </w:cols>
          <w:pgMar w:left="320" w:top="139" w:right="31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38" w:lineRule="exact"/>
        <w:rPr>
          <w:sz w:val="20"/>
          <w:szCs w:val="20"/>
          <w:color w:val="auto"/>
        </w:rPr>
      </w:pPr>
    </w:p>
    <w:p>
      <w:pPr>
        <w:jc w:val="both"/>
        <w:ind w:firstLine="287"/>
        <w:spacing w:after="0" w:line="301" w:lineRule="auto"/>
        <w:rPr>
          <w:sz w:val="20"/>
          <w:szCs w:val="20"/>
          <w:color w:val="auto"/>
        </w:rPr>
      </w:pPr>
      <w:r>
        <w:rPr>
          <w:rFonts w:ascii="Arial" w:cs="Arial" w:eastAsia="Arial" w:hAnsi="Arial"/>
          <w:sz w:val="14"/>
          <w:szCs w:val="14"/>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02"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70"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45"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60"/>
          </w:cols>
          <w:pgMar w:left="320" w:top="139" w:right="31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287"/>
        <w:spacing w:after="0" w:line="309"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never become profitable.</w:t>
      </w:r>
    </w:p>
    <w:p>
      <w:pPr>
        <w:spacing w:after="0" w:line="163" w:lineRule="exact"/>
        <w:rPr>
          <w:sz w:val="20"/>
          <w:szCs w:val="20"/>
          <w:color w:val="auto"/>
        </w:rPr>
      </w:pPr>
    </w:p>
    <w:p>
      <w:pPr>
        <w:jc w:val="both"/>
        <w:ind w:right="20" w:firstLine="287"/>
        <w:spacing w:after="0" w:line="306" w:lineRule="auto"/>
        <w:rPr>
          <w:sz w:val="20"/>
          <w:szCs w:val="20"/>
          <w:color w:val="auto"/>
        </w:rPr>
      </w:pPr>
      <w:r>
        <w:rPr>
          <w:rFonts w:ascii="Arial" w:cs="Arial" w:eastAsia="Arial" w:hAnsi="Arial"/>
          <w:sz w:val="14"/>
          <w:szCs w:val="14"/>
          <w:color w:val="auto"/>
        </w:rPr>
        <w:t>Sema4 has incurred losses since Sema4 was formed and we expect to continue to generate significant operating losses for the foreseeable future. As of December 31, 2020 and September 30, 2021, we have an accumulated deficit of approximately $330.1 million and $535.0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could be subject to significant fluctuation, which could increase the volatility of our stock and warrant prices and cause losses to our stockholders.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revenues and results of operations may fluctuate significantly, depending on a variety of factors, including the following:</w:t>
      </w:r>
    </w:p>
    <w:p>
      <w:pPr>
        <w:spacing w:after="0" w:line="163" w:lineRule="exact"/>
        <w:rPr>
          <w:sz w:val="20"/>
          <w:szCs w:val="20"/>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62"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38"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pricing of our tests, including potential changes in CMS or other reimbursement rates;</w:t>
      </w:r>
    </w:p>
    <w:p>
      <w:pPr>
        <w:spacing w:after="0" w:line="162"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28"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fluctuations in the amount and timing of our selling and marketing costs and our ability to manage costs and expenses and effectively implement our business;</w:t>
      </w:r>
    </w:p>
    <w:p>
      <w:pPr>
        <w:spacing w:after="0" w:line="174" w:lineRule="exact"/>
        <w:rPr>
          <w:rFonts w:ascii="Arial" w:cs="Arial" w:eastAsia="Arial" w:hAnsi="Arial"/>
          <w:sz w:val="15"/>
          <w:szCs w:val="15"/>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research and development activities, including the timing of clinical trials;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collect, use, and commercialize data in a changing regulatory environment at a time when the public is growing increasingly concerned about privacy.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growth rate could decline over time, and it may experience downward pressure on our operating margins in the future.</w:t>
      </w:r>
    </w:p>
    <w:p>
      <w:pPr>
        <w:spacing w:after="0" w:line="16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41"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w:t>
      </w: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320" w:top="139" w:right="31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38"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Due to these factors and the evolving nature of our business, our historical projected revenue growth rate and historical gross operating margins may not be indicative of our future performance.</w:t>
      </w:r>
    </w:p>
    <w:p>
      <w:pPr>
        <w:spacing w:after="0" w:line="1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Sema4 has incurred net losses and negative cash flows from operations since its inception, including net losses of $241.3 million, $29.7 million and $23.9 million for the years ended December 31, 2020, 2019 and 2018, respectively, and net losses of $205.0 million and $115.7 million for the nine months ended September 30, 2021 and 2020, respectively. As of September 30, 2021, we had an accumulated deficit of $535.0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4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our sales and marketing efforts to drive market adoption of our current and future products and services;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fund development efforts for our current and future products and services;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expand our products and services into other disease indications and clinical applications;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acquire, license or invest in technologies;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acquire or invest in complementary businesses or assets;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finance capital expenditures and general and administrative expenses.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present and future funding requirements will depend on many factors, including:</w:t>
      </w:r>
    </w:p>
    <w:p>
      <w:pPr>
        <w:spacing w:after="0" w:line="163" w:lineRule="exact"/>
        <w:rPr>
          <w:sz w:val="20"/>
          <w:szCs w:val="20"/>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achieve revenue growth;</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expanding our laboratory operations and offerings, including our sales and marketing efforts;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rate of progress in, and cost of the sales and marketing activities associated with, establishing adoption of our Centrellis solution;</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competing technological, product and market developments;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costs related to international expansion;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cost of and delays in product development as a result of any regulatory oversight applicable to our products and services.</w:t>
      </w:r>
    </w:p>
    <w:p>
      <w:pPr>
        <w:spacing w:after="0" w:line="163"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34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60"/>
          </w:cols>
          <w:pgMar w:left="320" w:top="139" w:right="31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18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3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35"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38" w:lineRule="exact"/>
        <w:rPr>
          <w:sz w:val="20"/>
          <w:szCs w:val="20"/>
          <w:color w:val="auto"/>
        </w:rPr>
      </w:pPr>
    </w:p>
    <w:p>
      <w:pPr>
        <w:jc w:val="both"/>
        <w:spacing w:after="0" w:line="349" w:lineRule="auto"/>
        <w:rPr>
          <w:sz w:val="20"/>
          <w:szCs w:val="20"/>
          <w:color w:val="auto"/>
        </w:rPr>
      </w:pPr>
      <w:r>
        <w:rPr>
          <w:rFonts w:ascii="Arial" w:cs="Arial" w:eastAsia="Arial" w:hAnsi="Arial"/>
          <w:sz w:val="14"/>
          <w:szCs w:val="14"/>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70"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In the course of preparing Legacy Sema4’s financial statements for 2020, 2019 and 2018, we identified material weaknesses in our internal control over financial reporting which could, if not remediated, result in material misstatements in our financial statements.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02" w:lineRule="exact"/>
        <w:rPr>
          <w:sz w:val="20"/>
          <w:szCs w:val="20"/>
          <w:color w:val="auto"/>
        </w:rPr>
      </w:pPr>
    </w:p>
    <w:p>
      <w:pPr>
        <w:ind w:left="560" w:right="20" w:hanging="278"/>
        <w:spacing w:after="0" w:line="275"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28" w:lineRule="exact"/>
        <w:rPr>
          <w:rFonts w:ascii="Arial" w:cs="Arial" w:eastAsia="Arial" w:hAnsi="Arial"/>
          <w:sz w:val="16"/>
          <w:szCs w:val="16"/>
          <w:color w:val="auto"/>
        </w:rPr>
      </w:pPr>
    </w:p>
    <w:p>
      <w:pPr>
        <w:jc w:val="both"/>
        <w:ind w:left="560" w:right="20" w:hanging="278"/>
        <w:spacing w:after="0" w:line="287" w:lineRule="auto"/>
        <w:tabs>
          <w:tab w:leader="none" w:pos="556"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10" w:lineRule="exact"/>
        <w:rPr>
          <w:rFonts w:ascii="Arial" w:cs="Arial" w:eastAsia="Arial" w:hAnsi="Arial"/>
          <w:sz w:val="15"/>
          <w:szCs w:val="15"/>
          <w:color w:val="auto"/>
        </w:rPr>
      </w:pPr>
    </w:p>
    <w:p>
      <w:pPr>
        <w:ind w:left="560" w:hanging="278"/>
        <w:spacing w:after="0" w:line="349"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69" w:lineRule="exact"/>
        <w:rPr>
          <w:rFonts w:ascii="Arial" w:cs="Arial" w:eastAsia="Arial" w:hAnsi="Arial"/>
          <w:sz w:val="14"/>
          <w:szCs w:val="14"/>
          <w:color w:val="auto"/>
        </w:rPr>
      </w:pPr>
    </w:p>
    <w:p>
      <w:pPr>
        <w:ind w:left="560" w:right="20" w:hanging="278"/>
        <w:spacing w:after="0" w:line="275"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accounting and operating systems lacked controls over access, and program change management that are needed to ensure access to financial data is adequately restricted to appropriate personnel.</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60"/>
          </w:cols>
          <w:pgMar w:left="320" w:top="139" w:right="31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60" w:right="20" w:hanging="278"/>
        <w:spacing w:after="0" w:line="306" w:lineRule="auto"/>
        <w:tabs>
          <w:tab w:leader="none" w:pos="5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11" w:lineRule="exact"/>
        <w:rPr>
          <w:sz w:val="20"/>
          <w:szCs w:val="20"/>
          <w:color w:val="auto"/>
        </w:rPr>
      </w:pPr>
    </w:p>
    <w:p>
      <w:pPr>
        <w:jc w:val="both"/>
        <w:ind w:right="20" w:firstLine="287"/>
        <w:spacing w:after="0" w:line="298" w:lineRule="auto"/>
        <w:rPr>
          <w:rFonts w:ascii="Arial" w:cs="Arial" w:eastAsia="Arial" w:hAnsi="Arial"/>
          <w:sz w:val="14"/>
          <w:szCs w:val="14"/>
          <w:color w:val="auto"/>
        </w:rPr>
      </w:pPr>
      <w:r>
        <w:rPr>
          <w:rFonts w:ascii="Arial" w:cs="Arial" w:eastAsia="Arial" w:hAnsi="Arial"/>
          <w:sz w:val="14"/>
          <w:szCs w:val="14"/>
          <w:color w:val="auto"/>
        </w:rPr>
        <w:t xml:space="preserve">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w:t>
      </w:r>
      <w:hyperlink w:anchor="page29">
        <w:r>
          <w:rPr>
            <w:rFonts w:ascii="Arial" w:cs="Arial" w:eastAsia="Arial" w:hAnsi="Arial"/>
            <w:sz w:val="14"/>
            <w:szCs w:val="14"/>
            <w:color w:val="auto"/>
          </w:rPr>
          <w:t xml:space="preserve">internal controls are effective. For a discussion of our remediation plan and actions, see “Item 2. </w:t>
        </w:r>
        <w:r>
          <w:rPr>
            <w:rFonts w:ascii="Arial" w:cs="Arial" w:eastAsia="Arial" w:hAnsi="Arial"/>
            <w:sz w:val="14"/>
            <w:szCs w:val="14"/>
            <w:u w:val="single" w:color="auto"/>
            <w:color w:val="0000FF"/>
          </w:rPr>
          <w:t>Management's Discussion and Analysis of Financial Condition and Results of</w:t>
        </w:r>
      </w:hyperlink>
    </w:p>
    <w:p>
      <w:pPr>
        <w:spacing w:after="0" w:line="1" w:lineRule="exact"/>
        <w:rPr>
          <w:sz w:val="20"/>
          <w:szCs w:val="20"/>
          <w:color w:val="auto"/>
        </w:rPr>
      </w:pPr>
    </w:p>
    <w:p>
      <w:pPr>
        <w:spacing w:after="0"/>
        <w:rPr>
          <w:rFonts w:ascii="Arial" w:cs="Arial" w:eastAsia="Arial" w:hAnsi="Arial"/>
          <w:sz w:val="15"/>
          <w:szCs w:val="15"/>
          <w:color w:val="0000FF"/>
        </w:rPr>
      </w:pPr>
      <w:hyperlink w:anchor="page29">
        <w:r>
          <w:rPr>
            <w:rFonts w:ascii="Arial" w:cs="Arial" w:eastAsia="Arial" w:hAnsi="Arial"/>
            <w:sz w:val="15"/>
            <w:szCs w:val="15"/>
            <w:u w:val="single" w:color="auto"/>
            <w:color w:val="0000FF"/>
          </w:rPr>
          <w:t>Operations—Internal Controls</w:t>
        </w:r>
        <w:r>
          <w:rPr>
            <w:rFonts w:ascii="Arial" w:cs="Arial" w:eastAsia="Arial" w:hAnsi="Arial"/>
            <w:sz w:val="15"/>
            <w:szCs w:val="15"/>
            <w:color w:val="000000"/>
          </w:rPr>
          <w:t>” and “</w:t>
        </w:r>
      </w:hyperlink>
      <w:hyperlink w:anchor="page47">
        <w:r>
          <w:rPr>
            <w:rFonts w:ascii="Arial" w:cs="Arial" w:eastAsia="Arial" w:hAnsi="Arial"/>
            <w:sz w:val="15"/>
            <w:szCs w:val="15"/>
            <w:u w:val="single" w:color="auto"/>
            <w:color w:val="0000FF"/>
          </w:rPr>
          <w:t>Item 4. Controls and Procedures</w:t>
        </w:r>
      </w:hyperlink>
      <w:hyperlink w:anchor="page29">
        <w:r>
          <w:rPr>
            <w:rFonts w:ascii="Arial" w:cs="Arial" w:eastAsia="Arial" w:hAnsi="Arial"/>
            <w:sz w:val="15"/>
            <w:szCs w:val="15"/>
            <w:color w:val="000000"/>
          </w:rPr>
          <w:t>.” As of September 30, 2021, the material weaknesses have not yet been fully remediated.</w:t>
        </w:r>
      </w:hyperlink>
    </w:p>
    <w:p>
      <w:pPr>
        <w:spacing w:after="0" w:line="174" w:lineRule="exact"/>
        <w:rPr>
          <w:rFonts w:ascii="Arial" w:cs="Arial" w:eastAsia="Arial" w:hAnsi="Arial"/>
          <w:sz w:val="15"/>
          <w:szCs w:val="15"/>
          <w:color w:val="0000FF"/>
        </w:rPr>
      </w:pPr>
    </w:p>
    <w:p>
      <w:pPr>
        <w:jc w:val="both"/>
        <w:ind w:firstLine="287"/>
        <w:spacing w:after="0" w:line="276" w:lineRule="auto"/>
        <w:rPr>
          <w:sz w:val="20"/>
          <w:szCs w:val="20"/>
          <w:color w:val="auto"/>
        </w:rPr>
      </w:pPr>
      <w:r>
        <w:rPr>
          <w:rFonts w:ascii="Arial" w:cs="Arial" w:eastAsia="Arial" w:hAnsi="Arial"/>
          <w:sz w:val="15"/>
          <w:szCs w:val="15"/>
          <w:color w:val="auto"/>
        </w:rPr>
        <w:t>In addition, prior to the consummation of the Business Combination, following the issuance of the SEC Statement (as defined below), on April 12, 2021, after consultation with CMLS’s prior independent registered public accounting firm, CMLS’s management and CMLS’s audit committee concluded that, in light of the SEC Statement, it was appropriate to restate CMLS’s previously issued audited financial statements as of and for the period ended December 31, 2020, or the “Restatement.” See “—Risks Related to Our Common Stock and Warrants—Our warrants are accounted for as liabilities and the changes in value of our warrants could have a material effect on our financial results.” As part of such process, CMLS identified a material weakness in CMLS’s internal controls over financial reporting.</w:t>
      </w:r>
    </w:p>
    <w:p>
      <w:pPr>
        <w:spacing w:after="0" w:line="120" w:lineRule="exact"/>
        <w:rPr>
          <w:rFonts w:ascii="Arial" w:cs="Arial" w:eastAsia="Arial" w:hAnsi="Arial"/>
          <w:sz w:val="15"/>
          <w:szCs w:val="15"/>
          <w:color w:val="0000FF"/>
        </w:rPr>
      </w:pPr>
    </w:p>
    <w:p>
      <w:pPr>
        <w:jc w:val="both"/>
        <w:ind w:right="20" w:firstLine="287"/>
        <w:spacing w:after="0" w:line="301" w:lineRule="auto"/>
        <w:rPr>
          <w:sz w:val="20"/>
          <w:szCs w:val="20"/>
          <w:color w:val="auto"/>
        </w:rPr>
      </w:pPr>
      <w:r>
        <w:rPr>
          <w:rFonts w:ascii="Arial" w:cs="Arial" w:eastAsia="Arial" w:hAnsi="Arial"/>
          <w:sz w:val="14"/>
          <w:szCs w:val="14"/>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4"/>
          <w:szCs w:val="14"/>
          <w:i w:val="1"/>
          <w:iCs w:val="1"/>
          <w:color w:val="auto"/>
        </w:rPr>
        <w:t>Risk Factors—Risks Related to Being a Public Company—Our internal controls over financial reporting may not be effective and our independent registered</w:t>
      </w:r>
      <w:r>
        <w:rPr>
          <w:rFonts w:ascii="Arial" w:cs="Arial" w:eastAsia="Arial" w:hAnsi="Arial"/>
          <w:sz w:val="14"/>
          <w:szCs w:val="14"/>
          <w:color w:val="auto"/>
        </w:rPr>
        <w:t xml:space="preserve"> </w:t>
      </w:r>
      <w:r>
        <w:rPr>
          <w:rFonts w:ascii="Arial" w:cs="Arial" w:eastAsia="Arial" w:hAnsi="Arial"/>
          <w:sz w:val="14"/>
          <w:szCs w:val="14"/>
          <w:i w:val="1"/>
          <w:iCs w:val="1"/>
          <w:color w:val="auto"/>
        </w:rPr>
        <w:t>public accounting firm may not be able to certify as to their effectiveness, which could have a significant and adverse effect on our business and reputation.</w:t>
      </w:r>
      <w:r>
        <w:rPr>
          <w:rFonts w:ascii="Arial" w:cs="Arial" w:eastAsia="Arial" w:hAnsi="Arial"/>
          <w:sz w:val="14"/>
          <w:szCs w:val="14"/>
          <w:color w:val="auto"/>
        </w:rPr>
        <w:t>”</w:t>
      </w:r>
    </w:p>
    <w:p>
      <w:pPr>
        <w:spacing w:after="0" w:line="114" w:lineRule="exact"/>
        <w:rPr>
          <w:rFonts w:ascii="Arial" w:cs="Arial" w:eastAsia="Arial" w:hAnsi="Arial"/>
          <w:sz w:val="15"/>
          <w:szCs w:val="15"/>
          <w:color w:val="0000FF"/>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 forwards and certain other tax attributes may be limited.</w:t>
      </w:r>
    </w:p>
    <w:p>
      <w:pPr>
        <w:spacing w:after="0" w:line="163" w:lineRule="exact"/>
        <w:rPr>
          <w:rFonts w:ascii="Arial" w:cs="Arial" w:eastAsia="Arial" w:hAnsi="Arial"/>
          <w:sz w:val="15"/>
          <w:szCs w:val="15"/>
          <w:color w:val="0000FF"/>
        </w:rPr>
      </w:pPr>
    </w:p>
    <w:p>
      <w:pPr>
        <w:jc w:val="both"/>
        <w:ind w:right="20" w:firstLine="287"/>
        <w:spacing w:after="0" w:line="287" w:lineRule="auto"/>
        <w:rPr>
          <w:sz w:val="20"/>
          <w:szCs w:val="20"/>
          <w:color w:val="auto"/>
        </w:rPr>
      </w:pPr>
      <w:r>
        <w:rPr>
          <w:rFonts w:ascii="Arial" w:cs="Arial" w:eastAsia="Arial" w:hAnsi="Arial"/>
          <w:sz w:val="15"/>
          <w:szCs w:val="15"/>
          <w:color w:val="auto"/>
        </w:rPr>
        <w:t>At December 31, 2020, our total gross deferred tax assets were $61.4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and tax deductible temporary differences.</w:t>
      </w:r>
    </w:p>
    <w:p>
      <w:pPr>
        <w:spacing w:after="0" w:line="110" w:lineRule="exact"/>
        <w:rPr>
          <w:rFonts w:ascii="Arial" w:cs="Arial" w:eastAsia="Arial" w:hAnsi="Arial"/>
          <w:sz w:val="15"/>
          <w:szCs w:val="15"/>
          <w:color w:val="0000FF"/>
        </w:rPr>
      </w:pPr>
    </w:p>
    <w:p>
      <w:pPr>
        <w:jc w:val="both"/>
        <w:ind w:firstLine="287"/>
        <w:spacing w:after="0" w:line="293" w:lineRule="auto"/>
        <w:rPr>
          <w:sz w:val="20"/>
          <w:szCs w:val="20"/>
          <w:color w:val="auto"/>
        </w:rPr>
      </w:pPr>
      <w:r>
        <w:rPr>
          <w:rFonts w:ascii="Arial" w:cs="Arial" w:eastAsia="Arial" w:hAnsi="Arial"/>
          <w:sz w:val="14"/>
          <w:szCs w:val="14"/>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15" w:lineRule="exact"/>
        <w:rPr>
          <w:rFonts w:ascii="Arial" w:cs="Arial" w:eastAsia="Arial" w:hAnsi="Arial"/>
          <w:sz w:val="15"/>
          <w:szCs w:val="15"/>
          <w:color w:val="0000FF"/>
        </w:rPr>
      </w:pPr>
    </w:p>
    <w:p>
      <w:pPr>
        <w:spacing w:after="0"/>
        <w:rPr>
          <w:sz w:val="20"/>
          <w:szCs w:val="20"/>
          <w:color w:val="auto"/>
        </w:rPr>
      </w:pPr>
      <w:r>
        <w:rPr>
          <w:rFonts w:ascii="Arial" w:cs="Arial" w:eastAsia="Arial" w:hAnsi="Arial"/>
          <w:sz w:val="16"/>
          <w:szCs w:val="16"/>
          <w:b w:val="1"/>
          <w:bCs w:val="1"/>
          <w:color w:val="auto"/>
        </w:rPr>
        <w:t>Risks Related to Our Key Relationships</w:t>
      </w:r>
    </w:p>
    <w:p>
      <w:pPr>
        <w:spacing w:after="0" w:line="167" w:lineRule="exact"/>
        <w:rPr>
          <w:rFonts w:ascii="Arial" w:cs="Arial" w:eastAsia="Arial" w:hAnsi="Arial"/>
          <w:sz w:val="15"/>
          <w:szCs w:val="15"/>
          <w:color w:val="0000FF"/>
        </w:rPr>
      </w:pPr>
    </w:p>
    <w:p>
      <w:pPr>
        <w:spacing w:after="0"/>
        <w:rPr>
          <w:sz w:val="20"/>
          <w:szCs w:val="20"/>
          <w:color w:val="auto"/>
        </w:rPr>
      </w:pPr>
      <w:r>
        <w:rPr>
          <w:rFonts w:ascii="Arial" w:cs="Arial" w:eastAsia="Arial" w:hAnsi="Arial"/>
          <w:sz w:val="16"/>
          <w:szCs w:val="16"/>
          <w:b w:val="1"/>
          <w:bCs w:val="1"/>
          <w:i w:val="1"/>
          <w:iCs w:val="1"/>
          <w:color w:val="auto"/>
        </w:rPr>
        <w:t>We rely on third-party laboratories to perform certain elements of our service offerings.</w:t>
      </w:r>
    </w:p>
    <w:p>
      <w:pPr>
        <w:spacing w:after="0" w:line="390" w:lineRule="exact"/>
        <w:rPr>
          <w:rFonts w:ascii="Arial" w:cs="Arial" w:eastAsia="Arial" w:hAnsi="Arial"/>
          <w:sz w:val="15"/>
          <w:szCs w:val="15"/>
          <w:color w:val="0000FF"/>
        </w:rPr>
      </w:pPr>
    </w:p>
    <w:p>
      <w:pPr>
        <w:jc w:val="center"/>
        <w:ind w:right="-2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60"/>
          </w:cols>
          <w:pgMar w:left="320" w:top="139" w:right="31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39"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We may not have sufficient alternative backup if one or more of the third-party laboratories that we contract with are unable to satisfy their obligations to us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We rely on Mount Sinai, which is a related party, and its clinicians for a portion of our test volumes in connection with our diagnostic solutions and for a significant portion of the de-identified clinical records in our databases. In 2020, orders from Mount Sinai clinicians accounted for 5.5% of our total test volume, down from 12.8% in 2019.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27"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6"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In addition, ISMMS is one of our significant stockholders. Following the expiration of the lock-up period under the ISMMS Lock-Up Agreement,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ind w:firstLine="287"/>
        <w:spacing w:after="0" w:line="287" w:lineRule="auto"/>
        <w:rPr>
          <w:sz w:val="20"/>
          <w:szCs w:val="20"/>
          <w:color w:val="auto"/>
        </w:rPr>
      </w:pPr>
      <w:r>
        <w:rPr>
          <w:rFonts w:ascii="Arial" w:cs="Arial" w:eastAsia="Arial" w:hAnsi="Arial"/>
          <w:sz w:val="15"/>
          <w:szCs w:val="15"/>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w:t>
      </w: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60"/>
          </w:cols>
          <w:pgMar w:left="320" w:top="139" w:right="31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Regulatory and Compliance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174" w:lineRule="exact"/>
        <w:rPr>
          <w:sz w:val="20"/>
          <w:szCs w:val="20"/>
          <w:color w:val="auto"/>
        </w:rPr>
      </w:pPr>
    </w:p>
    <w:p>
      <w:pPr>
        <w:jc w:val="both"/>
        <w:ind w:firstLine="287"/>
        <w:spacing w:after="0" w:line="290" w:lineRule="auto"/>
        <w:rPr>
          <w:sz w:val="20"/>
          <w:szCs w:val="20"/>
          <w:color w:val="auto"/>
        </w:rPr>
      </w:pPr>
      <w:r>
        <w:rPr>
          <w:rFonts w:ascii="Arial" w:cs="Arial" w:eastAsia="Arial" w:hAnsi="Arial"/>
          <w:sz w:val="14"/>
          <w:szCs w:val="14"/>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63" w:lineRule="exact"/>
        <w:rPr>
          <w:sz w:val="20"/>
          <w:szCs w:val="20"/>
          <w:color w:val="auto"/>
        </w:rPr>
      </w:pPr>
    </w:p>
    <w:p>
      <w:pPr>
        <w:jc w:val="both"/>
        <w:ind w:firstLine="287"/>
        <w:spacing w:after="0" w:line="301" w:lineRule="auto"/>
        <w:rPr>
          <w:sz w:val="20"/>
          <w:szCs w:val="20"/>
          <w:color w:val="auto"/>
        </w:rPr>
      </w:pPr>
      <w:r>
        <w:rPr>
          <w:rFonts w:ascii="Arial" w:cs="Arial" w:eastAsia="Arial" w:hAnsi="Arial"/>
          <w:sz w:val="14"/>
          <w:szCs w:val="14"/>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28"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in FDA enforcement discretion for LDTs could subject our operations to much more significant regulatory requirements.</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currently offer a laboratory-develop test, or LDT, version of certain tests. The FDA has a policy of enforcement discretion with respect to, or LDTs, whereby the FDA does not actively enforce its medical device regulatory requirements</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60"/>
          </w:cols>
          <w:pgMar w:left="320" w:top="139" w:right="31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 xml:space="preserve">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25"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6"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94" w:lineRule="exact"/>
        <w:rPr>
          <w:sz w:val="20"/>
          <w:szCs w:val="20"/>
          <w:color w:val="auto"/>
        </w:rPr>
      </w:pPr>
    </w:p>
    <w:p>
      <w:pPr>
        <w:jc w:val="both"/>
        <w:ind w:right="20" w:firstLine="287"/>
        <w:spacing w:after="0" w:line="280" w:lineRule="auto"/>
        <w:rPr>
          <w:sz w:val="20"/>
          <w:szCs w:val="20"/>
          <w:color w:val="auto"/>
        </w:rPr>
      </w:pPr>
      <w:r>
        <w:rPr>
          <w:rFonts w:ascii="Arial" w:cs="Arial" w:eastAsia="Arial" w:hAnsi="Arial"/>
          <w:sz w:val="15"/>
          <w:szCs w:val="15"/>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 test that is designed, manufactured and used within a single properly licensed laboratory.</w:t>
      </w:r>
    </w:p>
    <w:p>
      <w:pPr>
        <w:spacing w:after="0" w:line="127"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request to down classify the device into Class II or Class I, which would not require a PMA. In the </w:t>
      </w:r>
      <w:r>
        <w:rPr>
          <w:rFonts w:ascii="Arial" w:cs="Arial" w:eastAsia="Arial" w:hAnsi="Arial"/>
          <w:sz w:val="14"/>
          <w:szCs w:val="14"/>
          <w:i w:val="1"/>
          <w:iCs w:val="1"/>
          <w:color w:val="auto"/>
        </w:rPr>
        <w:t xml:space="preserve">de novo </w:t>
      </w:r>
      <w:r>
        <w:rPr>
          <w:rFonts w:ascii="Arial" w:cs="Arial" w:eastAsia="Arial" w:hAnsi="Arial"/>
          <w:sz w:val="14"/>
          <w:szCs w:val="14"/>
          <w:color w:val="auto"/>
        </w:rPr>
        <w:t>process, the FDA must determine that general and special controls are sufficient to provide reasonable assurance of the safety and effectiveness of</w:t>
      </w: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60"/>
          </w:cols>
          <w:pgMar w:left="320" w:top="139" w:right="31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38"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 xml:space="preserve">The 510(k),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pathway usually takes from six to 12 months, but for many applicants can take up to 18 months or more.</w:t>
      </w:r>
    </w:p>
    <w:p>
      <w:pPr>
        <w:spacing w:after="0" w:line="126"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FDA can delay, limit or deny clearance, authorization or approval of a device for many reasons, including:</w:t>
      </w:r>
    </w:p>
    <w:p>
      <w:pPr>
        <w:spacing w:after="0" w:line="175" w:lineRule="exact"/>
        <w:rPr>
          <w:sz w:val="20"/>
          <w:szCs w:val="20"/>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to demonstrate to the satisfaction of the FDA that the products are safe or effective for their intended uses;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serious and unexpected adverse device effects experienced by participants in clinical trials;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data from preclinical studies, analytical studies and clinical trials may be insufficient to support clearance, authorization or approval, where required;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to demonstrate that the clinical and other benefits of the device outweigh the risks;</w:t>
      </w:r>
    </w:p>
    <w:p>
      <w:pPr>
        <w:spacing w:after="0" w:line="162" w:lineRule="exact"/>
        <w:rPr>
          <w:rFonts w:ascii="Arial" w:cs="Arial" w:eastAsia="Arial" w:hAnsi="Arial"/>
          <w:sz w:val="16"/>
          <w:szCs w:val="16"/>
          <w:color w:val="auto"/>
        </w:rPr>
      </w:pPr>
    </w:p>
    <w:p>
      <w:pPr>
        <w:jc w:val="both"/>
        <w:ind w:left="560" w:hanging="278"/>
        <w:spacing w:after="0" w:line="262"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3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may identify deficiencies in our marketing application;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may identify deficiencies in our or our collaborators’ manufacturing processes, facilities or analytical methods;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28" w:lineRule="exact"/>
        <w:rPr>
          <w:rFonts w:ascii="Arial" w:cs="Arial" w:eastAsia="Arial" w:hAnsi="Arial"/>
          <w:sz w:val="16"/>
          <w:szCs w:val="16"/>
          <w:color w:val="auto"/>
        </w:rPr>
      </w:pPr>
    </w:p>
    <w:p>
      <w:pPr>
        <w:ind w:left="560" w:hanging="278"/>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foreign regulatory authorities may audit clinical trial data and conclude that the data is not sufficiently reliable to support a PMA.</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28"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authorization or approval of a PMA. The FDA requires every manufacturer to make this determination in the first instance, but the FDA may review any</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0"/>
          </w:cols>
          <w:pgMar w:left="320" w:top="139" w:right="31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manufacturer’s decision. The FDA may not agree with our decisions regarding whether new clearances, authorizations or approvals are necessary.</w:t>
      </w:r>
    </w:p>
    <w:p>
      <w:pPr>
        <w:spacing w:after="0" w:line="175"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2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If the FDA disagrees with our determination, which it may not review until we submit an annual report or the FDA conducts an inspection or other inquiry, and requires us to seek new clearances, authorizations or approvals for modifications to its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3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46"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8"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 ordering and billing practices;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marketing, sales and pricing practices;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health information privacy and security, including HIPAA and comparable state laws;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insurance;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anti-markup legislation;</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fraud and abuse;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consumer protection.</w:t>
      </w:r>
    </w:p>
    <w:p>
      <w:pPr>
        <w:spacing w:after="0" w:line="163" w:lineRule="exact"/>
        <w:rPr>
          <w:sz w:val="20"/>
          <w:szCs w:val="20"/>
          <w:color w:val="auto"/>
        </w:rPr>
      </w:pPr>
    </w:p>
    <w:p>
      <w:pPr>
        <w:jc w:val="both"/>
        <w:ind w:firstLine="287"/>
        <w:spacing w:after="0" w:line="295" w:lineRule="auto"/>
        <w:rPr>
          <w:sz w:val="20"/>
          <w:szCs w:val="20"/>
          <w:color w:val="auto"/>
        </w:rPr>
      </w:pPr>
      <w:r>
        <w:rPr>
          <w:rFonts w:ascii="Arial" w:cs="Arial" w:eastAsia="Arial" w:hAnsi="Arial"/>
          <w:sz w:val="14"/>
          <w:szCs w:val="14"/>
          <w:color w:val="auto"/>
        </w:rPr>
        <w:t>We are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w:t>
      </w: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0"/>
          </w:cols>
          <w:pgMar w:left="320" w:top="139" w:right="31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additional businesses or products and services and our expansion outside of the U.S. may increase the potential of violating these laws, regulations or our internal policies and procedures.</w:t>
      </w:r>
    </w:p>
    <w:p>
      <w:pPr>
        <w:spacing w:after="0" w:line="128"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10" w:lineRule="exact"/>
        <w:rPr>
          <w:sz w:val="20"/>
          <w:szCs w:val="20"/>
          <w:color w:val="auto"/>
        </w:rPr>
      </w:pPr>
    </w:p>
    <w:p>
      <w:pPr>
        <w:ind w:left="560" w:right="20" w:hanging="278"/>
        <w:spacing w:after="0" w:line="275" w:lineRule="auto"/>
        <w:tabs>
          <w:tab w:leader="none" w:pos="5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patient’s rights to access, amend and receive an accounting of certain disclosures of PHI;</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requirements to notify individuals if there is a breach of their PHI;</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contents of notices of privacy practices for PHI;</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administrative, technical and physical safeguards required of entities that use or receive PHI;</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deidentification of PHI;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protection of computing systems maintaining electronic PHI.</w:t>
      </w:r>
    </w:p>
    <w:p>
      <w:pPr>
        <w:spacing w:after="0" w:line="163" w:lineRule="exact"/>
        <w:rPr>
          <w:sz w:val="20"/>
          <w:szCs w:val="20"/>
          <w:color w:val="auto"/>
        </w:rPr>
      </w:pPr>
    </w:p>
    <w:p>
      <w:pPr>
        <w:jc w:val="both"/>
        <w:ind w:firstLine="287"/>
        <w:spacing w:after="0" w:line="301" w:lineRule="auto"/>
        <w:rPr>
          <w:sz w:val="20"/>
          <w:szCs w:val="20"/>
          <w:color w:val="auto"/>
        </w:rPr>
      </w:pPr>
      <w:r>
        <w:rPr>
          <w:rFonts w:ascii="Arial" w:cs="Arial" w:eastAsia="Arial" w:hAnsi="Arial"/>
          <w:sz w:val="14"/>
          <w:szCs w:val="14"/>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4"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34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60"/>
          </w:cols>
          <w:pgMar w:left="320" w:top="139" w:right="31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activities may subject it to risks under federal and state laws prohibiting ‘kickbacks’ and false or fraudulent claims.</w:t>
      </w:r>
    </w:p>
    <w:p>
      <w:pPr>
        <w:spacing w:after="0" w:line="175"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7"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07" w:lineRule="exact"/>
        <w:rPr>
          <w:sz w:val="20"/>
          <w:szCs w:val="20"/>
          <w:color w:val="auto"/>
        </w:rPr>
      </w:pPr>
    </w:p>
    <w:p>
      <w:pPr>
        <w:jc w:val="both"/>
        <w:ind w:right="20" w:firstLine="287"/>
        <w:spacing w:after="0" w:line="270"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2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w:t>
      </w: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39" w:right="31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1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1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46"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2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Our operations are subject to other extensive federal, state, local and foreign laws and regulations, all of which are subject to change. These laws and regulations currently include, among others:</w:t>
      </w:r>
    </w:p>
    <w:p>
      <w:pPr>
        <w:spacing w:after="0" w:line="128" w:lineRule="exact"/>
        <w:rPr>
          <w:sz w:val="20"/>
          <w:szCs w:val="20"/>
          <w:color w:val="auto"/>
        </w:rPr>
      </w:pPr>
    </w:p>
    <w:p>
      <w:pPr>
        <w:ind w:left="560" w:right="20" w:hanging="278"/>
        <w:spacing w:after="0" w:line="275"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16" w:lineRule="exact"/>
        <w:rPr>
          <w:rFonts w:ascii="Arial" w:cs="Arial" w:eastAsia="Arial" w:hAnsi="Arial"/>
          <w:sz w:val="16"/>
          <w:szCs w:val="16"/>
          <w:color w:val="auto"/>
        </w:rPr>
      </w:pPr>
    </w:p>
    <w:p>
      <w:pPr>
        <w:ind w:left="560" w:right="20" w:hanging="278"/>
        <w:spacing w:after="0" w:line="349" w:lineRule="auto"/>
        <w:tabs>
          <w:tab w:leader="none" w:pos="5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81" w:lineRule="exact"/>
        <w:rPr>
          <w:rFonts w:ascii="Arial" w:cs="Arial" w:eastAsia="Arial" w:hAnsi="Arial"/>
          <w:sz w:val="14"/>
          <w:szCs w:val="14"/>
          <w:color w:val="auto"/>
        </w:rPr>
      </w:pPr>
    </w:p>
    <w:p>
      <w:pPr>
        <w:jc w:val="both"/>
        <w:ind w:left="560" w:right="20" w:hanging="278"/>
        <w:spacing w:after="0" w:line="262"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0"/>
          </w:cols>
          <w:pgMar w:left="320" w:top="139" w:right="31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60" w:right="20" w:hanging="278"/>
        <w:spacing w:after="0" w:line="280" w:lineRule="auto"/>
        <w:tabs>
          <w:tab w:leader="none" w:pos="55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27" w:lineRule="exact"/>
        <w:rPr>
          <w:rFonts w:ascii="Arial" w:cs="Arial" w:eastAsia="Arial" w:hAnsi="Arial"/>
          <w:sz w:val="15"/>
          <w:szCs w:val="15"/>
          <w:color w:val="auto"/>
        </w:rPr>
      </w:pPr>
    </w:p>
    <w:p>
      <w:pPr>
        <w:ind w:left="560" w:right="2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6"/>
          <w:szCs w:val="16"/>
          <w:color w:val="auto"/>
        </w:rPr>
      </w:pPr>
    </w:p>
    <w:p>
      <w:pPr>
        <w:jc w:val="both"/>
        <w:ind w:left="560" w:right="20" w:hanging="278"/>
        <w:spacing w:after="0" w:line="317" w:lineRule="auto"/>
        <w:tabs>
          <w:tab w:leader="none" w:pos="5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91" w:lineRule="exact"/>
        <w:rPr>
          <w:rFonts w:ascii="Arial" w:cs="Arial" w:eastAsia="Arial" w:hAnsi="Arial"/>
          <w:sz w:val="14"/>
          <w:szCs w:val="14"/>
          <w:color w:val="auto"/>
        </w:rPr>
      </w:pPr>
    </w:p>
    <w:p>
      <w:pPr>
        <w:ind w:left="56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false claims law, which imposes liability on any person or entity that, among other things, knowingly presents, or causes to be presented, a false or fraudulent claim for payment to the federal government;</w:t>
      </w:r>
    </w:p>
    <w:p>
      <w:pPr>
        <w:spacing w:after="0" w:line="128"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6"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6"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38"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6"/>
          <w:szCs w:val="16"/>
          <w:color w:val="auto"/>
        </w:rPr>
      </w:pPr>
    </w:p>
    <w:p>
      <w:pPr>
        <w:jc w:val="both"/>
        <w:ind w:left="560" w:right="20" w:hanging="278"/>
        <w:spacing w:after="0" w:line="287" w:lineRule="auto"/>
        <w:tabs>
          <w:tab w:leader="none" w:pos="55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10" w:lineRule="exact"/>
        <w:rPr>
          <w:rFonts w:ascii="Arial" w:cs="Arial" w:eastAsia="Arial" w:hAnsi="Arial"/>
          <w:sz w:val="15"/>
          <w:szCs w:val="15"/>
          <w:color w:val="auto"/>
        </w:rPr>
      </w:pPr>
    </w:p>
    <w:p>
      <w:pPr>
        <w:ind w:left="56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128" w:lineRule="exact"/>
        <w:rPr>
          <w:rFonts w:ascii="Arial" w:cs="Arial" w:eastAsia="Arial" w:hAnsi="Arial"/>
          <w:sz w:val="16"/>
          <w:szCs w:val="16"/>
          <w:color w:val="auto"/>
        </w:rPr>
      </w:pPr>
    </w:p>
    <w:p>
      <w:pPr>
        <w:ind w:left="560" w:hanging="278"/>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state laws that limit or prohibit the provision of certain payments and other transfers of value to certain covered healthcare providers;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prohibition on reassignment of Medicare claims, which, subject to certain exceptions, precludes the reassignment of Medicare claims to any other party;</w:t>
      </w:r>
    </w:p>
    <w:p>
      <w:pPr>
        <w:spacing w:after="0" w:line="174" w:lineRule="exact"/>
        <w:rPr>
          <w:rFonts w:ascii="Arial" w:cs="Arial" w:eastAsia="Arial" w:hAnsi="Arial"/>
          <w:sz w:val="15"/>
          <w:szCs w:val="15"/>
          <w:color w:val="auto"/>
        </w:rPr>
      </w:pPr>
    </w:p>
    <w:p>
      <w:pPr>
        <w:ind w:left="56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8" w:lineRule="exact"/>
        <w:rPr>
          <w:rFonts w:ascii="Arial" w:cs="Arial" w:eastAsia="Arial" w:hAnsi="Arial"/>
          <w:sz w:val="16"/>
          <w:szCs w:val="16"/>
          <w:color w:val="auto"/>
        </w:rPr>
      </w:pPr>
    </w:p>
    <w:p>
      <w:pPr>
        <w:ind w:left="560" w:hanging="278"/>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similar foreign laws and regulations that may apply to it in the countries in which we operate or may operate in the future; and</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laws that relate to maintaining accurate information and control over activities that may fall within the purview of the U.S. Foreign Corrupt Practices Act, its books and records provisions, or anti-bribery provisions.</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320" w:top="139" w:right="31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it successfully defends against it, could cause it to incur significant legal expenses and divert our management’s attention from the operation of our business. If our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uncertainty related to healthcare reform, pricing, coverage and reimbursement, which could reduce our revenue.</w:t>
      </w:r>
    </w:p>
    <w:p>
      <w:pPr>
        <w:spacing w:after="0" w:line="163"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6"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it. Any such action could have a negative impact on our revenues.</w:t>
      </w:r>
    </w:p>
    <w:p>
      <w:pPr>
        <w:spacing w:after="0" w:line="11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Coverage of our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116"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39" w:right="31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28"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0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5"/>
          <w:szCs w:val="15"/>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Errors, defects, or mistakes in our products or services, and operations could harm our reputation, decrease market acceptance of our products or services.</w:t>
      </w:r>
    </w:p>
    <w:p>
      <w:pPr>
        <w:spacing w:after="0" w:line="174"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0"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it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w:t>
      </w:r>
    </w:p>
    <w:p>
      <w:pPr>
        <w:spacing w:after="0" w:line="35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39" w:right="31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warranty and liability claims for damages related to errors or defects in our products or services. Any of these developments could harm our business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it conducts our business and our results of operations.</w:t>
      </w:r>
    </w:p>
    <w:p>
      <w:pPr>
        <w:spacing w:after="0" w:line="163" w:lineRule="exact"/>
        <w:rPr>
          <w:sz w:val="20"/>
          <w:szCs w:val="20"/>
          <w:color w:val="auto"/>
        </w:rPr>
      </w:pPr>
    </w:p>
    <w:p>
      <w:pPr>
        <w:jc w:val="both"/>
        <w:ind w:right="20" w:firstLine="287"/>
        <w:spacing w:after="0" w:line="274" w:lineRule="auto"/>
        <w:rPr>
          <w:sz w:val="20"/>
          <w:szCs w:val="20"/>
          <w:color w:val="auto"/>
        </w:rPr>
      </w:pPr>
      <w:r>
        <w:rPr>
          <w:rFonts w:ascii="Arial" w:cs="Arial" w:eastAsia="Arial" w:hAnsi="Arial"/>
          <w:sz w:val="15"/>
          <w:szCs w:val="15"/>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it conducts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Trade Secrets</w:t>
      </w:r>
    </w:p>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to is by our methods and databases relative to our competitors. If we do not protect our intellectual property adequately, competitors may be able to use our methods and databases and thereby erode any competitive advantages we may have.</w:t>
      </w:r>
    </w:p>
    <w:p>
      <w:pPr>
        <w:spacing w:after="0" w:line="102"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it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it to obtain certain rights to practice related technologies, which may not be available on favorable terms, if at all. If we initiate lawsuits to protect or enforce our patents, or litigate against third-party claims, which would be expensive, and we lose, it may lose some of our intellectual property rights. Furthermore, these lawsuits may divert the attention of our management and technical personnel.</w:t>
      </w:r>
    </w:p>
    <w:p>
      <w:pPr>
        <w:spacing w:after="0" w:line="119"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0"/>
          </w:cols>
          <w:pgMar w:left="320" w:top="139" w:right="31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75"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Any of these factors could adversely affect our ability to obtain commercially relevant or competitively advantageous patent protection for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patent regulations or standards are modified, such changes could have a negative impact on our business.</w:t>
      </w:r>
    </w:p>
    <w:p>
      <w:pPr>
        <w:spacing w:after="0" w:line="175"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1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 xml:space="preserve">There have been several cases involving “gene patents” and diagnostic claims that have been considered by the U.S. Supreme Court. In March 2012, the Supreme Court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w:t>
      </w:r>
      <w:r>
        <w:rPr>
          <w:rFonts w:ascii="Arial" w:cs="Arial" w:eastAsia="Arial" w:hAnsi="Arial"/>
          <w:sz w:val="16"/>
          <w:szCs w:val="16"/>
          <w:color w:val="auto"/>
        </w:rPr>
        <w:t>found a patented diagnostic method claim unpatentable because the relationship between a metabolite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concentration and optimized dosage was a patent-ineligible “law of nature.” In June 2013, the Supreme Court ruled in </w:t>
      </w:r>
      <w:r>
        <w:rPr>
          <w:rFonts w:ascii="Arial" w:cs="Arial" w:eastAsia="Arial" w:hAnsi="Arial"/>
          <w:sz w:val="16"/>
          <w:szCs w:val="16"/>
          <w:i w:val="1"/>
          <w:iCs w:val="1"/>
          <w:color w:val="auto"/>
        </w:rPr>
        <w:t>ACLU v. Myriad Genetics, Inc,</w:t>
      </w:r>
      <w:r>
        <w:rPr>
          <w:rFonts w:ascii="Arial" w:cs="Arial" w:eastAsia="Arial" w:hAnsi="Arial"/>
          <w:sz w:val="16"/>
          <w:szCs w:val="16"/>
          <w:color w:val="auto"/>
        </w:rPr>
        <w:t xml:space="preserve"> that an isolated genomic DNA sequence is not patent eligible while cDNA is eligible. The </w:t>
      </w:r>
      <w:r>
        <w:rPr>
          <w:rFonts w:ascii="Arial" w:cs="Arial" w:eastAsia="Arial" w:hAnsi="Arial"/>
          <w:sz w:val="16"/>
          <w:szCs w:val="16"/>
          <w:i w:val="1"/>
          <w:iCs w:val="1"/>
          <w:color w:val="auto"/>
        </w:rPr>
        <w:t>Prometheus and Myriad</w:t>
      </w:r>
      <w:r>
        <w:rPr>
          <w:rFonts w:ascii="Arial" w:cs="Arial" w:eastAsia="Arial" w:hAnsi="Arial"/>
          <w:sz w:val="16"/>
          <w:szCs w:val="16"/>
          <w:color w:val="auto"/>
        </w:rPr>
        <w:t xml:space="preserve"> decisions, as well as subsequent case law, affect the legal concept of subject matter eligibility by seemingly narrowing the scope of the statute defining patentable inventions.</w:t>
      </w:r>
    </w:p>
    <w:p>
      <w:pPr>
        <w:spacing w:after="0" w:line="134"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Alice Corporation Pty. Ltd. v. CLS Bank</w:t>
      </w:r>
      <w:r>
        <w:rPr>
          <w:rFonts w:ascii="Arial" w:cs="Arial" w:eastAsia="Arial" w:hAnsi="Arial"/>
          <w:sz w:val="16"/>
          <w:szCs w:val="16"/>
          <w:color w:val="auto"/>
        </w:rPr>
        <w:t xml:space="preserve"> </w:t>
      </w:r>
      <w:r>
        <w:rPr>
          <w:rFonts w:ascii="Arial" w:cs="Arial" w:eastAsia="Arial" w:hAnsi="Arial"/>
          <w:sz w:val="16"/>
          <w:szCs w:val="16"/>
          <w:i w:val="1"/>
          <w:iCs w:val="1"/>
          <w:color w:val="auto"/>
        </w:rPr>
        <w:t>International</w:t>
      </w:r>
      <w:r>
        <w:rPr>
          <w:rFonts w:ascii="Arial" w:cs="Arial" w:eastAsia="Arial" w:hAnsi="Arial"/>
          <w:sz w:val="16"/>
          <w:szCs w:val="16"/>
          <w:color w:val="auto"/>
        </w:rPr>
        <w:t>, and others. The guidance indicates that claims directed to a law of nature, a natural phenomenon, or an abstract idea that do not meet the eligibility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4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we are not able to adequately protect our trade secrets and other proprietary information, including the databases it manages and to which it has access, the value of our technology and products could be significantly diminished.</w:t>
      </w:r>
    </w:p>
    <w:p>
      <w:pPr>
        <w:spacing w:after="0" w:line="116" w:lineRule="exact"/>
        <w:rPr>
          <w:sz w:val="20"/>
          <w:szCs w:val="20"/>
          <w:color w:val="auto"/>
        </w:rPr>
      </w:pPr>
    </w:p>
    <w:p>
      <w:pPr>
        <w:jc w:val="both"/>
        <w:ind w:right="20" w:firstLine="287"/>
        <w:spacing w:after="0" w:line="294" w:lineRule="auto"/>
        <w:rPr>
          <w:sz w:val="20"/>
          <w:szCs w:val="20"/>
          <w:color w:val="auto"/>
        </w:rPr>
      </w:pPr>
      <w:r>
        <w:rPr>
          <w:rFonts w:ascii="Arial" w:cs="Arial" w:eastAsia="Arial" w:hAnsi="Arial"/>
          <w:sz w:val="14"/>
          <w:szCs w:val="14"/>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w:t>
      </w: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39" w:right="31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whether accidentally or through willful misconduct, could have a material adverse effect on our programs and our strategy, and on our ability to compete effectively.</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it may not be able to build name recognition in our markets of interest, and our business may be adversely affected.</w:t>
      </w:r>
    </w:p>
    <w:p>
      <w:pPr>
        <w:spacing w:after="0" w:line="116"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20"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it may not be able to compete effectively, and our business may be adversely affected.</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16"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34"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6" w:lineRule="exact"/>
        <w:rPr>
          <w:sz w:val="20"/>
          <w:szCs w:val="20"/>
          <w:color w:val="auto"/>
        </w:rPr>
      </w:pPr>
    </w:p>
    <w:p>
      <w:pPr>
        <w:jc w:val="both"/>
        <w:ind w:firstLine="287"/>
        <w:spacing w:after="0" w:line="294" w:lineRule="auto"/>
        <w:rPr>
          <w:sz w:val="20"/>
          <w:szCs w:val="20"/>
          <w:color w:val="auto"/>
        </w:rPr>
      </w:pPr>
      <w:r>
        <w:rPr>
          <w:rFonts w:ascii="Arial" w:cs="Arial" w:eastAsia="Arial" w:hAnsi="Arial"/>
          <w:sz w:val="14"/>
          <w:szCs w:val="14"/>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it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0"/>
          </w:cols>
          <w:pgMar w:left="320" w:top="139" w:right="31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87"/>
        <w:spacing w:after="0" w:line="306" w:lineRule="auto"/>
        <w:rPr>
          <w:sz w:val="20"/>
          <w:szCs w:val="20"/>
          <w:color w:val="auto"/>
        </w:rPr>
      </w:pPr>
      <w:r>
        <w:rPr>
          <w:rFonts w:ascii="Arial" w:cs="Arial" w:eastAsia="Arial" w:hAnsi="Arial"/>
          <w:sz w:val="14"/>
          <w:szCs w:val="14"/>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use of open-source software could subject it to possible litigation or cause us to subject our platform to unwanted open-source license conditions that could negatively impact our sales.</w:t>
      </w:r>
    </w:p>
    <w:p>
      <w:pPr>
        <w:spacing w:after="0" w:line="116" w:lineRule="exact"/>
        <w:rPr>
          <w:sz w:val="20"/>
          <w:szCs w:val="20"/>
          <w:color w:val="auto"/>
        </w:rPr>
      </w:pPr>
    </w:p>
    <w:p>
      <w:pPr>
        <w:jc w:val="both"/>
        <w:ind w:right="20" w:firstLine="287"/>
        <w:spacing w:after="0" w:line="273" w:lineRule="auto"/>
        <w:rPr>
          <w:sz w:val="20"/>
          <w:szCs w:val="20"/>
          <w:color w:val="auto"/>
        </w:rPr>
      </w:pPr>
      <w:r>
        <w:rPr>
          <w:rFonts w:ascii="Arial" w:cs="Arial" w:eastAsia="Arial" w:hAnsi="Arial"/>
          <w:sz w:val="15"/>
          <w:szCs w:val="15"/>
          <w:color w:val="auto"/>
        </w:rPr>
        <w:t>A limited but meaningful portion of our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28"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0"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Cybersecurity, Privacy and Information Technology</w:t>
      </w:r>
    </w:p>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ind w:right="20" w:firstLine="287"/>
        <w:spacing w:after="0" w:line="301" w:lineRule="auto"/>
        <w:rPr>
          <w:sz w:val="20"/>
          <w:szCs w:val="20"/>
          <w:color w:val="auto"/>
        </w:rPr>
      </w:pPr>
      <w:r>
        <w:rPr>
          <w:rFonts w:ascii="Arial" w:cs="Arial" w:eastAsia="Arial" w:hAnsi="Arial"/>
          <w:sz w:val="14"/>
          <w:szCs w:val="14"/>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60"/>
          </w:cols>
          <w:pgMar w:left="320" w:top="139" w:right="31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problems experienced by facility operators. Some of our systems are not fully redundant, and disaster recovery planning cannot account for all eventualities.</w:t>
      </w:r>
    </w:p>
    <w:p>
      <w:pPr>
        <w:spacing w:after="0" w:line="175"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16" w:lineRule="exact"/>
        <w:rPr>
          <w:sz w:val="20"/>
          <w:szCs w:val="20"/>
          <w:color w:val="auto"/>
        </w:rPr>
      </w:pPr>
    </w:p>
    <w:p>
      <w:pPr>
        <w:jc w:val="both"/>
        <w:ind w:firstLine="287"/>
        <w:spacing w:after="0" w:line="291" w:lineRule="auto"/>
        <w:rPr>
          <w:sz w:val="20"/>
          <w:szCs w:val="20"/>
          <w:color w:val="auto"/>
        </w:rPr>
      </w:pPr>
      <w:r>
        <w:rPr>
          <w:rFonts w:ascii="Arial" w:cs="Arial" w:eastAsia="Arial" w:hAnsi="Arial"/>
          <w:sz w:val="14"/>
          <w:szCs w:val="14"/>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23"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The secure processing, storage, maintenance and transmission of this critical information are vital to our operations and business strategy, and it devotes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Further, our some of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33"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60"/>
          </w:cols>
          <w:pgMar w:left="320" w:top="139" w:right="31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34"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1" w:lineRule="exact"/>
        <w:rPr>
          <w:sz w:val="20"/>
          <w:szCs w:val="20"/>
          <w:color w:val="auto"/>
        </w:rPr>
      </w:pPr>
    </w:p>
    <w:p>
      <w:pPr>
        <w:jc w:val="both"/>
        <w:ind w:right="20" w:firstLine="287"/>
        <w:spacing w:after="0" w:line="295" w:lineRule="auto"/>
        <w:rPr>
          <w:sz w:val="20"/>
          <w:szCs w:val="20"/>
          <w:color w:val="auto"/>
        </w:rPr>
      </w:pPr>
      <w:r>
        <w:rPr>
          <w:rFonts w:ascii="Arial" w:cs="Arial" w:eastAsia="Arial" w:hAnsi="Arial"/>
          <w:sz w:val="14"/>
          <w:szCs w:val="14"/>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it does business. Failure to comply with privacy and data security</w:t>
      </w: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0"/>
          </w:cols>
          <w:pgMar w:left="320" w:top="139" w:right="31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requirements could result in a variety of consequences, or damage to our reputation, any of which could have a material adverse effect on our business.</w:t>
      </w:r>
    </w:p>
    <w:p>
      <w:pPr>
        <w:spacing w:after="0" w:line="17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9"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70"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46" w:lineRule="exact"/>
        <w:rPr>
          <w:sz w:val="20"/>
          <w:szCs w:val="20"/>
          <w:color w:val="auto"/>
        </w:rPr>
      </w:pPr>
    </w:p>
    <w:p>
      <w:pPr>
        <w:jc w:val="both"/>
        <w:ind w:right="20" w:firstLine="287"/>
        <w:spacing w:after="0" w:line="306" w:lineRule="auto"/>
        <w:rPr>
          <w:sz w:val="20"/>
          <w:szCs w:val="20"/>
          <w:color w:val="auto"/>
        </w:rPr>
      </w:pPr>
      <w:r>
        <w:rPr>
          <w:rFonts w:ascii="Arial" w:cs="Arial" w:eastAsia="Arial" w:hAnsi="Arial"/>
          <w:sz w:val="14"/>
          <w:szCs w:val="14"/>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99"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186"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9" w:lineRule="exact"/>
        <w:rPr>
          <w:sz w:val="20"/>
          <w:szCs w:val="20"/>
          <w:color w:val="auto"/>
        </w:rPr>
      </w:pPr>
    </w:p>
    <w:p>
      <w:pPr>
        <w:jc w:val="both"/>
        <w:ind w:firstLine="287"/>
        <w:spacing w:after="0" w:line="309" w:lineRule="auto"/>
        <w:rPr>
          <w:sz w:val="20"/>
          <w:szCs w:val="20"/>
          <w:color w:val="auto"/>
        </w:rPr>
      </w:pPr>
      <w:r>
        <w:rPr>
          <w:rFonts w:ascii="Arial" w:cs="Arial" w:eastAsia="Arial" w:hAnsi="Arial"/>
          <w:sz w:val="15"/>
          <w:szCs w:val="15"/>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94" w:lineRule="exact"/>
        <w:rPr>
          <w:sz w:val="20"/>
          <w:szCs w:val="20"/>
          <w:color w:val="auto"/>
        </w:rPr>
      </w:pPr>
    </w:p>
    <w:p>
      <w:pPr>
        <w:jc w:val="both"/>
        <w:ind w:firstLine="287"/>
        <w:spacing w:after="0" w:line="295" w:lineRule="auto"/>
        <w:rPr>
          <w:sz w:val="20"/>
          <w:szCs w:val="20"/>
          <w:color w:val="auto"/>
        </w:rPr>
      </w:pPr>
      <w:r>
        <w:rPr>
          <w:rFonts w:ascii="Arial" w:cs="Arial" w:eastAsia="Arial" w:hAnsi="Arial"/>
          <w:sz w:val="14"/>
          <w:szCs w:val="14"/>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60"/>
          </w:cols>
          <w:pgMar w:left="320" w:top="139" w:right="31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Being a Public Company</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As a public company, we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market for our securities may not continue, which would adversely affect the liquidity and price of our securities.</w:t>
      </w:r>
    </w:p>
    <w:p>
      <w:pPr>
        <w:spacing w:after="0" w:line="163"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The price of our securities may fluctuate significantly due to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w:t>
      </w:r>
    </w:p>
    <w:p>
      <w:pPr>
        <w:spacing w:after="0" w:line="12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If the recently completed Business Combination’s benefits do not meet the expectations of investors, stockholders or financial analysts, the market price of our securities may decline.</w:t>
      </w:r>
    </w:p>
    <w:p>
      <w:pPr>
        <w:spacing w:after="0" w:line="128"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If the benefits of the recently completed Business Combination do not meet the expectations of investors or securities analysts, the market price of our securities may decline. In addition, fluctuations in the price of our securities could contribute to the loss of all or part of your investment.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Factors affecting the trading price of our securities may include:</w:t>
      </w:r>
    </w:p>
    <w:p>
      <w:pPr>
        <w:spacing w:after="0" w:line="163" w:lineRule="exact"/>
        <w:rPr>
          <w:sz w:val="20"/>
          <w:szCs w:val="20"/>
          <w:color w:val="auto"/>
        </w:rPr>
      </w:pPr>
    </w:p>
    <w:p>
      <w:pPr>
        <w:ind w:left="560" w:hanging="278"/>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us;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market’s expectations about our operating results;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39" w:right="31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of technological innovation, new products, acquisitions, strategic alliances, significant agreements by us or competitors;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 of competitors;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operating results falling below our financial guidance or other projections or failing to meet the expectation of securities analysts or investors in a particular period;</w:t>
      </w:r>
    </w:p>
    <w:p>
      <w:pPr>
        <w:spacing w:after="0" w:line="185" w:lineRule="exact"/>
        <w:rPr>
          <w:rFonts w:ascii="Arial" w:cs="Arial" w:eastAsia="Arial" w:hAnsi="Arial"/>
          <w:sz w:val="14"/>
          <w:szCs w:val="14"/>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us or the market in general;</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us;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market new and enhanced products on a timely basis;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laws and regulations affecting our business;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commencement of, or involvement in, litigation involving us;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securities or the incurrence of additional debt;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volume of shares of our common stock available for public sale;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major change in our Board or management;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expiration of the market stand-off or contractual lock-up agreements;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realization of any of the risk factors described herein;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comply with the requirements of Nasdaq;</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comply with SOX or other laws or regulations;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actual, potential or perceived control, accounting or reporting problems;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accounting principles, policies and guidelines;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recessions, interest rates, fuel prices, international currency fluctuations and acts of war or terrorism.</w:t>
      </w:r>
    </w:p>
    <w:p>
      <w:pPr>
        <w:spacing w:after="0" w:line="163" w:lineRule="exact"/>
        <w:rPr>
          <w:sz w:val="20"/>
          <w:szCs w:val="20"/>
          <w:color w:val="auto"/>
        </w:rPr>
      </w:pPr>
    </w:p>
    <w:p>
      <w:pPr>
        <w:jc w:val="both"/>
        <w:ind w:firstLine="287"/>
        <w:spacing w:after="0" w:line="301" w:lineRule="auto"/>
        <w:rPr>
          <w:sz w:val="20"/>
          <w:szCs w:val="20"/>
          <w:color w:val="auto"/>
        </w:rPr>
      </w:pPr>
      <w:r>
        <w:rPr>
          <w:rFonts w:ascii="Arial" w:cs="Arial" w:eastAsia="Arial" w:hAnsi="Arial"/>
          <w:sz w:val="14"/>
          <w:szCs w:val="14"/>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02" w:lineRule="exact"/>
        <w:rPr>
          <w:sz w:val="20"/>
          <w:szCs w:val="20"/>
          <w:color w:val="auto"/>
        </w:rPr>
      </w:pPr>
    </w:p>
    <w:p>
      <w:pPr>
        <w:jc w:val="both"/>
        <w:ind w:right="20" w:firstLine="287"/>
        <w:spacing w:after="0" w:line="349" w:lineRule="auto"/>
        <w:rPr>
          <w:sz w:val="20"/>
          <w:szCs w:val="20"/>
          <w:color w:val="auto"/>
        </w:rPr>
      </w:pPr>
      <w:r>
        <w:rPr>
          <w:rFonts w:ascii="Arial" w:cs="Arial" w:eastAsia="Arial" w:hAnsi="Arial"/>
          <w:sz w:val="14"/>
          <w:szCs w:val="14"/>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could decline.</w:t>
      </w:r>
    </w:p>
    <w:p>
      <w:pPr>
        <w:spacing w:after="0" w:line="11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may publish about us, our business, our market, or our competitors. Securities and industry analysts do not currently, and</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39" w:right="31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may never, publish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could cause our stock price or trading volume to decline.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laws, regulations or rules, or a failure to comply with any laws, regulations or rules, may adversely affect our business, investments and results of operations.</w:t>
      </w:r>
    </w:p>
    <w:p>
      <w:pPr>
        <w:spacing w:after="0" w:line="197"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3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Bylaws, as well as provisions of Delaware law, could impair a takeover attempt.</w:t>
      </w:r>
    </w:p>
    <w:p>
      <w:pPr>
        <w:spacing w:after="0" w:line="128"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Our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29" w:lineRule="exact"/>
        <w:rPr>
          <w:sz w:val="20"/>
          <w:szCs w:val="20"/>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classified board of directors with three-year staggered terms, which could delay the ability of stockholders to change the membership of a majority of the Board;</w:t>
      </w:r>
    </w:p>
    <w:p>
      <w:pPr>
        <w:spacing w:after="0" w:line="186" w:lineRule="exact"/>
        <w:rPr>
          <w:rFonts w:ascii="Arial" w:cs="Arial" w:eastAsia="Arial" w:hAnsi="Arial"/>
          <w:sz w:val="15"/>
          <w:szCs w:val="15"/>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that directors may only be removed from the Board for cause;</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174"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26" w:lineRule="exact"/>
        <w:rPr>
          <w:rFonts w:ascii="Arial" w:cs="Arial" w:eastAsia="Arial" w:hAnsi="Arial"/>
          <w:sz w:val="16"/>
          <w:szCs w:val="16"/>
          <w:color w:val="auto"/>
        </w:rPr>
      </w:pPr>
    </w:p>
    <w:p>
      <w:pPr>
        <w:ind w:left="560" w:right="20" w:hanging="278"/>
        <w:spacing w:after="0" w:line="275"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that changes or amendments to certain provisions of our Amended and Restated Certificate of Incorporation must be approved by holders of at least two-thirds of our common stock; and</w:t>
      </w:r>
    </w:p>
    <w:p>
      <w:pPr>
        <w:spacing w:after="0" w:line="116" w:lineRule="exact"/>
        <w:rPr>
          <w:rFonts w:ascii="Arial" w:cs="Arial" w:eastAsia="Arial" w:hAnsi="Arial"/>
          <w:sz w:val="16"/>
          <w:szCs w:val="16"/>
          <w:color w:val="auto"/>
        </w:rPr>
      </w:pPr>
    </w:p>
    <w:p>
      <w:pPr>
        <w:jc w:val="both"/>
        <w:ind w:left="560" w:hanging="278"/>
        <w:spacing w:after="0" w:line="262"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60"/>
          </w:cols>
          <w:pgMar w:left="320" w:top="139" w:right="31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over financial reporting under Section 404 of SOX;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46"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1"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15"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287"/>
        <w:spacing w:after="0" w:line="273" w:lineRule="auto"/>
        <w:rPr>
          <w:sz w:val="20"/>
          <w:szCs w:val="20"/>
          <w:color w:val="auto"/>
        </w:rPr>
      </w:pPr>
      <w:r>
        <w:rPr>
          <w:rFonts w:ascii="Arial" w:cs="Arial" w:eastAsia="Arial" w:hAnsi="Arial"/>
          <w:sz w:val="15"/>
          <w:szCs w:val="15"/>
          <w:color w:val="auto"/>
        </w:rPr>
        <w:t>As a public company following the Business Combination,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0"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The Amended and Restated Certificate of Incorporation designates the Court of Chancery of the State of Delaware and federal court within the State of Delaware as the exclusive forum for certain types of actions and proceedings that the</w:t>
      </w:r>
    </w:p>
    <w:p>
      <w:pPr>
        <w:spacing w:after="0" w:line="3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60"/>
          </w:cols>
          <w:pgMar w:left="320" w:top="139" w:right="31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stockholders may initiate, which could limit a stockholder’s ability to obtain a favorable judicial forum for disputes with us or our directors, officers or employees.</w:t>
      </w:r>
    </w:p>
    <w:p>
      <w:pPr>
        <w:spacing w:after="0" w:line="198" w:lineRule="exact"/>
        <w:rPr>
          <w:sz w:val="20"/>
          <w:szCs w:val="20"/>
          <w:color w:val="auto"/>
        </w:rPr>
      </w:pPr>
    </w:p>
    <w:p>
      <w:pPr>
        <w:jc w:val="both"/>
        <w:ind w:firstLine="287"/>
        <w:spacing w:after="0" w:line="262" w:lineRule="auto"/>
        <w:rPr>
          <w:sz w:val="20"/>
          <w:szCs w:val="20"/>
          <w:color w:val="auto"/>
        </w:rPr>
      </w:pPr>
      <w:r>
        <w:rPr>
          <w:rFonts w:ascii="Arial" w:cs="Arial" w:eastAsia="Arial" w:hAnsi="Arial"/>
          <w:sz w:val="16"/>
          <w:szCs w:val="16"/>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126"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Amended and Restated Certificate of Incorporation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560" w:hanging="27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derivative action or proceeding brought on our behalf;</w:t>
      </w:r>
    </w:p>
    <w:p>
      <w:pPr>
        <w:spacing w:after="0" w:line="174" w:lineRule="exact"/>
        <w:rPr>
          <w:rFonts w:ascii="Arial" w:cs="Arial" w:eastAsia="Arial" w:hAnsi="Arial"/>
          <w:sz w:val="16"/>
          <w:szCs w:val="16"/>
          <w:color w:val="auto"/>
        </w:rPr>
      </w:pPr>
    </w:p>
    <w:p>
      <w:pPr>
        <w:ind w:left="560" w:hanging="278"/>
        <w:spacing w:after="0" w:line="275" w:lineRule="auto"/>
        <w:tabs>
          <w:tab w:leader="none" w:pos="5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6"/>
          <w:szCs w:val="16"/>
          <w:color w:val="auto"/>
        </w:rPr>
      </w:pPr>
    </w:p>
    <w:p>
      <w:pPr>
        <w:jc w:val="both"/>
        <w:ind w:left="560" w:right="20" w:hanging="278"/>
        <w:spacing w:after="0" w:line="262" w:lineRule="auto"/>
        <w:tabs>
          <w:tab w:leader="none" w:pos="5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action asserting a claim against the us or any of our directors, officers, stockholders, employees or agents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26" w:lineRule="exact"/>
        <w:rPr>
          <w:rFonts w:ascii="Arial" w:cs="Arial" w:eastAsia="Arial" w:hAnsi="Arial"/>
          <w:sz w:val="16"/>
          <w:szCs w:val="16"/>
          <w:color w:val="auto"/>
        </w:rPr>
      </w:pPr>
    </w:p>
    <w:p>
      <w:pPr>
        <w:ind w:left="560" w:hanging="278"/>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action to interpret, apply, enforce or determine the validity of the Amended and Restated Certificate of Incorporation or the Bylaws; or</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action asserting a claim against us or any of our directors, officers, stockholders, employees or agents that is governed by the internal affairs doctrine.</w:t>
      </w:r>
    </w:p>
    <w:p>
      <w:pPr>
        <w:spacing w:after="0" w:line="174"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the Bylaws and the choice of forum provision in the Amended and Restated Certificate of Incorporation.</w:t>
      </w:r>
    </w:p>
    <w:p>
      <w:pPr>
        <w:spacing w:after="0" w:line="120"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it may incur additional costs associated with resolving such action in other jurisdictions, which could harm our business, results of operations and financial condition.</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stockholders will not be deemed to have waived our compliance with the federal securities laws and the regulations promulgated thereunder.</w:t>
      </w:r>
    </w:p>
    <w:p>
      <w:pPr>
        <w:spacing w:after="0" w:line="163" w:lineRule="exact"/>
        <w:rPr>
          <w:sz w:val="20"/>
          <w:szCs w:val="20"/>
          <w:color w:val="auto"/>
        </w:rPr>
      </w:pPr>
    </w:p>
    <w:p>
      <w:pPr>
        <w:jc w:val="both"/>
        <w:ind w:right="20" w:firstLine="287"/>
        <w:spacing w:after="0" w:line="258"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Warrants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10"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w:t>
      </w: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0"/>
          </w:cols>
          <w:pgMar w:left="320" w:top="139" w:right="31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redeem unexpired public warrants prior to their exercise at a time that is disadvantageous to warrant holders, thereby making their public warrants worthless.</w:t>
      </w:r>
    </w:p>
    <w:p>
      <w:pPr>
        <w:spacing w:after="0" w:line="186"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“Sponsor,” or its permitted transferees.</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28"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As of September 30,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29"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175" w:lineRule="exact"/>
        <w:rPr>
          <w:sz w:val="20"/>
          <w:szCs w:val="20"/>
          <w:color w:val="auto"/>
        </w:rPr>
      </w:pPr>
    </w:p>
    <w:p>
      <w:pPr>
        <w:jc w:val="both"/>
        <w:ind w:firstLine="287"/>
        <w:spacing w:after="0" w:line="297" w:lineRule="auto"/>
        <w:rPr>
          <w:sz w:val="20"/>
          <w:szCs w:val="20"/>
          <w:color w:val="auto"/>
        </w:rPr>
      </w:pPr>
      <w:r>
        <w:rPr>
          <w:rFonts w:ascii="Arial" w:cs="Arial" w:eastAsia="Arial" w:hAnsi="Arial"/>
          <w:sz w:val="14"/>
          <w:szCs w:val="14"/>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or SPACs, entitled “Staff Statement on Accounting and Reporting Considerations for Warrants Issued by Special Purpose Acquisition Companies, or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outstanding at such time, and determined to classify the warrants as derivative liabilities measured at fair value, with changes in fair value each period reported in earnings.</w:t>
      </w:r>
    </w:p>
    <w:p>
      <w:pPr>
        <w:spacing w:after="0" w:line="107" w:lineRule="exact"/>
        <w:rPr>
          <w:sz w:val="20"/>
          <w:szCs w:val="20"/>
          <w:color w:val="auto"/>
        </w:rPr>
      </w:pPr>
    </w:p>
    <w:p>
      <w:pPr>
        <w:jc w:val="both"/>
        <w:ind w:right="20" w:firstLine="287"/>
        <w:spacing w:after="0" w:line="276" w:lineRule="auto"/>
        <w:rPr>
          <w:sz w:val="20"/>
          <w:szCs w:val="20"/>
          <w:color w:val="auto"/>
        </w:rPr>
      </w:pPr>
      <w:r>
        <w:rPr>
          <w:rFonts w:ascii="Arial" w:cs="Arial" w:eastAsia="Arial" w:hAnsi="Arial"/>
          <w:sz w:val="15"/>
          <w:szCs w:val="15"/>
          <w:color w:val="auto"/>
        </w:rPr>
        <w:t>As a result, included on CMLS’s balance sheet as of December 31, 2020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and warrants may be volatile.</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39" w:right="31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price of our common stock and warrants may fluctuate due to a variety of factors, including:</w:t>
      </w:r>
    </w:p>
    <w:p>
      <w:pPr>
        <w:spacing w:after="0" w:line="175" w:lineRule="exact"/>
        <w:rPr>
          <w:sz w:val="20"/>
          <w:szCs w:val="20"/>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the industries in which we and our customers operate;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 in general;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material and adverse impact of the COVID-19 pandemic on the markets and the broader global economy;</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laws and regulations affecting our business;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commencement of, or involvement in, litigation involving us;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securities or the incurrence of additional debt;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our industry;</w:t>
      </w:r>
    </w:p>
    <w:p>
      <w:pPr>
        <w:spacing w:after="0" w:line="222" w:lineRule="exact"/>
        <w:rPr>
          <w:rFonts w:ascii="Arial" w:cs="Arial" w:eastAsia="Arial" w:hAnsi="Arial"/>
          <w:sz w:val="16"/>
          <w:szCs w:val="16"/>
          <w:color w:val="auto"/>
        </w:rPr>
      </w:pPr>
    </w:p>
    <w:p>
      <w:pPr>
        <w:ind w:left="560" w:right="460" w:hanging="278"/>
        <w:spacing w:after="0" w:line="275"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of shares of our common stock by certain investors, or the PIPE Investors, in the $350.0 million private placement we consummated in connection with the Business Combination, or the PIPE Investment;</w:t>
      </w:r>
    </w:p>
    <w:p>
      <w:pPr>
        <w:spacing w:after="0" w:line="116"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volume of shares of our common stock available for public sale;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recessions, interest rates, social, political and economic risks and acts of war or terrorism.</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market and industry factors may materially reduce the market price of our common stock and warrants regardless of our operating performance.</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 portion of our total outstanding shares are restricted from immediate resale but may be sold into the market in the near future. This could cause the market price of our common stock to drop significantly, even if our business is doing well.</w:t>
      </w:r>
    </w:p>
    <w:p>
      <w:pPr>
        <w:spacing w:after="0" w:line="128"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jc w:val="both"/>
        <w:ind w:right="20" w:firstLine="287"/>
        <w:spacing w:after="0" w:line="287" w:lineRule="auto"/>
        <w:rPr>
          <w:sz w:val="20"/>
          <w:szCs w:val="20"/>
          <w:color w:val="auto"/>
        </w:rPr>
      </w:pPr>
      <w:r>
        <w:rPr>
          <w:rFonts w:ascii="Arial" w:cs="Arial" w:eastAsia="Arial" w:hAnsi="Arial"/>
          <w:sz w:val="15"/>
          <w:szCs w:val="15"/>
          <w:color w:val="auto"/>
        </w:rPr>
        <w:t>Immediately after the closing of the Business Combination: (i) holders of Legacy Sema4 common stock owned approximately 64.89% of our total outstanding common stock, (ii) holders of public shares owned 18.43% of our total outstanding common stock, (iii) the Sponsor and certain of CMLS’s other initial stockholders owned 4.61% of our total outstanding common stock and (iv) the PIPE Investors owned approximately 12.07% of our total outstanding shares of common stock.</w:t>
      </w:r>
    </w:p>
    <w:p>
      <w:pPr>
        <w:spacing w:after="0" w:line="110"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Although the Sponsor and certain of our stockholders are subject to certain lock-up restrictions regarding the transfer of our common stock, these shares may be sold after the expiration or early termination of the respective applicable lock-ups. As restrictions on resale end, the market price of our common stock could decline if the holders of currently restricted shares sell them or are perceived by the market as intending to sell them.</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39" w:right="31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information required by this Item 2 related to the PIPE Investment is contained in the Current Report on Form 8-K, filed with SEC on July 28, 2021,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w:t>
      </w:r>
      <w:r>
        <w:rPr>
          <w:rFonts w:ascii="Arial" w:cs="Arial" w:eastAsia="Arial" w:hAnsi="Arial"/>
          <w:sz w:val="16"/>
          <w:szCs w:val="16"/>
          <w:color w:val="auto"/>
        </w:rPr>
        <w: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2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On November 15, 2021 (the “Effective Date”), the Company entered into the SVB Agreement with SVB and Sema4 OpCo (and together with the Company, the “Borrower”). The SVB Agreement provides for a Revolver up to an aggregate principal amount of $125.0 million, including a sublimit of $20.0 million (minus any Cash Management Services)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94" w:lineRule="exact"/>
        <w:rPr>
          <w:sz w:val="20"/>
          <w:szCs w:val="20"/>
          <w:color w:val="auto"/>
        </w:rPr>
      </w:pPr>
    </w:p>
    <w:p>
      <w:pPr>
        <w:jc w:val="both"/>
        <w:ind w:firstLine="287"/>
        <w:spacing w:after="0" w:line="317" w:lineRule="auto"/>
        <w:rPr>
          <w:sz w:val="20"/>
          <w:szCs w:val="20"/>
          <w:color w:val="auto"/>
        </w:rPr>
      </w:pPr>
      <w:r>
        <w:rPr>
          <w:rFonts w:ascii="Arial" w:cs="Arial" w:eastAsia="Arial" w:hAnsi="Arial"/>
          <w:sz w:val="14"/>
          <w:szCs w:val="14"/>
          <w:color w:val="auto"/>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51"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The SVB Agreement contains customary representations and warranties and customary affirmative and negative covenants, including, among other things, restrictions on indebtedness, liens, investments, mergers, dispositions, and dividends and other distributions.</w:t>
      </w:r>
    </w:p>
    <w:p>
      <w:pPr>
        <w:spacing w:after="0" w:line="176" w:lineRule="exact"/>
        <w:rPr>
          <w:sz w:val="20"/>
          <w:szCs w:val="20"/>
          <w:color w:val="auto"/>
        </w:rPr>
      </w:pPr>
    </w:p>
    <w:p>
      <w:pPr>
        <w:jc w:val="both"/>
        <w:ind w:firstLine="287"/>
        <w:spacing w:after="0" w:line="280" w:lineRule="auto"/>
        <w:rPr>
          <w:sz w:val="20"/>
          <w:szCs w:val="20"/>
          <w:color w:val="auto"/>
        </w:rPr>
      </w:pPr>
      <w:r>
        <w:rPr>
          <w:rFonts w:ascii="Arial" w:cs="Arial" w:eastAsia="Arial" w:hAnsi="Arial"/>
          <w:sz w:val="15"/>
          <w:szCs w:val="15"/>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75" w:lineRule="exact"/>
        <w:rPr>
          <w:sz w:val="20"/>
          <w:szCs w:val="20"/>
          <w:color w:val="auto"/>
        </w:rPr>
      </w:pPr>
    </w:p>
    <w:p>
      <w:pPr>
        <w:jc w:val="both"/>
        <w:ind w:firstLine="287"/>
        <w:spacing w:after="0" w:line="276"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Nasdaq,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w:t>
      </w:r>
    </w:p>
    <w:p>
      <w:pPr>
        <w:spacing w:after="0" w:line="17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6"/>
          <w:szCs w:val="16"/>
          <w:color w:val="auto"/>
        </w:rPr>
        <w:t>The foregoing description of the SVB Agreement is not intended to be complete and is qualified in its entirety by reference to the SVB Agreement, a copy of which is filed as Exhibit 10.26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39"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gridSpan w:val="2"/>
          </w:tcPr>
          <w:p>
            <w:pPr>
              <w:spacing w:after="0"/>
              <w:rPr>
                <w:rFonts w:ascii="Arial" w:cs="Arial" w:eastAsia="Arial" w:hAnsi="Arial"/>
                <w:sz w:val="16"/>
                <w:szCs w:val="16"/>
                <w:color w:val="0000FF"/>
                <w:w w:val="87"/>
              </w:rPr>
            </w:pPr>
            <w:hyperlink w:anchor="page2">
              <w:r>
                <w:rPr>
                  <w:rFonts w:ascii="Arial" w:cs="Arial" w:eastAsia="Arial" w:hAnsi="Arial"/>
                  <w:sz w:val="16"/>
                  <w:szCs w:val="16"/>
                  <w:color w:val="0000FF"/>
                  <w:w w:val="87"/>
                </w:rPr>
                <w:t>Table of Contents</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876"/>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3"/>
              </w:rPr>
              <w:t>Item 6.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4"/>
        </w:trPr>
        <w:tc>
          <w:tcPr>
            <w:tcW w:w="6560" w:type="dxa"/>
            <w:vAlign w:val="bottom"/>
            <w:gridSpan w:val="26"/>
          </w:tcPr>
          <w:p>
            <w:pPr>
              <w:spacing w:after="0"/>
              <w:rPr>
                <w:sz w:val="20"/>
                <w:szCs w:val="20"/>
                <w:color w:val="auto"/>
              </w:rPr>
            </w:pPr>
            <w:r>
              <w:rPr>
                <w:rFonts w:ascii="Arial" w:cs="Arial" w:eastAsia="Arial" w:hAnsi="Arial"/>
                <w:sz w:val="16"/>
                <w:szCs w:val="16"/>
                <w:color w:val="auto"/>
                <w:w w:val="95"/>
              </w:rPr>
              <w:t>The following exhibits are filed as part of, or incorporated by reference into, this Quarterly Report.</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88"/>
        </w:trPr>
        <w:tc>
          <w:tcPr>
            <w:tcW w:w="6560" w:type="dxa"/>
            <w:vAlign w:val="bottom"/>
            <w:gridSpan w:val="26"/>
          </w:tcPr>
          <w:p>
            <w:pPr>
              <w:spacing w:after="0"/>
              <w:rPr>
                <w:sz w:val="20"/>
                <w:szCs w:val="20"/>
                <w:color w:val="auto"/>
              </w:rPr>
            </w:pPr>
            <w:r>
              <w:rPr>
                <w:rFonts w:ascii="Arial" w:cs="Arial" w:eastAsia="Arial" w:hAnsi="Arial"/>
                <w:sz w:val="16"/>
                <w:szCs w:val="16"/>
                <w:b w:val="1"/>
                <w:bCs w:val="1"/>
                <w:color w:val="auto"/>
              </w:rPr>
              <w:t>Incorporated by Reference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9"/>
        </w:trPr>
        <w:tc>
          <w:tcPr>
            <w:tcW w:w="10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rPr>
              <w:t>No.</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gridSpan w:val="21"/>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Filing Date</w:t>
            </w:r>
          </w:p>
        </w:tc>
      </w:tr>
      <w:tr>
        <w:trPr>
          <w:trHeight w:val="163"/>
        </w:trPr>
        <w:tc>
          <w:tcPr>
            <w:tcW w:w="10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4"/>
              </w:rPr>
              <w:t>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160" w:type="dxa"/>
            <w:vAlign w:val="bottom"/>
            <w:gridSpan w:val="21"/>
            <w:shd w:val="clear" w:color="auto" w:fill="CCEEFF"/>
          </w:tcPr>
          <w:p>
            <w:pPr>
              <w:spacing w:after="0" w:line="163" w:lineRule="exact"/>
              <w:rPr>
                <w:rFonts w:ascii="Arial" w:cs="Arial" w:eastAsia="Arial" w:hAnsi="Arial"/>
                <w:sz w:val="16"/>
                <w:szCs w:val="16"/>
                <w:color w:val="0000FF"/>
                <w:w w:val="92"/>
              </w:rPr>
            </w:pPr>
            <w:hyperlink r:id="rId15">
              <w:r>
                <w:rPr>
                  <w:rFonts w:ascii="Arial" w:cs="Arial" w:eastAsia="Arial" w:hAnsi="Arial"/>
                  <w:sz w:val="16"/>
                  <w:szCs w:val="16"/>
                  <w:color w:val="0000FF"/>
                  <w:w w:val="92"/>
                </w:rPr>
                <w:t>Agreement and Plan of Merger, dated February 9, 2021, by and among CMLS,</w:t>
              </w:r>
            </w:hyperlink>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4"/>
              </w:rPr>
              <w:t>DEF14M</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5"/>
              </w:rPr>
              <w:t>Annex A</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07/02/2021</w:t>
            </w:r>
          </w:p>
        </w:tc>
      </w:tr>
      <w:tr>
        <w:trPr>
          <w:trHeight w:val="147"/>
        </w:trPr>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020" w:type="dxa"/>
            <w:vAlign w:val="bottom"/>
            <w:tcBorders>
              <w:top w:val="single" w:sz="8" w:color="0000FF"/>
              <w:bottom w:val="single" w:sz="8" w:color="0000FF"/>
            </w:tcBorders>
            <w:gridSpan w:val="19"/>
            <w:shd w:val="clear" w:color="auto" w:fill="CCEEFF"/>
          </w:tcPr>
          <w:p>
            <w:pPr>
              <w:spacing w:after="0" w:line="148" w:lineRule="exact"/>
              <w:rPr>
                <w:rFonts w:ascii="Arial" w:cs="Arial" w:eastAsia="Arial" w:hAnsi="Arial"/>
                <w:sz w:val="16"/>
                <w:szCs w:val="16"/>
                <w:color w:val="0000FF"/>
                <w:w w:val="88"/>
              </w:rPr>
            </w:pPr>
            <w:hyperlink r:id="rId15">
              <w:r>
                <w:rPr>
                  <w:rFonts w:ascii="Arial" w:cs="Arial" w:eastAsia="Arial" w:hAnsi="Arial"/>
                  <w:sz w:val="16"/>
                  <w:szCs w:val="16"/>
                  <w:color w:val="0000FF"/>
                  <w:w w:val="88"/>
                </w:rPr>
                <w:t>Merger Sub and Legacy Sema4, as amended by Amendment to Agreement and</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5"/>
        </w:trPr>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40" w:type="dxa"/>
            <w:vAlign w:val="bottom"/>
            <w:gridSpan w:val="20"/>
            <w:shd w:val="clear" w:color="auto" w:fill="CCEEFF"/>
          </w:tcPr>
          <w:p>
            <w:pPr>
              <w:spacing w:after="0" w:line="148" w:lineRule="exact"/>
              <w:rPr>
                <w:rFonts w:ascii="Arial" w:cs="Arial" w:eastAsia="Arial" w:hAnsi="Arial"/>
                <w:sz w:val="16"/>
                <w:szCs w:val="16"/>
                <w:color w:val="0000FF"/>
              </w:rPr>
            </w:pPr>
            <w:hyperlink r:id="rId15">
              <w:r>
                <w:rPr>
                  <w:rFonts w:ascii="Arial" w:cs="Arial" w:eastAsia="Arial" w:hAnsi="Arial"/>
                  <w:sz w:val="16"/>
                  <w:szCs w:val="16"/>
                  <w:color w:val="0000FF"/>
                </w:rPr>
                <w:t>Plan of Merger dated May 3, 2021.</w:t>
              </w:r>
            </w:hyperlink>
          </w:p>
        </w:tc>
        <w:tc>
          <w:tcPr>
            <w:tcW w:w="280" w:type="dxa"/>
            <w:vAlign w:val="bottom"/>
            <w:gridSpan w:val="2"/>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67"/>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w w:val="98"/>
              </w:rPr>
            </w:pPr>
            <w:hyperlink r:id="rId16">
              <w:r>
                <w:rPr>
                  <w:rFonts w:ascii="Arial" w:cs="Arial" w:eastAsia="Arial" w:hAnsi="Arial"/>
                  <w:sz w:val="16"/>
                  <w:szCs w:val="16"/>
                  <w:color w:val="0000FF"/>
                  <w:w w:val="98"/>
                </w:rPr>
                <w:t>Third Amended and Restated Certificate of Incorporation of Sema4 Holdings</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3.1</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0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18"/>
            <w:shd w:val="clear" w:color="auto" w:fill="CCEEFF"/>
          </w:tcPr>
          <w:p>
            <w:pPr>
              <w:spacing w:after="0" w:line="148" w:lineRule="exact"/>
              <w:rPr>
                <w:rFonts w:ascii="Arial" w:cs="Arial" w:eastAsia="Arial" w:hAnsi="Arial"/>
                <w:sz w:val="16"/>
                <w:szCs w:val="16"/>
                <w:color w:val="0000FF"/>
              </w:rPr>
            </w:pPr>
            <w:hyperlink r:id="rId16">
              <w:r>
                <w:rPr>
                  <w:rFonts w:ascii="Arial" w:cs="Arial" w:eastAsia="Arial" w:hAnsi="Arial"/>
                  <w:sz w:val="16"/>
                  <w:szCs w:val="16"/>
                  <w:color w:val="0000FF"/>
                </w:rPr>
                <w:t>Corp.</w:t>
              </w:r>
            </w:hyperlink>
          </w:p>
        </w:tc>
        <w:tc>
          <w:tcPr>
            <w:tcW w:w="400" w:type="dxa"/>
            <w:vAlign w:val="bottom"/>
            <w:tcBorders>
              <w:top w:val="single" w:sz="8" w:color="CCEEFF"/>
            </w:tcBorders>
            <w:gridSpan w:val="4"/>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r>
      <w:tr>
        <w:trPr>
          <w:trHeight w:val="191"/>
        </w:trPr>
        <w:tc>
          <w:tcPr>
            <w:tcW w:w="10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3.2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17">
              <w:r>
                <w:rPr>
                  <w:rFonts w:ascii="Arial" w:cs="Arial" w:eastAsia="Arial" w:hAnsi="Arial"/>
                  <w:sz w:val="16"/>
                  <w:szCs w:val="16"/>
                  <w:color w:val="0000FF"/>
                </w:rPr>
                <w:t>Restated Bylaws of Sema4 Holdings Corp.</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3.2</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191"/>
        </w:trPr>
        <w:tc>
          <w:tcPr>
            <w:tcW w:w="10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8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r>
      <w:tr>
        <w:trPr>
          <w:trHeight w:val="167"/>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w w:val="98"/>
              </w:rPr>
            </w:pPr>
            <w:hyperlink r:id="rId18">
              <w:r>
                <w:rPr>
                  <w:rFonts w:ascii="Arial" w:cs="Arial" w:eastAsia="Arial" w:hAnsi="Arial"/>
                  <w:sz w:val="16"/>
                  <w:szCs w:val="16"/>
                  <w:color w:val="0000FF"/>
                  <w:w w:val="98"/>
                </w:rPr>
                <w:t>Amended and Restated Registration Rights Agreement, dated as of July 22,</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147"/>
        </w:trPr>
        <w:tc>
          <w:tcPr>
            <w:tcW w:w="10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0" w:type="dxa"/>
            <w:vAlign w:val="bottom"/>
            <w:tcBorders>
              <w:top w:val="single" w:sz="8" w:color="0000FF"/>
            </w:tcBorders>
            <w:gridSpan w:val="17"/>
            <w:shd w:val="clear" w:color="auto" w:fill="CCEEFF"/>
          </w:tcPr>
          <w:p>
            <w:pPr>
              <w:spacing w:after="0" w:line="148" w:lineRule="exact"/>
              <w:rPr>
                <w:rFonts w:ascii="Arial" w:cs="Arial" w:eastAsia="Arial" w:hAnsi="Arial"/>
                <w:sz w:val="16"/>
                <w:szCs w:val="16"/>
                <w:color w:val="0000FF"/>
                <w:w w:val="91"/>
              </w:rPr>
            </w:pPr>
            <w:hyperlink r:id="rId18">
              <w:r>
                <w:rPr>
                  <w:rFonts w:ascii="Arial" w:cs="Arial" w:eastAsia="Arial" w:hAnsi="Arial"/>
                  <w:sz w:val="16"/>
                  <w:szCs w:val="16"/>
                  <w:color w:val="0000FF"/>
                  <w:w w:val="91"/>
                </w:rPr>
                <w:t>2021, by and among the Company, certain equity holders of the Company</w:t>
              </w:r>
            </w:hyperlink>
          </w:p>
        </w:tc>
        <w:tc>
          <w:tcPr>
            <w:tcW w:w="520" w:type="dxa"/>
            <w:vAlign w:val="bottom"/>
            <w:tcBorders>
              <w:top w:val="single" w:sz="8" w:color="CCEEFF"/>
            </w:tcBorders>
            <w:gridSpan w:val="5"/>
            <w:shd w:val="clear" w:color="auto" w:fill="CCEEFF"/>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CCEEFF"/>
            </w:tcBorders>
            <w:shd w:val="clear" w:color="auto" w:fill="CCEEFF"/>
          </w:tcPr>
          <w:p>
            <w:pPr>
              <w:spacing w:after="0"/>
              <w:rPr>
                <w:sz w:val="12"/>
                <w:szCs w:val="12"/>
                <w:color w:val="auto"/>
              </w:rPr>
            </w:pPr>
          </w:p>
        </w:tc>
      </w:tr>
      <w:tr>
        <w:trPr>
          <w:trHeight w:val="175"/>
        </w:trPr>
        <w:tc>
          <w:tcPr>
            <w:tcW w:w="10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700" w:type="dxa"/>
            <w:vAlign w:val="bottom"/>
            <w:tcBorders>
              <w:top w:val="single" w:sz="8" w:color="0000FF"/>
            </w:tcBorders>
            <w:gridSpan w:val="16"/>
            <w:shd w:val="clear" w:color="auto" w:fill="CCEEFF"/>
          </w:tcPr>
          <w:p>
            <w:pPr>
              <w:spacing w:after="0" w:line="148" w:lineRule="exact"/>
              <w:rPr>
                <w:rFonts w:ascii="Arial" w:cs="Arial" w:eastAsia="Arial" w:hAnsi="Arial"/>
                <w:sz w:val="16"/>
                <w:szCs w:val="16"/>
                <w:color w:val="0000FF"/>
                <w:w w:val="98"/>
              </w:rPr>
            </w:pPr>
            <w:hyperlink r:id="rId18">
              <w:r>
                <w:rPr>
                  <w:rFonts w:ascii="Arial" w:cs="Arial" w:eastAsia="Arial" w:hAnsi="Arial"/>
                  <w:sz w:val="16"/>
                  <w:szCs w:val="16"/>
                  <w:color w:val="0000FF"/>
                  <w:w w:val="98"/>
                </w:rPr>
                <w:t>named therein and certain equity holders of Sema4 named therein.</w:t>
              </w:r>
            </w:hyperlink>
          </w:p>
        </w:tc>
        <w:tc>
          <w:tcPr>
            <w:tcW w:w="620" w:type="dxa"/>
            <w:vAlign w:val="bottom"/>
            <w:tcBorders>
              <w:top w:val="single" w:sz="8" w:color="CCEEFF"/>
            </w:tcBorders>
            <w:gridSpan w:val="6"/>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19">
              <w:r>
                <w:rPr>
                  <w:rFonts w:ascii="Arial" w:cs="Arial" w:eastAsia="Arial" w:hAnsi="Arial"/>
                  <w:sz w:val="16"/>
                  <w:szCs w:val="16"/>
                  <w:color w:val="0000FF"/>
                </w:rPr>
                <w:t>Form Director of and Officer Indemnification Agreement.</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10.4</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0">
              <w:r>
                <w:rPr>
                  <w:rFonts w:ascii="Arial" w:cs="Arial" w:eastAsia="Arial" w:hAnsi="Arial"/>
                  <w:sz w:val="16"/>
                  <w:szCs w:val="16"/>
                  <w:color w:val="0000FF"/>
                </w:rPr>
                <w:t>2021 Equity Incentive Award Plan.</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1">
              <w:r>
                <w:rPr>
                  <w:rFonts w:ascii="Arial" w:cs="Arial" w:eastAsia="Arial" w:hAnsi="Arial"/>
                  <w:sz w:val="16"/>
                  <w:szCs w:val="16"/>
                  <w:color w:val="0000FF"/>
                </w:rPr>
                <w:t>Form of Stock Option Agreement under the 2021 Incentive Award Plan.</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10.6</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2">
              <w:r>
                <w:rPr>
                  <w:rFonts w:ascii="Arial" w:cs="Arial" w:eastAsia="Arial" w:hAnsi="Arial"/>
                  <w:sz w:val="16"/>
                  <w:szCs w:val="16"/>
                  <w:color w:val="0000FF"/>
                </w:rPr>
                <w:t>Form of RSU Agreement under the 2021 Incentive Award Plan.</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10.7</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3">
              <w:r>
                <w:rPr>
                  <w:rFonts w:ascii="Arial" w:cs="Arial" w:eastAsia="Arial" w:hAnsi="Arial"/>
                  <w:sz w:val="16"/>
                  <w:szCs w:val="16"/>
                  <w:color w:val="0000FF"/>
                </w:rPr>
                <w:t>Form of Earn-Out RSU Agreement.</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10.8</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4">
              <w:r>
                <w:rPr>
                  <w:rFonts w:ascii="Arial" w:cs="Arial" w:eastAsia="Arial" w:hAnsi="Arial"/>
                  <w:sz w:val="16"/>
                  <w:szCs w:val="16"/>
                  <w:color w:val="0000FF"/>
                </w:rPr>
                <w:t>2021 Employee Stock Purchase Plan.</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10.9</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27"/>
        </w:trPr>
        <w:tc>
          <w:tcPr>
            <w:tcW w:w="10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5">
              <w:r>
                <w:rPr>
                  <w:rFonts w:ascii="Arial" w:cs="Arial" w:eastAsia="Arial" w:hAnsi="Arial"/>
                  <w:sz w:val="16"/>
                  <w:szCs w:val="16"/>
                  <w:color w:val="0000FF"/>
                </w:rPr>
                <w:t>Amended and Restated Employment of Agreement of Eric Schadt.</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10.10</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6">
              <w:r>
                <w:rPr>
                  <w:rFonts w:ascii="Arial" w:cs="Arial" w:eastAsia="Arial" w:hAnsi="Arial"/>
                  <w:sz w:val="16"/>
                  <w:szCs w:val="16"/>
                  <w:color w:val="0000FF"/>
                </w:rPr>
                <w:t>Employment Agreement of Isaac Ro.</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7">
              <w:r>
                <w:rPr>
                  <w:rFonts w:ascii="Arial" w:cs="Arial" w:eastAsia="Arial" w:hAnsi="Arial"/>
                  <w:sz w:val="16"/>
                  <w:szCs w:val="16"/>
                  <w:color w:val="0000FF"/>
                </w:rPr>
                <w:t>Employment Agreement of Dan Clark.</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10.12</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4"/>
              </w:rPr>
              <w:t>10.11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8">
              <w:r>
                <w:rPr>
                  <w:rFonts w:ascii="Arial" w:cs="Arial" w:eastAsia="Arial" w:hAnsi="Arial"/>
                  <w:sz w:val="16"/>
                  <w:szCs w:val="16"/>
                  <w:color w:val="0000FF"/>
                </w:rPr>
                <w:t>Employment Agreement of James Coffin.</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10.13</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29">
              <w:r>
                <w:rPr>
                  <w:rFonts w:ascii="Arial" w:cs="Arial" w:eastAsia="Arial" w:hAnsi="Arial"/>
                  <w:sz w:val="16"/>
                  <w:szCs w:val="16"/>
                  <w:color w:val="0000FF"/>
                </w:rPr>
                <w:t>Employment Agreement of Anthony Prentice.</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10.14</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20" w:type="dxa"/>
            <w:vAlign w:val="bottom"/>
            <w:gridSpan w:val="22"/>
            <w:shd w:val="clear" w:color="auto" w:fill="CCEEFF"/>
          </w:tcPr>
          <w:p>
            <w:pPr>
              <w:spacing w:after="0" w:line="168" w:lineRule="exact"/>
              <w:rPr>
                <w:rFonts w:ascii="Arial" w:cs="Arial" w:eastAsia="Arial" w:hAnsi="Arial"/>
                <w:sz w:val="16"/>
                <w:szCs w:val="16"/>
                <w:color w:val="0000FF"/>
              </w:rPr>
            </w:pPr>
            <w:hyperlink r:id="rId30">
              <w:r>
                <w:rPr>
                  <w:rFonts w:ascii="Arial" w:cs="Arial" w:eastAsia="Arial" w:hAnsi="Arial"/>
                  <w:sz w:val="16"/>
                  <w:szCs w:val="16"/>
                  <w:color w:val="0000FF"/>
                </w:rPr>
                <w:t>Employment Agreement of Kareem Saad.</w:t>
              </w:r>
            </w:hyperlink>
          </w:p>
        </w:tc>
        <w:tc>
          <w:tcPr>
            <w:tcW w:w="1600" w:type="dxa"/>
            <w:vAlign w:val="bottom"/>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239"/>
        </w:trPr>
        <w:tc>
          <w:tcPr>
            <w:tcW w:w="10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r>
      <w:tr>
        <w:trPr>
          <w:trHeight w:val="195"/>
        </w:trPr>
        <w:tc>
          <w:tcPr>
            <w:tcW w:w="106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0000FF"/>
            </w:tcBorders>
            <w:gridSpan w:val="7"/>
            <w:shd w:val="clear" w:color="auto" w:fill="CCEEFF"/>
          </w:tcPr>
          <w:p>
            <w:pPr>
              <w:spacing w:after="0" w:line="168" w:lineRule="exact"/>
              <w:rPr>
                <w:rFonts w:ascii="Arial" w:cs="Arial" w:eastAsia="Arial" w:hAnsi="Arial"/>
                <w:sz w:val="16"/>
                <w:szCs w:val="16"/>
                <w:color w:val="0000FF"/>
                <w:w w:val="91"/>
              </w:rPr>
            </w:pPr>
            <w:hyperlink r:id="rId31">
              <w:r>
                <w:rPr>
                  <w:rFonts w:ascii="Arial" w:cs="Arial" w:eastAsia="Arial" w:hAnsi="Arial"/>
                  <w:sz w:val="16"/>
                  <w:szCs w:val="16"/>
                  <w:color w:val="0000FF"/>
                  <w:w w:val="91"/>
                </w:rPr>
                <w:t>Employment Agreement of Karen White.</w:t>
              </w:r>
            </w:hyperlink>
          </w:p>
        </w:tc>
        <w:tc>
          <w:tcPr>
            <w:tcW w:w="2680" w:type="dxa"/>
            <w:vAlign w:val="bottom"/>
            <w:tcBorders>
              <w:bottom w:val="single" w:sz="8" w:color="CCEEFF"/>
            </w:tcBorders>
            <w:gridSpan w:val="15"/>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center"/>
              <w:ind w:right="160"/>
              <w:spacing w:after="0" w:line="168" w:lineRule="exact"/>
              <w:rPr>
                <w:sz w:val="20"/>
                <w:szCs w:val="20"/>
                <w:color w:val="auto"/>
              </w:rPr>
            </w:pPr>
            <w:r>
              <w:rPr>
                <w:rFonts w:ascii="Arial" w:cs="Arial" w:eastAsia="Arial" w:hAnsi="Arial"/>
                <w:sz w:val="16"/>
                <w:szCs w:val="16"/>
                <w:color w:val="auto"/>
                <w:w w:val="96"/>
              </w:rPr>
              <w:t>8-K</w:t>
            </w:r>
          </w:p>
        </w:tc>
        <w:tc>
          <w:tcPr>
            <w:tcW w:w="1440" w:type="dxa"/>
            <w:vAlign w:val="bottom"/>
            <w:tcBorders>
              <w:bottom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89"/>
              </w:rPr>
              <w:t>10.16</w:t>
            </w: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ind w:left="360"/>
              <w:spacing w:after="0" w:line="168" w:lineRule="exact"/>
              <w:rPr>
                <w:sz w:val="20"/>
                <w:szCs w:val="20"/>
                <w:color w:val="auto"/>
              </w:rPr>
            </w:pPr>
            <w:r>
              <w:rPr>
                <w:rFonts w:ascii="Arial" w:cs="Arial" w:eastAsia="Arial" w:hAnsi="Arial"/>
                <w:sz w:val="16"/>
                <w:szCs w:val="16"/>
                <w:color w:val="auto"/>
              </w:rPr>
              <w:t>07/28/2021</w:t>
            </w:r>
          </w:p>
        </w:tc>
      </w:tr>
      <w:tr>
        <w:trPr>
          <w:trHeight w:val="896"/>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gridSpan w:val="18"/>
          </w:tcPr>
          <w:p>
            <w:pPr>
              <w:jc w:val="right"/>
              <w:ind w:right="10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20"/>
          </w:cols>
          <w:pgMar w:left="320" w:top="123" w:right="35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89"/>
              </w:rPr>
              <w:t>10.15</w:t>
            </w:r>
          </w:p>
        </w:tc>
        <w:tc>
          <w:tcPr>
            <w:tcW w:w="5200" w:type="dxa"/>
            <w:vAlign w:val="bottom"/>
            <w:gridSpan w:val="30"/>
            <w:shd w:val="clear" w:color="auto" w:fill="CCEEFF"/>
          </w:tcPr>
          <w:p>
            <w:pPr>
              <w:spacing w:after="0"/>
              <w:rPr>
                <w:rFonts w:ascii="Arial" w:cs="Arial" w:eastAsia="Arial" w:hAnsi="Arial"/>
                <w:sz w:val="16"/>
                <w:szCs w:val="16"/>
                <w:color w:val="0000FF"/>
                <w:w w:val="99"/>
              </w:rPr>
            </w:pPr>
            <w:hyperlink r:id="rId32">
              <w:r>
                <w:rPr>
                  <w:rFonts w:ascii="Arial" w:cs="Arial" w:eastAsia="Arial" w:hAnsi="Arial"/>
                  <w:sz w:val="16"/>
                  <w:szCs w:val="16"/>
                  <w:color w:val="0000FF"/>
                  <w:w w:val="99"/>
                </w:rPr>
                <w:t>Sub-Sublease, dated as of June 6, 2017, by and between Icahn School of</w:t>
              </w:r>
            </w:hyperlink>
          </w:p>
        </w:tc>
        <w:tc>
          <w:tcPr>
            <w:tcW w:w="1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10.17</w:t>
            </w:r>
          </w:p>
        </w:tc>
        <w:tc>
          <w:tcPr>
            <w:tcW w:w="16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0000FF"/>
            </w:tcBorders>
            <w:gridSpan w:val="14"/>
            <w:shd w:val="clear" w:color="auto" w:fill="CCEEFF"/>
          </w:tcPr>
          <w:p>
            <w:pPr>
              <w:spacing w:after="0" w:line="148" w:lineRule="exact"/>
              <w:rPr>
                <w:rFonts w:ascii="Arial" w:cs="Arial" w:eastAsia="Arial" w:hAnsi="Arial"/>
                <w:sz w:val="16"/>
                <w:szCs w:val="16"/>
                <w:color w:val="0000FF"/>
                <w:w w:val="91"/>
              </w:rPr>
            </w:pPr>
            <w:hyperlink r:id="rId32">
              <w:r>
                <w:rPr>
                  <w:rFonts w:ascii="Arial" w:cs="Arial" w:eastAsia="Arial" w:hAnsi="Arial"/>
                  <w:sz w:val="16"/>
                  <w:szCs w:val="16"/>
                  <w:color w:val="0000FF"/>
                  <w:w w:val="91"/>
                </w:rPr>
                <w:t>Medicine at Mount Sinai and the Company, as amended July 31, 2019.</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10.16</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3"/>
              </w:rPr>
            </w:pPr>
            <w:hyperlink r:id="rId33">
              <w:r>
                <w:rPr>
                  <w:rFonts w:ascii="Arial" w:cs="Arial" w:eastAsia="Arial" w:hAnsi="Arial"/>
                  <w:sz w:val="16"/>
                  <w:szCs w:val="16"/>
                  <w:color w:val="0000FF"/>
                  <w:w w:val="93"/>
                </w:rPr>
                <w:t>Sublease Agreement, dated as of November 8, 2019, by and between Marriott</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10.18</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4960" w:type="dxa"/>
            <w:vAlign w:val="bottom"/>
            <w:tcBorders>
              <w:top w:val="single" w:sz="8" w:color="0000FF"/>
            </w:tcBorders>
            <w:gridSpan w:val="21"/>
            <w:shd w:val="clear" w:color="auto" w:fill="CCEEFF"/>
          </w:tcPr>
          <w:p>
            <w:pPr>
              <w:spacing w:after="0" w:line="148" w:lineRule="exact"/>
              <w:rPr>
                <w:rFonts w:ascii="Arial" w:cs="Arial" w:eastAsia="Arial" w:hAnsi="Arial"/>
                <w:sz w:val="16"/>
                <w:szCs w:val="16"/>
                <w:color w:val="0000FF"/>
              </w:rPr>
            </w:pPr>
            <w:hyperlink r:id="rId33">
              <w:r>
                <w:rPr>
                  <w:rFonts w:ascii="Arial" w:cs="Arial" w:eastAsia="Arial" w:hAnsi="Arial"/>
                  <w:sz w:val="16"/>
                  <w:szCs w:val="16"/>
                  <w:color w:val="0000FF"/>
                </w:rPr>
                <w:t>International, Inc. and the Company.</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10.17</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0"/>
              </w:rPr>
            </w:pPr>
            <w:hyperlink r:id="rId34">
              <w:r>
                <w:rPr>
                  <w:rFonts w:ascii="Arial" w:cs="Arial" w:eastAsia="Arial" w:hAnsi="Arial"/>
                  <w:sz w:val="16"/>
                  <w:szCs w:val="16"/>
                  <w:color w:val="0000FF"/>
                  <w:w w:val="90"/>
                </w:rPr>
                <w:t>Sublease, dated as of June 1, 2017, by and between Icahn School of Medicine at</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10.19</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140" w:type="dxa"/>
            <w:vAlign w:val="bottom"/>
            <w:tcBorders>
              <w:top w:val="single" w:sz="8" w:color="0000FF"/>
            </w:tcBorders>
            <w:gridSpan w:val="27"/>
            <w:shd w:val="clear" w:color="auto" w:fill="CCEEFF"/>
          </w:tcPr>
          <w:p>
            <w:pPr>
              <w:spacing w:after="0" w:line="148" w:lineRule="exact"/>
              <w:rPr>
                <w:rFonts w:ascii="Arial" w:cs="Arial" w:eastAsia="Arial" w:hAnsi="Arial"/>
                <w:sz w:val="16"/>
                <w:szCs w:val="16"/>
                <w:color w:val="0000FF"/>
              </w:rPr>
            </w:pPr>
            <w:hyperlink r:id="rId34">
              <w:r>
                <w:rPr>
                  <w:rFonts w:ascii="Arial" w:cs="Arial" w:eastAsia="Arial" w:hAnsi="Arial"/>
                  <w:sz w:val="16"/>
                  <w:szCs w:val="16"/>
                  <w:color w:val="0000FF"/>
                </w:rPr>
                <w:t>Mount Sinai and the Company, as amended December 22, 2017.</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10.18</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1"/>
              </w:rPr>
            </w:pPr>
            <w:hyperlink r:id="rId35">
              <w:r>
                <w:rPr>
                  <w:rFonts w:ascii="Arial" w:cs="Arial" w:eastAsia="Arial" w:hAnsi="Arial"/>
                  <w:sz w:val="16"/>
                  <w:szCs w:val="16"/>
                  <w:color w:val="0000FF"/>
                  <w:w w:val="91"/>
                </w:rPr>
                <w:t>Sublease, dated as of April 23, 2019, by and between Icahn School of Medicine</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10.20</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100" w:type="dxa"/>
            <w:vAlign w:val="bottom"/>
            <w:tcBorders>
              <w:top w:val="single" w:sz="8" w:color="0000FF"/>
            </w:tcBorders>
            <w:gridSpan w:val="25"/>
            <w:shd w:val="clear" w:color="auto" w:fill="CCEEFF"/>
          </w:tcPr>
          <w:p>
            <w:pPr>
              <w:spacing w:after="0" w:line="148" w:lineRule="exact"/>
              <w:rPr>
                <w:rFonts w:ascii="Arial" w:cs="Arial" w:eastAsia="Arial" w:hAnsi="Arial"/>
                <w:sz w:val="16"/>
                <w:szCs w:val="16"/>
                <w:color w:val="0000FF"/>
              </w:rPr>
            </w:pPr>
            <w:hyperlink r:id="rId35">
              <w:r>
                <w:rPr>
                  <w:rFonts w:ascii="Arial" w:cs="Arial" w:eastAsia="Arial" w:hAnsi="Arial"/>
                  <w:sz w:val="16"/>
                  <w:szCs w:val="16"/>
                  <w:color w:val="0000FF"/>
                </w:rPr>
                <w:t>at Mount Sinai and the Company.</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10.19</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1"/>
              </w:rPr>
            </w:pPr>
            <w:hyperlink r:id="rId36">
              <w:r>
                <w:rPr>
                  <w:rFonts w:ascii="Arial" w:cs="Arial" w:eastAsia="Arial" w:hAnsi="Arial"/>
                  <w:sz w:val="16"/>
                  <w:szCs w:val="16"/>
                  <w:color w:val="0000FF"/>
                  <w:w w:val="91"/>
                </w:rPr>
                <w:t>Lease Agreement, dated as of January 31, 2020, by and between 1 Commercial</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10.21</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0000FF"/>
            </w:tcBorders>
            <w:gridSpan w:val="23"/>
            <w:shd w:val="clear" w:color="auto" w:fill="CCEEFF"/>
          </w:tcPr>
          <w:p>
            <w:pPr>
              <w:spacing w:after="0" w:line="148" w:lineRule="exact"/>
              <w:rPr>
                <w:rFonts w:ascii="Arial" w:cs="Arial" w:eastAsia="Arial" w:hAnsi="Arial"/>
                <w:sz w:val="16"/>
                <w:szCs w:val="16"/>
                <w:color w:val="0000FF"/>
              </w:rPr>
            </w:pPr>
            <w:hyperlink r:id="rId36">
              <w:r>
                <w:rPr>
                  <w:rFonts w:ascii="Arial" w:cs="Arial" w:eastAsia="Arial" w:hAnsi="Arial"/>
                  <w:sz w:val="16"/>
                  <w:szCs w:val="16"/>
                  <w:color w:val="0000FF"/>
                </w:rPr>
                <w:t>Street Associates, LLC and the Company.</w:t>
              </w:r>
            </w:hyperlink>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10.20#</w:t>
            </w:r>
          </w:p>
        </w:tc>
        <w:tc>
          <w:tcPr>
            <w:tcW w:w="5200" w:type="dxa"/>
            <w:vAlign w:val="bottom"/>
            <w:gridSpan w:val="30"/>
            <w:shd w:val="clear" w:color="auto" w:fill="CCEEFF"/>
          </w:tcPr>
          <w:p>
            <w:pPr>
              <w:spacing w:after="0" w:line="168" w:lineRule="exact"/>
              <w:rPr>
                <w:rFonts w:ascii="Arial" w:cs="Arial" w:eastAsia="Arial" w:hAnsi="Arial"/>
                <w:sz w:val="16"/>
                <w:szCs w:val="16"/>
                <w:color w:val="0000FF"/>
              </w:rPr>
            </w:pPr>
            <w:hyperlink r:id="rId37">
              <w:r>
                <w:rPr>
                  <w:rFonts w:ascii="Arial" w:cs="Arial" w:eastAsia="Arial" w:hAnsi="Arial"/>
                  <w:sz w:val="16"/>
                  <w:szCs w:val="16"/>
                  <w:color w:val="0000FF"/>
                </w:rPr>
                <w:t>Master Services Agreement, dated as of April 2, 2018, by and among the</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10.22</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47"/>
        </w:trPr>
        <w:tc>
          <w:tcPr>
            <w:tcW w:w="124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0000FF"/>
            </w:tcBorders>
            <w:gridSpan w:val="15"/>
            <w:shd w:val="clear" w:color="auto" w:fill="CCEEFF"/>
          </w:tcPr>
          <w:p>
            <w:pPr>
              <w:spacing w:after="0" w:line="148" w:lineRule="exact"/>
              <w:rPr>
                <w:rFonts w:ascii="Arial" w:cs="Arial" w:eastAsia="Arial" w:hAnsi="Arial"/>
                <w:sz w:val="16"/>
                <w:szCs w:val="16"/>
                <w:color w:val="0000FF"/>
                <w:w w:val="95"/>
              </w:rPr>
            </w:pPr>
            <w:hyperlink r:id="rId37">
              <w:r>
                <w:rPr>
                  <w:rFonts w:ascii="Arial" w:cs="Arial" w:eastAsia="Arial" w:hAnsi="Arial"/>
                  <w:sz w:val="16"/>
                  <w:szCs w:val="16"/>
                  <w:color w:val="0000FF"/>
                  <w:w w:val="95"/>
                </w:rPr>
                <w:t>Company, Icahn School of Medicine at Mount Sinai, The Mount Sinai</w:t>
              </w:r>
            </w:hyperlink>
          </w:p>
        </w:tc>
        <w:tc>
          <w:tcPr>
            <w:tcW w:w="540" w:type="dxa"/>
            <w:vAlign w:val="bottom"/>
            <w:tcBorders>
              <w:top w:val="single" w:sz="8" w:color="CCEEFF"/>
            </w:tcBorders>
            <w:gridSpan w:val="15"/>
            <w:shd w:val="clear" w:color="auto" w:fill="CCEEFF"/>
          </w:tcPr>
          <w:p>
            <w:pPr>
              <w:spacing w:after="0" w:line="148" w:lineRule="exact"/>
              <w:rPr>
                <w:rFonts w:ascii="Arial" w:cs="Arial" w:eastAsia="Arial" w:hAnsi="Arial"/>
                <w:sz w:val="16"/>
                <w:szCs w:val="16"/>
                <w:color w:val="0000FF"/>
                <w:w w:val="83"/>
              </w:rPr>
            </w:pPr>
            <w:hyperlink r:id="rId37">
              <w:r>
                <w:rPr>
                  <w:rFonts w:ascii="Arial" w:cs="Arial" w:eastAsia="Arial" w:hAnsi="Arial"/>
                  <w:sz w:val="16"/>
                  <w:szCs w:val="16"/>
                  <w:color w:val="0000FF"/>
                  <w:w w:val="83"/>
                </w:rPr>
                <w:t>Hospital,</w:t>
              </w:r>
            </w:hyperlink>
          </w:p>
        </w:tc>
        <w:tc>
          <w:tcPr>
            <w:tcW w:w="16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120" w:type="dxa"/>
            <w:vAlign w:val="bottom"/>
            <w:tcBorders>
              <w:top w:val="single" w:sz="8" w:color="0000FF"/>
            </w:tcBorders>
            <w:gridSpan w:val="26"/>
            <w:shd w:val="clear" w:color="auto" w:fill="CCEEFF"/>
          </w:tcPr>
          <w:p>
            <w:pPr>
              <w:spacing w:after="0" w:line="148" w:lineRule="exact"/>
              <w:rPr>
                <w:rFonts w:ascii="Arial" w:cs="Arial" w:eastAsia="Arial" w:hAnsi="Arial"/>
                <w:sz w:val="16"/>
                <w:szCs w:val="16"/>
                <w:color w:val="0000FF"/>
              </w:rPr>
            </w:pPr>
            <w:hyperlink r:id="rId37">
              <w:r>
                <w:rPr>
                  <w:rFonts w:ascii="Arial" w:cs="Arial" w:eastAsia="Arial" w:hAnsi="Arial"/>
                  <w:sz w:val="16"/>
                  <w:szCs w:val="16"/>
                  <w:color w:val="0000FF"/>
                </w:rPr>
                <w:t>and the parties thereto, as amended July 31,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10.21#</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6"/>
              </w:rPr>
            </w:pPr>
            <w:hyperlink r:id="rId38">
              <w:r>
                <w:rPr>
                  <w:rFonts w:ascii="Arial" w:cs="Arial" w:eastAsia="Arial" w:hAnsi="Arial"/>
                  <w:sz w:val="16"/>
                  <w:szCs w:val="16"/>
                  <w:color w:val="0000FF"/>
                  <w:w w:val="96"/>
                </w:rPr>
                <w:t>Master Services Agreement, dated as of May 10, 2018, by and between the</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10.23</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47"/>
        </w:trPr>
        <w:tc>
          <w:tcPr>
            <w:tcW w:w="1240" w:type="dxa"/>
            <w:vAlign w:val="bottom"/>
            <w:tcBorders>
              <w:top w:val="single" w:sz="8" w:color="CCEEFF"/>
            </w:tcBorders>
            <w:shd w:val="clear" w:color="auto" w:fill="CCEEFF"/>
          </w:tcPr>
          <w:p>
            <w:pPr>
              <w:spacing w:after="0"/>
              <w:rPr>
                <w:sz w:val="12"/>
                <w:szCs w:val="12"/>
                <w:color w:val="auto"/>
              </w:rPr>
            </w:pPr>
          </w:p>
        </w:tc>
        <w:tc>
          <w:tcPr>
            <w:tcW w:w="4780" w:type="dxa"/>
            <w:vAlign w:val="bottom"/>
            <w:tcBorders>
              <w:top w:val="single" w:sz="8" w:color="0000FF"/>
            </w:tcBorders>
            <w:gridSpan w:val="17"/>
            <w:shd w:val="clear" w:color="auto" w:fill="CCEEFF"/>
          </w:tcPr>
          <w:p>
            <w:pPr>
              <w:spacing w:after="0" w:line="148" w:lineRule="exact"/>
              <w:rPr>
                <w:rFonts w:ascii="Arial" w:cs="Arial" w:eastAsia="Arial" w:hAnsi="Arial"/>
                <w:sz w:val="16"/>
                <w:szCs w:val="16"/>
                <w:color w:val="0000FF"/>
                <w:w w:val="91"/>
              </w:rPr>
            </w:pPr>
            <w:hyperlink r:id="rId38">
              <w:r>
                <w:rPr>
                  <w:rFonts w:ascii="Arial" w:cs="Arial" w:eastAsia="Arial" w:hAnsi="Arial"/>
                  <w:sz w:val="16"/>
                  <w:szCs w:val="16"/>
                  <w:color w:val="0000FF"/>
                  <w:w w:val="91"/>
                </w:rPr>
                <w:t>Company and Icahn School of Medicine at Mount Sinai, as amended July</w:t>
              </w:r>
            </w:hyperlink>
          </w:p>
        </w:tc>
        <w:tc>
          <w:tcPr>
            <w:tcW w:w="200" w:type="dxa"/>
            <w:vAlign w:val="bottom"/>
            <w:tcBorders>
              <w:top w:val="single" w:sz="8" w:color="CCEEFF"/>
            </w:tcBorders>
            <w:gridSpan w:val="5"/>
            <w:shd w:val="clear" w:color="auto" w:fill="CCEEFF"/>
          </w:tcPr>
          <w:p>
            <w:pPr>
              <w:jc w:val="right"/>
              <w:ind w:right="40"/>
              <w:spacing w:after="0" w:line="147" w:lineRule="exact"/>
              <w:rPr>
                <w:rFonts w:ascii="Arial" w:cs="Arial" w:eastAsia="Arial" w:hAnsi="Arial"/>
                <w:sz w:val="14"/>
                <w:szCs w:val="14"/>
                <w:color w:val="0000FF"/>
                <w:w w:val="71"/>
              </w:rPr>
            </w:pPr>
            <w:hyperlink r:id="rId38">
              <w:r>
                <w:rPr>
                  <w:rFonts w:ascii="Arial" w:cs="Arial" w:eastAsia="Arial" w:hAnsi="Arial"/>
                  <w:sz w:val="14"/>
                  <w:szCs w:val="14"/>
                  <w:color w:val="0000FF"/>
                  <w:w w:val="71"/>
                </w:rPr>
                <w:t>31,</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r>
      <w:tr>
        <w:trPr>
          <w:trHeight w:val="180"/>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0000FF"/>
            </w:tcBorders>
            <w:shd w:val="clear" w:color="auto" w:fill="CCEEFF"/>
          </w:tcPr>
          <w:p>
            <w:pPr>
              <w:spacing w:after="0" w:line="148" w:lineRule="exact"/>
              <w:rPr>
                <w:rFonts w:ascii="Arial" w:cs="Arial" w:eastAsia="Arial" w:hAnsi="Arial"/>
                <w:sz w:val="16"/>
                <w:szCs w:val="16"/>
                <w:color w:val="0000FF"/>
                <w:w w:val="84"/>
              </w:rPr>
            </w:pPr>
            <w:hyperlink r:id="rId38">
              <w:r>
                <w:rPr>
                  <w:rFonts w:ascii="Arial" w:cs="Arial" w:eastAsia="Arial" w:hAnsi="Arial"/>
                  <w:sz w:val="16"/>
                  <w:szCs w:val="16"/>
                  <w:color w:val="0000FF"/>
                  <w:w w:val="84"/>
                </w:rPr>
                <w:t>2019.</w:t>
              </w:r>
            </w:hyperlink>
          </w:p>
        </w:tc>
        <w:tc>
          <w:tcPr>
            <w:tcW w:w="130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90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10.22#</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3"/>
              </w:rPr>
            </w:pPr>
            <w:hyperlink r:id="rId39">
              <w:r>
                <w:rPr>
                  <w:rFonts w:ascii="Arial" w:cs="Arial" w:eastAsia="Arial" w:hAnsi="Arial"/>
                  <w:sz w:val="16"/>
                  <w:szCs w:val="16"/>
                  <w:color w:val="0000FF"/>
                  <w:w w:val="93"/>
                </w:rPr>
                <w:t>Data Structuring and Curation Agreement, dated as of August 1, 2019, by and</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10.24</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47"/>
        </w:trPr>
        <w:tc>
          <w:tcPr>
            <w:tcW w:w="124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0000FF"/>
            </w:tcBorders>
            <w:gridSpan w:val="22"/>
            <w:shd w:val="clear" w:color="auto" w:fill="CCEEFF"/>
          </w:tcPr>
          <w:p>
            <w:pPr>
              <w:spacing w:after="0" w:line="148" w:lineRule="exact"/>
              <w:rPr>
                <w:rFonts w:ascii="Arial" w:cs="Arial" w:eastAsia="Arial" w:hAnsi="Arial"/>
                <w:sz w:val="16"/>
                <w:szCs w:val="16"/>
                <w:color w:val="0000FF"/>
                <w:w w:val="97"/>
              </w:rPr>
            </w:pPr>
            <w:hyperlink r:id="rId39">
              <w:r>
                <w:rPr>
                  <w:rFonts w:ascii="Arial" w:cs="Arial" w:eastAsia="Arial" w:hAnsi="Arial"/>
                  <w:sz w:val="16"/>
                  <w:szCs w:val="16"/>
                  <w:color w:val="0000FF"/>
                  <w:w w:val="97"/>
                </w:rPr>
                <w:t>between Icahn School of Medicine at Mount Sinai and the Company, as</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4580" w:type="dxa"/>
            <w:vAlign w:val="bottom"/>
            <w:tcBorders>
              <w:top w:val="single" w:sz="8" w:color="0000FF"/>
            </w:tcBorders>
            <w:gridSpan w:val="13"/>
            <w:shd w:val="clear" w:color="auto" w:fill="CCEEFF"/>
          </w:tcPr>
          <w:p>
            <w:pPr>
              <w:spacing w:after="0" w:line="148" w:lineRule="exact"/>
              <w:rPr>
                <w:rFonts w:ascii="Arial" w:cs="Arial" w:eastAsia="Arial" w:hAnsi="Arial"/>
                <w:sz w:val="16"/>
                <w:szCs w:val="16"/>
                <w:color w:val="0000FF"/>
              </w:rPr>
            </w:pPr>
            <w:hyperlink r:id="rId39">
              <w:r>
                <w:rPr>
                  <w:rFonts w:ascii="Arial" w:cs="Arial" w:eastAsia="Arial" w:hAnsi="Arial"/>
                  <w:sz w:val="16"/>
                  <w:szCs w:val="16"/>
                  <w:color w:val="0000FF"/>
                </w:rPr>
                <w:t>amended March 11, 2020.</w:t>
              </w:r>
            </w:hyperlink>
          </w:p>
        </w:tc>
        <w:tc>
          <w:tcPr>
            <w:tcW w:w="10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10.23#</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2"/>
              </w:rPr>
            </w:pPr>
            <w:hyperlink r:id="rId40">
              <w:r>
                <w:rPr>
                  <w:rFonts w:ascii="Arial" w:cs="Arial" w:eastAsia="Arial" w:hAnsi="Arial"/>
                  <w:sz w:val="16"/>
                  <w:szCs w:val="16"/>
                  <w:color w:val="0000FF"/>
                  <w:w w:val="92"/>
                </w:rPr>
                <w:t>BioMe Biospecimen and Data Access Agreement, dated as of July 19, 2019, by</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10.25</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080" w:type="dxa"/>
            <w:vAlign w:val="bottom"/>
            <w:tcBorders>
              <w:top w:val="single" w:sz="8" w:color="0000FF"/>
            </w:tcBorders>
            <w:gridSpan w:val="24"/>
            <w:shd w:val="clear" w:color="auto" w:fill="CCEEFF"/>
          </w:tcPr>
          <w:p>
            <w:pPr>
              <w:spacing w:after="0" w:line="148" w:lineRule="exact"/>
              <w:rPr>
                <w:rFonts w:ascii="Arial" w:cs="Arial" w:eastAsia="Arial" w:hAnsi="Arial"/>
                <w:sz w:val="16"/>
                <w:szCs w:val="16"/>
                <w:color w:val="0000FF"/>
                <w:w w:val="97"/>
              </w:rPr>
            </w:pPr>
            <w:hyperlink r:id="rId40">
              <w:r>
                <w:rPr>
                  <w:rFonts w:ascii="Arial" w:cs="Arial" w:eastAsia="Arial" w:hAnsi="Arial"/>
                  <w:sz w:val="16"/>
                  <w:szCs w:val="16"/>
                  <w:color w:val="0000FF"/>
                  <w:w w:val="97"/>
                </w:rPr>
                <w:t>and between Icahn School of Medicine at Mount Sinai and the Company.</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10.24#</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6"/>
              </w:rPr>
            </w:pPr>
            <w:hyperlink r:id="rId41">
              <w:r>
                <w:rPr>
                  <w:rFonts w:ascii="Arial" w:cs="Arial" w:eastAsia="Arial" w:hAnsi="Arial"/>
                  <w:sz w:val="16"/>
                  <w:szCs w:val="16"/>
                  <w:color w:val="0000FF"/>
                  <w:w w:val="96"/>
                </w:rPr>
                <w:t>Non-Exclusive Patent License Agreement, dated as of June 1, 2017, by and</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10.26</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4820" w:type="dxa"/>
            <w:vAlign w:val="bottom"/>
            <w:tcBorders>
              <w:top w:val="single" w:sz="8" w:color="0000FF"/>
            </w:tcBorders>
            <w:gridSpan w:val="19"/>
            <w:shd w:val="clear" w:color="auto" w:fill="CCEEFF"/>
          </w:tcPr>
          <w:p>
            <w:pPr>
              <w:spacing w:after="0" w:line="148" w:lineRule="exact"/>
              <w:rPr>
                <w:rFonts w:ascii="Arial" w:cs="Arial" w:eastAsia="Arial" w:hAnsi="Arial"/>
                <w:sz w:val="16"/>
                <w:szCs w:val="16"/>
                <w:color w:val="0000FF"/>
                <w:w w:val="98"/>
              </w:rPr>
            </w:pPr>
            <w:hyperlink r:id="rId41">
              <w:r>
                <w:rPr>
                  <w:rFonts w:ascii="Arial" w:cs="Arial" w:eastAsia="Arial" w:hAnsi="Arial"/>
                  <w:sz w:val="16"/>
                  <w:szCs w:val="16"/>
                  <w:color w:val="0000FF"/>
                  <w:w w:val="98"/>
                </w:rPr>
                <w:t>between the Company and Icahn School of Medicine at Mount Sinai.</w:t>
              </w:r>
            </w:hyperlink>
          </w:p>
        </w:tc>
        <w:tc>
          <w:tcPr>
            <w:tcW w:w="340" w:type="dxa"/>
            <w:vAlign w:val="bottom"/>
            <w:tcBorders>
              <w:top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89"/>
              </w:rPr>
              <w:t>10.25#</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89"/>
              </w:rPr>
            </w:pPr>
            <w:hyperlink r:id="rId42">
              <w:r>
                <w:rPr>
                  <w:rFonts w:ascii="Arial" w:cs="Arial" w:eastAsia="Arial" w:hAnsi="Arial"/>
                  <w:sz w:val="16"/>
                  <w:szCs w:val="16"/>
                  <w:color w:val="0000FF"/>
                  <w:w w:val="89"/>
                </w:rPr>
                <w:t>Supply Agreement, dated as of June 20, 2014, by and between the Company and</w:t>
              </w:r>
            </w:hyperlink>
          </w:p>
        </w:tc>
        <w:tc>
          <w:tcPr>
            <w:tcW w:w="1620" w:type="dxa"/>
            <w:vAlign w:val="bottom"/>
            <w:shd w:val="clear" w:color="auto" w:fill="CCEEFF"/>
          </w:tcPr>
          <w:p>
            <w:pPr>
              <w:ind w:left="720"/>
              <w:spacing w:after="0" w:line="168" w:lineRule="exact"/>
              <w:rPr>
                <w:sz w:val="20"/>
                <w:szCs w:val="20"/>
                <w:color w:val="auto"/>
              </w:rPr>
            </w:pPr>
            <w:r>
              <w:rPr>
                <w:rFonts w:ascii="Arial" w:cs="Arial" w:eastAsia="Arial" w:hAnsi="Arial"/>
                <w:sz w:val="16"/>
                <w:szCs w:val="16"/>
                <w:color w:val="auto"/>
              </w:rPr>
              <w:t>8-K</w:t>
            </w:r>
          </w:p>
        </w:tc>
        <w:tc>
          <w:tcPr>
            <w:tcW w:w="1540" w:type="dxa"/>
            <w:vAlign w:val="bottom"/>
            <w:shd w:val="clear" w:color="auto" w:fill="CCEEFF"/>
          </w:tcPr>
          <w:p>
            <w:pPr>
              <w:jc w:val="right"/>
              <w:ind w:right="460"/>
              <w:spacing w:after="0" w:line="168" w:lineRule="exact"/>
              <w:rPr>
                <w:sz w:val="20"/>
                <w:szCs w:val="20"/>
                <w:color w:val="auto"/>
              </w:rPr>
            </w:pPr>
            <w:r>
              <w:rPr>
                <w:rFonts w:ascii="Arial" w:cs="Arial" w:eastAsia="Arial" w:hAnsi="Arial"/>
                <w:sz w:val="16"/>
                <w:szCs w:val="16"/>
                <w:color w:val="auto"/>
              </w:rPr>
              <w:t>10.27</w:t>
            </w:r>
          </w:p>
        </w:tc>
        <w:tc>
          <w:tcPr>
            <w:tcW w:w="162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07/28/2021</w:t>
            </w: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180" w:type="dxa"/>
            <w:vAlign w:val="bottom"/>
            <w:tcBorders>
              <w:top w:val="single" w:sz="8" w:color="0000FF"/>
            </w:tcBorders>
            <w:gridSpan w:val="29"/>
            <w:shd w:val="clear" w:color="auto" w:fill="CCEEFF"/>
          </w:tcPr>
          <w:p>
            <w:pPr>
              <w:spacing w:after="0" w:line="148" w:lineRule="exact"/>
              <w:rPr>
                <w:rFonts w:ascii="Arial" w:cs="Arial" w:eastAsia="Arial" w:hAnsi="Arial"/>
                <w:sz w:val="16"/>
                <w:szCs w:val="16"/>
                <w:color w:val="0000FF"/>
              </w:rPr>
            </w:pPr>
            <w:hyperlink r:id="rId42">
              <w:r>
                <w:rPr>
                  <w:rFonts w:ascii="Arial" w:cs="Arial" w:eastAsia="Arial" w:hAnsi="Arial"/>
                  <w:sz w:val="16"/>
                  <w:szCs w:val="16"/>
                  <w:color w:val="0000FF"/>
                </w:rPr>
                <w:t>Illumina, Inc., and amendments thereto.</w:t>
              </w:r>
            </w:hyperlink>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tcBorders>
              <w:bottom w:val="single" w:sz="8" w:color="CCEEFF"/>
            </w:tcBorders>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95"/>
              </w:rPr>
              <w:t>10.26*</w:t>
            </w:r>
          </w:p>
        </w:tc>
        <w:tc>
          <w:tcPr>
            <w:tcW w:w="5200" w:type="dxa"/>
            <w:vAlign w:val="bottom"/>
            <w:tcBorders>
              <w:bottom w:val="single" w:sz="8" w:color="0000FF"/>
            </w:tcBorders>
            <w:gridSpan w:val="30"/>
            <w:shd w:val="clear" w:color="auto" w:fill="CCEEFF"/>
          </w:tcPr>
          <w:p>
            <w:pPr>
              <w:spacing w:after="0" w:line="168" w:lineRule="exact"/>
              <w:rPr>
                <w:rFonts w:ascii="Arial" w:cs="Arial" w:eastAsia="Arial" w:hAnsi="Arial"/>
                <w:sz w:val="16"/>
                <w:szCs w:val="16"/>
                <w:color w:val="0000FF"/>
                <w:w w:val="91"/>
              </w:rPr>
            </w:pPr>
            <w:hyperlink r:id="rId43">
              <w:r>
                <w:rPr>
                  <w:rFonts w:ascii="Arial" w:cs="Arial" w:eastAsia="Arial" w:hAnsi="Arial"/>
                  <w:sz w:val="16"/>
                  <w:szCs w:val="16"/>
                  <w:color w:val="0000FF"/>
                  <w:w w:val="91"/>
                </w:rPr>
                <w:t>Loan and Security Agreement, dated as of November 15, 2021, between Silicon</w:t>
              </w:r>
            </w:hyperlink>
          </w:p>
        </w:tc>
        <w:tc>
          <w:tcPr>
            <w:tcW w:w="16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75"/>
        </w:trPr>
        <w:tc>
          <w:tcPr>
            <w:tcW w:w="1240" w:type="dxa"/>
            <w:vAlign w:val="bottom"/>
            <w:shd w:val="clear" w:color="auto" w:fill="CCEEFF"/>
          </w:tcPr>
          <w:p>
            <w:pPr>
              <w:spacing w:after="0"/>
              <w:rPr>
                <w:sz w:val="15"/>
                <w:szCs w:val="15"/>
                <w:color w:val="auto"/>
              </w:rPr>
            </w:pPr>
          </w:p>
        </w:tc>
        <w:tc>
          <w:tcPr>
            <w:tcW w:w="5200" w:type="dxa"/>
            <w:vAlign w:val="bottom"/>
            <w:gridSpan w:val="30"/>
            <w:shd w:val="clear" w:color="auto" w:fill="CCEEFF"/>
          </w:tcPr>
          <w:p>
            <w:pPr>
              <w:spacing w:after="0" w:line="148" w:lineRule="exact"/>
              <w:rPr>
                <w:rFonts w:ascii="Arial" w:cs="Arial" w:eastAsia="Arial" w:hAnsi="Arial"/>
                <w:sz w:val="16"/>
                <w:szCs w:val="16"/>
                <w:color w:val="0000FF"/>
              </w:rPr>
            </w:pPr>
            <w:hyperlink r:id="rId43">
              <w:r>
                <w:rPr>
                  <w:rFonts w:ascii="Arial" w:cs="Arial" w:eastAsia="Arial" w:hAnsi="Arial"/>
                  <w:sz w:val="16"/>
                  <w:szCs w:val="16"/>
                  <w:color w:val="0000FF"/>
                </w:rPr>
                <w:t>Valley Bank, the Company and Sema4 OpCo, Inc.</w:t>
              </w:r>
            </w:hyperlink>
          </w:p>
        </w:tc>
        <w:tc>
          <w:tcPr>
            <w:tcW w:w="1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54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w w:val="96"/>
              </w:rPr>
              <w:t>31.1*</w:t>
            </w:r>
          </w:p>
        </w:tc>
        <w:tc>
          <w:tcPr>
            <w:tcW w:w="5200" w:type="dxa"/>
            <w:vAlign w:val="bottom"/>
            <w:gridSpan w:val="30"/>
            <w:shd w:val="clear" w:color="auto" w:fill="CCEEFF"/>
          </w:tcPr>
          <w:p>
            <w:pPr>
              <w:spacing w:after="0" w:line="168" w:lineRule="exact"/>
              <w:rPr>
                <w:rFonts w:ascii="Arial" w:cs="Arial" w:eastAsia="Arial" w:hAnsi="Arial"/>
                <w:sz w:val="16"/>
                <w:szCs w:val="16"/>
                <w:color w:val="0000FF"/>
                <w:w w:val="92"/>
              </w:rPr>
            </w:pPr>
            <w:hyperlink r:id="rId44">
              <w:r>
                <w:rPr>
                  <w:rFonts w:ascii="Arial" w:cs="Arial" w:eastAsia="Arial" w:hAnsi="Arial"/>
                  <w:sz w:val="16"/>
                  <w:szCs w:val="16"/>
                  <w:color w:val="0000FF"/>
                  <w:w w:val="92"/>
                </w:rPr>
                <w:t>Certification of Principal Executive Officer Pursuant to Securities Exchange Act</w:t>
              </w:r>
            </w:hyperlink>
          </w:p>
        </w:tc>
        <w:tc>
          <w:tcPr>
            <w:tcW w:w="16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47"/>
        </w:trPr>
        <w:tc>
          <w:tcPr>
            <w:tcW w:w="1240" w:type="dxa"/>
            <w:vAlign w:val="bottom"/>
            <w:tcBorders>
              <w:top w:val="single" w:sz="8" w:color="CCEEFF"/>
            </w:tcBorders>
            <w:shd w:val="clear" w:color="auto" w:fill="CCEEFF"/>
          </w:tcPr>
          <w:p>
            <w:pPr>
              <w:spacing w:after="0"/>
              <w:rPr>
                <w:sz w:val="12"/>
                <w:szCs w:val="12"/>
                <w:color w:val="auto"/>
              </w:rPr>
            </w:pPr>
          </w:p>
        </w:tc>
        <w:tc>
          <w:tcPr>
            <w:tcW w:w="5160" w:type="dxa"/>
            <w:vAlign w:val="bottom"/>
            <w:tcBorders>
              <w:top w:val="single" w:sz="8" w:color="0000FF"/>
            </w:tcBorders>
            <w:gridSpan w:val="28"/>
            <w:shd w:val="clear" w:color="auto" w:fill="CCEEFF"/>
          </w:tcPr>
          <w:p>
            <w:pPr>
              <w:spacing w:after="0" w:line="148" w:lineRule="exact"/>
              <w:rPr>
                <w:rFonts w:ascii="Arial" w:cs="Arial" w:eastAsia="Arial" w:hAnsi="Arial"/>
                <w:sz w:val="16"/>
                <w:szCs w:val="16"/>
                <w:color w:val="0000FF"/>
                <w:w w:val="95"/>
              </w:rPr>
            </w:pPr>
            <w:hyperlink r:id="rId44">
              <w:r>
                <w:rPr>
                  <w:rFonts w:ascii="Arial" w:cs="Arial" w:eastAsia="Arial" w:hAnsi="Arial"/>
                  <w:sz w:val="16"/>
                  <w:szCs w:val="16"/>
                  <w:color w:val="0000FF"/>
                  <w:w w:val="95"/>
                </w:rPr>
                <w:t>Rules 13a-14(a) and 15(d)-14(a), as adopted Pursuant to Section 302 of the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r>
      <w:tr>
        <w:trPr>
          <w:trHeight w:val="175"/>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860" w:type="dxa"/>
            <w:vAlign w:val="bottom"/>
            <w:tcBorders>
              <w:top w:val="single" w:sz="8" w:color="0000FF"/>
              <w:bottom w:val="single" w:sz="8" w:color="0000FF"/>
            </w:tcBorders>
            <w:gridSpan w:val="3"/>
            <w:shd w:val="clear" w:color="auto" w:fill="CCEEFF"/>
          </w:tcPr>
          <w:p>
            <w:pPr>
              <w:spacing w:after="0" w:line="148" w:lineRule="exact"/>
              <w:rPr>
                <w:rFonts w:ascii="Arial" w:cs="Arial" w:eastAsia="Arial" w:hAnsi="Arial"/>
                <w:sz w:val="16"/>
                <w:szCs w:val="16"/>
                <w:color w:val="0000FF"/>
                <w:w w:val="89"/>
              </w:rPr>
            </w:pPr>
            <w:hyperlink r:id="rId44">
              <w:r>
                <w:rPr>
                  <w:rFonts w:ascii="Arial" w:cs="Arial" w:eastAsia="Arial" w:hAnsi="Arial"/>
                  <w:sz w:val="16"/>
                  <w:szCs w:val="16"/>
                  <w:color w:val="0000FF"/>
                  <w:w w:val="89"/>
                </w:rPr>
                <w:t>Sarbanes-Oxley Act of 2002.</w:t>
              </w:r>
            </w:hyperlink>
          </w:p>
        </w:tc>
        <w:tc>
          <w:tcPr>
            <w:tcW w:w="294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400" w:type="dxa"/>
            <w:vAlign w:val="bottom"/>
            <w:tcBorders>
              <w:top w:val="single" w:sz="8" w:color="CCEEFF"/>
              <w:bottom w:val="single" w:sz="8" w:color="CCEEFF"/>
            </w:tcBorders>
            <w:gridSpan w:val="12"/>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657"/>
        </w:trPr>
        <w:tc>
          <w:tcPr>
            <w:tcW w:w="1240" w:type="dxa"/>
            <w:vAlign w:val="bottom"/>
          </w:tcPr>
          <w:p>
            <w:pPr>
              <w:spacing w:after="0"/>
              <w:rPr>
                <w:sz w:val="24"/>
                <w:szCs w:val="24"/>
                <w:color w:val="auto"/>
              </w:rPr>
            </w:pPr>
          </w:p>
        </w:tc>
        <w:tc>
          <w:tcPr>
            <w:tcW w:w="4620" w:type="dxa"/>
            <w:vAlign w:val="bottom"/>
            <w:gridSpan w:val="14"/>
          </w:tcPr>
          <w:p>
            <w:pPr>
              <w:ind w:left="4440"/>
              <w:spacing w:after="0"/>
              <w:rPr>
                <w:sz w:val="20"/>
                <w:szCs w:val="20"/>
                <w:color w:val="auto"/>
              </w:rPr>
            </w:pPr>
            <w:r>
              <w:rPr>
                <w:rFonts w:ascii="Arial" w:cs="Arial" w:eastAsia="Arial" w:hAnsi="Arial"/>
                <w:sz w:val="16"/>
                <w:szCs w:val="16"/>
                <w:color w:val="auto"/>
                <w:w w:val="89"/>
              </w:rPr>
              <w:t>95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20"/>
          </w:cols>
          <w:pgMar w:left="320" w:top="139" w:right="35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6"/>
              </w:rPr>
              <w:t>31.2*</w:t>
            </w:r>
          </w:p>
        </w:tc>
        <w:tc>
          <w:tcPr>
            <w:tcW w:w="9980" w:type="dxa"/>
            <w:vAlign w:val="bottom"/>
            <w:gridSpan w:val="7"/>
            <w:shd w:val="clear" w:color="auto" w:fill="CCEEFF"/>
          </w:tcPr>
          <w:p>
            <w:pPr>
              <w:spacing w:after="0"/>
              <w:rPr>
                <w:rFonts w:ascii="Arial" w:cs="Arial" w:eastAsia="Arial" w:hAnsi="Arial"/>
                <w:sz w:val="16"/>
                <w:szCs w:val="16"/>
                <w:color w:val="0000FF"/>
              </w:rPr>
            </w:pPr>
            <w:hyperlink r:id="rId45">
              <w:r>
                <w:rPr>
                  <w:rFonts w:ascii="Arial" w:cs="Arial" w:eastAsia="Arial" w:hAnsi="Arial"/>
                  <w:sz w:val="16"/>
                  <w:szCs w:val="16"/>
                  <w:color w:val="0000FF"/>
                </w:rPr>
                <w:t>Certification of Principal Financial Officer Pursuant to Securities Exchange Act</w:t>
              </w:r>
            </w:hyperlink>
          </w:p>
        </w:tc>
      </w:tr>
      <w:tr>
        <w:trPr>
          <w:trHeight w:val="147"/>
        </w:trPr>
        <w:tc>
          <w:tcPr>
            <w:tcW w:w="1240" w:type="dxa"/>
            <w:vAlign w:val="bottom"/>
            <w:tcBorders>
              <w:top w:val="single" w:sz="8" w:color="CCEEFF"/>
            </w:tcBorders>
            <w:shd w:val="clear" w:color="auto" w:fill="CCEEFF"/>
          </w:tcPr>
          <w:p>
            <w:pPr>
              <w:spacing w:after="0"/>
              <w:rPr>
                <w:sz w:val="12"/>
                <w:szCs w:val="12"/>
                <w:color w:val="auto"/>
              </w:rPr>
            </w:pPr>
          </w:p>
        </w:tc>
        <w:tc>
          <w:tcPr>
            <w:tcW w:w="5080" w:type="dxa"/>
            <w:vAlign w:val="bottom"/>
            <w:tcBorders>
              <w:top w:val="single" w:sz="8" w:color="0000FF"/>
            </w:tcBorders>
            <w:gridSpan w:val="5"/>
            <w:shd w:val="clear" w:color="auto" w:fill="CCEEFF"/>
          </w:tcPr>
          <w:p>
            <w:pPr>
              <w:spacing w:after="0" w:line="148" w:lineRule="exact"/>
              <w:rPr>
                <w:rFonts w:ascii="Arial" w:cs="Arial" w:eastAsia="Arial" w:hAnsi="Arial"/>
                <w:sz w:val="16"/>
                <w:szCs w:val="16"/>
                <w:color w:val="0000FF"/>
                <w:w w:val="94"/>
              </w:rPr>
            </w:pPr>
            <w:hyperlink r:id="rId45">
              <w:r>
                <w:rPr>
                  <w:rFonts w:ascii="Arial" w:cs="Arial" w:eastAsia="Arial" w:hAnsi="Arial"/>
                  <w:sz w:val="16"/>
                  <w:szCs w:val="16"/>
                  <w:color w:val="0000FF"/>
                  <w:w w:val="94"/>
                </w:rPr>
                <w:t>Rules 13a-14(a) and 15(d)-14(a), as adopted Pursuant to Section 302 of the</w:t>
              </w:r>
            </w:hyperlink>
          </w:p>
        </w:tc>
        <w:tc>
          <w:tcPr>
            <w:tcW w:w="4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4780" w:type="dxa"/>
            <w:vAlign w:val="bottom"/>
            <w:tcBorders>
              <w:top w:val="single" w:sz="8" w:color="0000FF"/>
            </w:tcBorders>
            <w:gridSpan w:val="3"/>
            <w:shd w:val="clear" w:color="auto" w:fill="CCEEFF"/>
          </w:tcPr>
          <w:p>
            <w:pPr>
              <w:spacing w:after="0" w:line="148" w:lineRule="exact"/>
              <w:rPr>
                <w:rFonts w:ascii="Arial" w:cs="Arial" w:eastAsia="Arial" w:hAnsi="Arial"/>
                <w:sz w:val="16"/>
                <w:szCs w:val="16"/>
                <w:color w:val="0000FF"/>
              </w:rPr>
            </w:pPr>
            <w:hyperlink r:id="rId45">
              <w:r>
                <w:rPr>
                  <w:rFonts w:ascii="Arial" w:cs="Arial" w:eastAsia="Arial" w:hAnsi="Arial"/>
                  <w:sz w:val="16"/>
                  <w:szCs w:val="16"/>
                  <w:color w:val="0000FF"/>
                </w:rPr>
                <w:t>Sarbanes-Oxley Act of 2002.</w:t>
              </w:r>
            </w:hyperlink>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1860" w:type="dxa"/>
            <w:vAlign w:val="bottom"/>
            <w:tcBorders>
              <w:top w:val="single" w:sz="8" w:color="0000FF"/>
            </w:tcBorders>
          </w:tcPr>
          <w:p>
            <w:pPr>
              <w:spacing w:after="0"/>
              <w:rPr>
                <w:sz w:val="20"/>
                <w:szCs w:val="20"/>
                <w:color w:val="auto"/>
              </w:rPr>
            </w:pPr>
          </w:p>
        </w:tc>
        <w:tc>
          <w:tcPr>
            <w:tcW w:w="268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86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rPr>
              <w:t>32.1**</w:t>
            </w:r>
          </w:p>
        </w:tc>
        <w:tc>
          <w:tcPr>
            <w:tcW w:w="9980" w:type="dxa"/>
            <w:vAlign w:val="bottom"/>
            <w:gridSpan w:val="7"/>
            <w:shd w:val="clear" w:color="auto" w:fill="CCEEFF"/>
          </w:tcPr>
          <w:p>
            <w:pPr>
              <w:spacing w:after="0" w:line="168" w:lineRule="exact"/>
              <w:rPr>
                <w:rFonts w:ascii="Arial" w:cs="Arial" w:eastAsia="Arial" w:hAnsi="Arial"/>
                <w:sz w:val="16"/>
                <w:szCs w:val="16"/>
                <w:color w:val="0000FF"/>
              </w:rPr>
            </w:pPr>
            <w:hyperlink r:id="rId46">
              <w:r>
                <w:rPr>
                  <w:rFonts w:ascii="Arial" w:cs="Arial" w:eastAsia="Arial" w:hAnsi="Arial"/>
                  <w:sz w:val="16"/>
                  <w:szCs w:val="16"/>
                  <w:color w:val="0000FF"/>
                </w:rPr>
                <w:t>Certification of Principal Executive Officer Pursuant to 18 U.S.C. Section 1350,</w:t>
              </w:r>
            </w:hyperlink>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120" w:type="dxa"/>
            <w:vAlign w:val="bottom"/>
            <w:tcBorders>
              <w:top w:val="single" w:sz="8" w:color="0000FF"/>
            </w:tcBorders>
            <w:gridSpan w:val="6"/>
            <w:shd w:val="clear" w:color="auto" w:fill="CCEEFF"/>
          </w:tcPr>
          <w:p>
            <w:pPr>
              <w:spacing w:after="0" w:line="148" w:lineRule="exact"/>
              <w:rPr>
                <w:rFonts w:ascii="Arial" w:cs="Arial" w:eastAsia="Arial" w:hAnsi="Arial"/>
                <w:sz w:val="16"/>
                <w:szCs w:val="16"/>
                <w:color w:val="0000FF"/>
              </w:rPr>
            </w:pPr>
            <w:hyperlink r:id="rId46">
              <w:r>
                <w:rPr>
                  <w:rFonts w:ascii="Arial" w:cs="Arial" w:eastAsia="Arial" w:hAnsi="Arial"/>
                  <w:sz w:val="16"/>
                  <w:szCs w:val="16"/>
                  <w:color w:val="0000FF"/>
                </w:rPr>
                <w:t>as adopted Pursuant to Section 906 of the Sarbanes-Oxley Act of 2002.</w:t>
              </w:r>
            </w:hyperlink>
          </w:p>
        </w:tc>
        <w:tc>
          <w:tcPr>
            <w:tcW w:w="4860" w:type="dxa"/>
            <w:vAlign w:val="bottom"/>
            <w:tcBorders>
              <w:top w:val="single" w:sz="8" w:color="CCEEFF"/>
            </w:tcBorders>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1860" w:type="dxa"/>
            <w:vAlign w:val="bottom"/>
            <w:tcBorders>
              <w:top w:val="single" w:sz="8" w:color="0000FF"/>
            </w:tcBorders>
          </w:tcPr>
          <w:p>
            <w:pPr>
              <w:spacing w:after="0"/>
              <w:rPr>
                <w:sz w:val="20"/>
                <w:szCs w:val="20"/>
                <w:color w:val="auto"/>
              </w:rPr>
            </w:pPr>
          </w:p>
        </w:tc>
        <w:tc>
          <w:tcPr>
            <w:tcW w:w="2680" w:type="dxa"/>
            <w:vAlign w:val="bottom"/>
            <w:tcBorders>
              <w:top w:val="single" w:sz="8" w:color="0000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860" w:type="dxa"/>
            <w:vAlign w:val="bottom"/>
            <w:tcBorders>
              <w:top w:val="single" w:sz="8" w:color="CCEEFF"/>
            </w:tcBorders>
          </w:tcPr>
          <w:p>
            <w:pPr>
              <w:spacing w:after="0"/>
              <w:rPr>
                <w:sz w:val="20"/>
                <w:szCs w:val="20"/>
                <w:color w:val="auto"/>
              </w:rPr>
            </w:pPr>
          </w:p>
        </w:tc>
      </w:tr>
      <w:tr>
        <w:trPr>
          <w:trHeight w:val="167"/>
        </w:trPr>
        <w:tc>
          <w:tcPr>
            <w:tcW w:w="1240" w:type="dxa"/>
            <w:vAlign w:val="bottom"/>
            <w:shd w:val="clear" w:color="auto" w:fill="CCEEFF"/>
          </w:tcPr>
          <w:p>
            <w:pPr>
              <w:jc w:val="center"/>
              <w:ind w:right="80"/>
              <w:spacing w:after="0" w:line="168" w:lineRule="exact"/>
              <w:rPr>
                <w:sz w:val="20"/>
                <w:szCs w:val="20"/>
                <w:color w:val="auto"/>
              </w:rPr>
            </w:pPr>
            <w:r>
              <w:rPr>
                <w:rFonts w:ascii="Arial" w:cs="Arial" w:eastAsia="Arial" w:hAnsi="Arial"/>
                <w:sz w:val="16"/>
                <w:szCs w:val="16"/>
                <w:color w:val="auto"/>
              </w:rPr>
              <w:t>32.2**</w:t>
            </w:r>
          </w:p>
        </w:tc>
        <w:tc>
          <w:tcPr>
            <w:tcW w:w="9980" w:type="dxa"/>
            <w:vAlign w:val="bottom"/>
            <w:gridSpan w:val="7"/>
            <w:shd w:val="clear" w:color="auto" w:fill="CCEEFF"/>
          </w:tcPr>
          <w:p>
            <w:pPr>
              <w:spacing w:after="0" w:line="168" w:lineRule="exact"/>
              <w:rPr>
                <w:rFonts w:ascii="Arial" w:cs="Arial" w:eastAsia="Arial" w:hAnsi="Arial"/>
                <w:sz w:val="16"/>
                <w:szCs w:val="16"/>
                <w:color w:val="0000FF"/>
              </w:rPr>
            </w:pPr>
            <w:hyperlink r:id="rId47">
              <w:r>
                <w:rPr>
                  <w:rFonts w:ascii="Arial" w:cs="Arial" w:eastAsia="Arial" w:hAnsi="Arial"/>
                  <w:sz w:val="16"/>
                  <w:szCs w:val="16"/>
                  <w:color w:val="0000FF"/>
                </w:rPr>
                <w:t>Certification of Principal Financial Officer Pursuant to 18 U.S.C. Section 1350,</w:t>
              </w:r>
            </w:hyperlink>
          </w:p>
        </w:tc>
      </w:tr>
      <w:tr>
        <w:trPr>
          <w:trHeight w:val="175"/>
        </w:trPr>
        <w:tc>
          <w:tcPr>
            <w:tcW w:w="124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0000FF"/>
            </w:tcBorders>
            <w:gridSpan w:val="4"/>
            <w:shd w:val="clear" w:color="auto" w:fill="CCEEFF"/>
          </w:tcPr>
          <w:p>
            <w:pPr>
              <w:spacing w:after="0" w:line="148" w:lineRule="exact"/>
              <w:rPr>
                <w:rFonts w:ascii="Arial" w:cs="Arial" w:eastAsia="Arial" w:hAnsi="Arial"/>
                <w:sz w:val="16"/>
                <w:szCs w:val="16"/>
                <w:color w:val="0000FF"/>
                <w:w w:val="99"/>
              </w:rPr>
            </w:pPr>
            <w:hyperlink r:id="rId47">
              <w:r>
                <w:rPr>
                  <w:rFonts w:ascii="Arial" w:cs="Arial" w:eastAsia="Arial" w:hAnsi="Arial"/>
                  <w:sz w:val="16"/>
                  <w:szCs w:val="16"/>
                  <w:color w:val="0000FF"/>
                  <w:w w:val="99"/>
                </w:rPr>
                <w:t>as adopted Pursuant to Section 906 of the Sarbanes-Oxley Act of 2002.</w:t>
              </w:r>
            </w:hyperlink>
          </w:p>
        </w:tc>
        <w:tc>
          <w:tcPr>
            <w:tcW w:w="4920" w:type="dxa"/>
            <w:vAlign w:val="bottom"/>
            <w:tcBorders>
              <w:top w:val="single" w:sz="8" w:color="CCEEFF"/>
            </w:tcBorders>
            <w:gridSpan w:val="3"/>
            <w:shd w:val="clear" w:color="auto" w:fill="CCEEFF"/>
          </w:tcPr>
          <w:p>
            <w:pPr>
              <w:spacing w:after="0"/>
              <w:rPr>
                <w:sz w:val="15"/>
                <w:szCs w:val="15"/>
                <w:color w:val="auto"/>
              </w:rPr>
            </w:pPr>
          </w:p>
        </w:tc>
      </w:tr>
      <w:tr>
        <w:trPr>
          <w:trHeight w:val="239"/>
        </w:trPr>
        <w:tc>
          <w:tcPr>
            <w:tcW w:w="1240" w:type="dxa"/>
            <w:vAlign w:val="bottom"/>
            <w:tcBorders>
              <w:top w:val="single" w:sz="8" w:color="CCEEFF"/>
            </w:tcBorders>
          </w:tcPr>
          <w:p>
            <w:pPr>
              <w:spacing w:after="0"/>
              <w:rPr>
                <w:sz w:val="20"/>
                <w:szCs w:val="20"/>
                <w:color w:val="auto"/>
              </w:rPr>
            </w:pPr>
          </w:p>
        </w:tc>
        <w:tc>
          <w:tcPr>
            <w:tcW w:w="1860" w:type="dxa"/>
            <w:vAlign w:val="bottom"/>
            <w:tcBorders>
              <w:top w:val="single" w:sz="8" w:color="0000FF"/>
            </w:tcBorders>
          </w:tcPr>
          <w:p>
            <w:pPr>
              <w:spacing w:after="0"/>
              <w:rPr>
                <w:sz w:val="20"/>
                <w:szCs w:val="20"/>
                <w:color w:val="auto"/>
              </w:rPr>
            </w:pPr>
          </w:p>
        </w:tc>
        <w:tc>
          <w:tcPr>
            <w:tcW w:w="2680" w:type="dxa"/>
            <w:vAlign w:val="bottom"/>
            <w:tcBorders>
              <w:top w:val="single" w:sz="8" w:color="0000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860" w:type="dxa"/>
            <w:vAlign w:val="bottom"/>
            <w:tcBorders>
              <w:top w:val="single" w:sz="8" w:color="CCEEFF"/>
            </w:tcBorders>
          </w:tcPr>
          <w:p>
            <w:pPr>
              <w:spacing w:after="0"/>
              <w:rPr>
                <w:sz w:val="20"/>
                <w:szCs w:val="20"/>
                <w:color w:val="auto"/>
              </w:rPr>
            </w:pPr>
          </w:p>
        </w:tc>
      </w:tr>
      <w:tr>
        <w:trPr>
          <w:trHeight w:val="215"/>
        </w:trPr>
        <w:tc>
          <w:tcPr>
            <w:tcW w:w="124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101.INS</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239"/>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15"/>
        </w:trPr>
        <w:tc>
          <w:tcPr>
            <w:tcW w:w="124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6"/>
              </w:rPr>
              <w:t>101.CAL</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39"/>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15"/>
        </w:trPr>
        <w:tc>
          <w:tcPr>
            <w:tcW w:w="124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89"/>
              </w:rPr>
              <w:t>101.SCH</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39"/>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15"/>
        </w:trPr>
        <w:tc>
          <w:tcPr>
            <w:tcW w:w="124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1"/>
              </w:rPr>
              <w:t>101.DEF</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39"/>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15"/>
        </w:trPr>
        <w:tc>
          <w:tcPr>
            <w:tcW w:w="124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7"/>
              </w:rPr>
              <w:t>101.LAB</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39"/>
        </w:trPr>
        <w:tc>
          <w:tcPr>
            <w:tcW w:w="1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215"/>
        </w:trPr>
        <w:tc>
          <w:tcPr>
            <w:tcW w:w="124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0"/>
              </w:rPr>
              <w:t>101.PRE</w:t>
            </w:r>
          </w:p>
        </w:tc>
        <w:tc>
          <w:tcPr>
            <w:tcW w:w="9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38" w:lineRule="exact"/>
        <w:rPr>
          <w:sz w:val="20"/>
          <w:szCs w:val="20"/>
          <w:color w:val="auto"/>
        </w:rPr>
      </w:pPr>
    </w:p>
    <w:p>
      <w:pPr>
        <w:ind w:left="1240" w:right="5120" w:hanging="826"/>
        <w:spacing w:after="0" w:line="276" w:lineRule="auto"/>
        <w:tabs>
          <w:tab w:leader="none" w:pos="1240" w:val="left"/>
        </w:tabs>
        <w:numPr>
          <w:ilvl w:val="1"/>
          <w:numId w:val="36"/>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5"/>
          <w:szCs w:val="15"/>
          <w:color w:val="auto"/>
        </w:rPr>
      </w:pPr>
    </w:p>
    <w:p>
      <w:pPr>
        <w:spacing w:after="0" w:line="347"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31" w:lineRule="exact"/>
        <w:rPr>
          <w:rFonts w:ascii="Arial" w:cs="Arial" w:eastAsia="Arial" w:hAnsi="Arial"/>
          <w:sz w:val="15"/>
          <w:szCs w:val="15"/>
          <w:color w:val="auto"/>
        </w:rPr>
      </w:pPr>
    </w:p>
    <w:p>
      <w:pPr>
        <w:ind w:left="420" w:hanging="409"/>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-852170</wp:posOffset>
            </wp:positionV>
            <wp:extent cx="7125335" cy="242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extLst>
                    </a:blip>
                    <a:srcRect/>
                    <a:stretch>
                      <a:fillRect/>
                    </a:stretch>
                  </pic:blipFill>
                  <pic:spPr bwMode="auto">
                    <a:xfrm>
                      <a:off x="0" y="0"/>
                      <a:ext cx="7125335" cy="242570"/>
                    </a:xfrm>
                    <a:prstGeom prst="rect">
                      <a:avLst/>
                    </a:prstGeom>
                    <a:noFill/>
                  </pic:spPr>
                </pic:pic>
              </a:graphicData>
            </a:graphic>
          </wp:anchor>
        </w:drawing>
      </w:r>
    </w:p>
    <w:p>
      <w:pPr>
        <w:spacing w:after="0" w:line="11" w:lineRule="exact"/>
        <w:rPr>
          <w:sz w:val="20"/>
          <w:szCs w:val="20"/>
          <w:color w:val="auto"/>
        </w:rPr>
      </w:pPr>
    </w:p>
    <w:p>
      <w:pPr>
        <w:ind w:left="420" w:right="4840" w:hanging="409"/>
        <w:spacing w:after="0" w:line="234"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2" w:lineRule="exact"/>
        <w:rPr>
          <w:sz w:val="20"/>
          <w:szCs w:val="20"/>
          <w:color w:val="auto"/>
        </w:rPr>
      </w:pPr>
    </w:p>
    <w:p>
      <w:pPr>
        <w:ind w:left="5680" w:right="4300" w:hanging="5669"/>
        <w:spacing w:after="0" w:line="883" w:lineRule="auto"/>
        <w:tabs>
          <w:tab w:leader="none" w:pos="4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omitted portions of the exhibit as permitted under Regulation S-K Item 601(b)(10). 96</w:t>
      </w:r>
    </w:p>
    <w:p>
      <w:pPr>
        <w:sectPr>
          <w:pgSz w:w="11900" w:h="16838" w:orient="portrait"/>
          <w:cols w:equalWidth="0" w:num="1">
            <w:col w:w="11220"/>
          </w:cols>
          <w:pgMar w:left="320" w:top="139" w:right="35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382" w:lineRule="exact"/>
        <w:rPr>
          <w:sz w:val="20"/>
          <w:szCs w:val="20"/>
          <w:color w:val="auto"/>
        </w:rPr>
      </w:pPr>
    </w:p>
    <w:p>
      <w:pPr>
        <w:ind w:right="580"/>
        <w:spacing w:after="0" w:line="244" w:lineRule="auto"/>
        <w:rPr>
          <w:sz w:val="20"/>
          <w:szCs w:val="20"/>
          <w:color w:val="auto"/>
        </w:rPr>
      </w:pPr>
      <w:r>
        <w:rPr>
          <w:rFonts w:ascii="Arial" w:cs="Arial" w:eastAsia="Arial" w:hAnsi="Arial"/>
          <w:sz w:val="16"/>
          <w:szCs w:val="16"/>
          <w:color w:val="auto"/>
        </w:rPr>
        <w:t>Pursuant to the requirements of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1240" w:type="dxa"/>
            <w:vAlign w:val="bottom"/>
            <w:gridSpan w:val="2"/>
          </w:tcPr>
          <w:p>
            <w:pPr>
              <w:ind w:left="6220"/>
              <w:spacing w:after="0"/>
              <w:rPr>
                <w:sz w:val="20"/>
                <w:szCs w:val="20"/>
                <w:color w:val="auto"/>
              </w:rPr>
            </w:pPr>
            <w:r>
              <w:rPr>
                <w:rFonts w:ascii="Arial" w:cs="Arial" w:eastAsia="Arial" w:hAnsi="Arial"/>
                <w:sz w:val="16"/>
                <w:szCs w:val="16"/>
                <w:b w:val="1"/>
                <w:bCs w:val="1"/>
                <w:color w:val="auto"/>
              </w:rPr>
              <w:t>SEMA4 HOLDINGS CORP.</w:t>
            </w:r>
          </w:p>
        </w:tc>
      </w:tr>
      <w:tr>
        <w:trPr>
          <w:trHeight w:val="458"/>
        </w:trPr>
        <w:tc>
          <w:tcPr>
            <w:tcW w:w="7040" w:type="dxa"/>
            <w:vAlign w:val="bottom"/>
          </w:tcPr>
          <w:p>
            <w:pPr>
              <w:spacing w:after="0"/>
              <w:rPr>
                <w:sz w:val="20"/>
                <w:szCs w:val="20"/>
                <w:color w:val="auto"/>
              </w:rPr>
            </w:pPr>
            <w:r>
              <w:rPr>
                <w:rFonts w:ascii="Arial" w:cs="Arial" w:eastAsia="Arial" w:hAnsi="Arial"/>
                <w:sz w:val="16"/>
                <w:szCs w:val="16"/>
                <w:color w:val="auto"/>
              </w:rPr>
              <w:t>Date: November 15 , 2021</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Eric Schadt</w:t>
            </w:r>
          </w:p>
        </w:tc>
      </w:tr>
      <w:tr>
        <w:trPr>
          <w:trHeight w:val="204"/>
        </w:trPr>
        <w:tc>
          <w:tcPr>
            <w:tcW w:w="7040" w:type="dxa"/>
            <w:vAlign w:val="bottom"/>
          </w:tcPr>
          <w:p>
            <w:pPr>
              <w:ind w:left="6220"/>
              <w:spacing w:after="0"/>
              <w:rPr>
                <w:sz w:val="20"/>
                <w:szCs w:val="20"/>
                <w:color w:val="auto"/>
              </w:rPr>
            </w:pPr>
            <w:r>
              <w:rPr>
                <w:rFonts w:ascii="Arial" w:cs="Arial" w:eastAsia="Arial" w:hAnsi="Arial"/>
                <w:sz w:val="16"/>
                <w:szCs w:val="16"/>
                <w:color w:val="auto"/>
              </w:rPr>
              <w:t>Name:</w:t>
            </w:r>
          </w:p>
        </w:tc>
        <w:tc>
          <w:tcPr>
            <w:tcW w:w="4200" w:type="dxa"/>
            <w:vAlign w:val="bottom"/>
          </w:tcPr>
          <w:p>
            <w:pPr>
              <w:ind w:left="20"/>
              <w:spacing w:after="0"/>
              <w:rPr>
                <w:sz w:val="20"/>
                <w:szCs w:val="20"/>
                <w:color w:val="auto"/>
              </w:rPr>
            </w:pPr>
            <w:r>
              <w:rPr>
                <w:rFonts w:ascii="Arial" w:cs="Arial" w:eastAsia="Arial" w:hAnsi="Arial"/>
                <w:sz w:val="16"/>
                <w:szCs w:val="16"/>
                <w:color w:val="auto"/>
              </w:rPr>
              <w:t>Eric Schadt</w:t>
            </w:r>
          </w:p>
        </w:tc>
      </w:tr>
      <w:tr>
        <w:trPr>
          <w:trHeight w:val="178"/>
        </w:trPr>
        <w:tc>
          <w:tcPr>
            <w:tcW w:w="7040" w:type="dxa"/>
            <w:vAlign w:val="bottom"/>
          </w:tcPr>
          <w:p>
            <w:pPr>
              <w:ind w:left="6220"/>
              <w:spacing w:after="0" w:line="178" w:lineRule="exact"/>
              <w:rPr>
                <w:sz w:val="20"/>
                <w:szCs w:val="20"/>
                <w:color w:val="auto"/>
              </w:rPr>
            </w:pPr>
            <w:r>
              <w:rPr>
                <w:rFonts w:ascii="Arial" w:cs="Arial" w:eastAsia="Arial" w:hAnsi="Arial"/>
                <w:sz w:val="16"/>
                <w:szCs w:val="16"/>
                <w:color w:val="auto"/>
              </w:rPr>
              <w:t>Title:</w:t>
            </w:r>
          </w:p>
        </w:tc>
        <w:tc>
          <w:tcPr>
            <w:tcW w:w="4200" w:type="dxa"/>
            <w:vAlign w:val="bottom"/>
          </w:tcPr>
          <w:p>
            <w:pPr>
              <w:ind w:left="20"/>
              <w:spacing w:after="0" w:line="178" w:lineRule="exact"/>
              <w:rPr>
                <w:sz w:val="20"/>
                <w:szCs w:val="20"/>
                <w:color w:val="auto"/>
              </w:rPr>
            </w:pPr>
            <w:r>
              <w:rPr>
                <w:rFonts w:ascii="Arial" w:cs="Arial" w:eastAsia="Arial" w:hAnsi="Arial"/>
                <w:sz w:val="16"/>
                <w:szCs w:val="16"/>
                <w:color w:val="auto"/>
              </w:rPr>
              <w:t>Chief Executive Officer and Director (Principal Executive</w:t>
            </w:r>
          </w:p>
        </w:tc>
      </w:tr>
      <w:tr>
        <w:trPr>
          <w:trHeight w:val="204"/>
        </w:trPr>
        <w:tc>
          <w:tcPr>
            <w:tcW w:w="704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Officer)</w:t>
            </w:r>
          </w:p>
        </w:tc>
      </w:tr>
      <w:tr>
        <w:trPr>
          <w:trHeight w:val="458"/>
        </w:trPr>
        <w:tc>
          <w:tcPr>
            <w:tcW w:w="7040" w:type="dxa"/>
            <w:vAlign w:val="bottom"/>
          </w:tcPr>
          <w:p>
            <w:pPr>
              <w:spacing w:after="0"/>
              <w:rPr>
                <w:sz w:val="20"/>
                <w:szCs w:val="20"/>
                <w:color w:val="auto"/>
              </w:rPr>
            </w:pPr>
            <w:r>
              <w:rPr>
                <w:rFonts w:ascii="Arial" w:cs="Arial" w:eastAsia="Arial" w:hAnsi="Arial"/>
                <w:sz w:val="16"/>
                <w:szCs w:val="16"/>
                <w:color w:val="auto"/>
              </w:rPr>
              <w:t>Date: November 15, 2021</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Isaac Ro</w:t>
            </w:r>
          </w:p>
        </w:tc>
      </w:tr>
      <w:tr>
        <w:trPr>
          <w:trHeight w:val="204"/>
        </w:trPr>
        <w:tc>
          <w:tcPr>
            <w:tcW w:w="7040" w:type="dxa"/>
            <w:vAlign w:val="bottom"/>
          </w:tcPr>
          <w:p>
            <w:pPr>
              <w:ind w:left="6220"/>
              <w:spacing w:after="0"/>
              <w:rPr>
                <w:sz w:val="20"/>
                <w:szCs w:val="20"/>
                <w:color w:val="auto"/>
              </w:rPr>
            </w:pPr>
            <w:r>
              <w:rPr>
                <w:rFonts w:ascii="Arial" w:cs="Arial" w:eastAsia="Arial" w:hAnsi="Arial"/>
                <w:sz w:val="16"/>
                <w:szCs w:val="16"/>
                <w:color w:val="auto"/>
              </w:rPr>
              <w:t>Name:</w:t>
            </w:r>
          </w:p>
        </w:tc>
        <w:tc>
          <w:tcPr>
            <w:tcW w:w="4200" w:type="dxa"/>
            <w:vAlign w:val="bottom"/>
          </w:tcPr>
          <w:p>
            <w:pPr>
              <w:ind w:left="20"/>
              <w:spacing w:after="0"/>
              <w:rPr>
                <w:sz w:val="20"/>
                <w:szCs w:val="20"/>
                <w:color w:val="auto"/>
              </w:rPr>
            </w:pPr>
            <w:r>
              <w:rPr>
                <w:rFonts w:ascii="Arial" w:cs="Arial" w:eastAsia="Arial" w:hAnsi="Arial"/>
                <w:sz w:val="16"/>
                <w:szCs w:val="16"/>
                <w:color w:val="auto"/>
              </w:rPr>
              <w:t>Isaac Ro</w:t>
            </w:r>
          </w:p>
        </w:tc>
      </w:tr>
      <w:tr>
        <w:trPr>
          <w:trHeight w:val="215"/>
        </w:trPr>
        <w:tc>
          <w:tcPr>
            <w:tcW w:w="7040" w:type="dxa"/>
            <w:vAlign w:val="bottom"/>
          </w:tcPr>
          <w:p>
            <w:pPr>
              <w:ind w:left="6220"/>
              <w:spacing w:after="0"/>
              <w:rPr>
                <w:sz w:val="20"/>
                <w:szCs w:val="20"/>
                <w:color w:val="auto"/>
              </w:rPr>
            </w:pPr>
            <w:r>
              <w:rPr>
                <w:rFonts w:ascii="Arial" w:cs="Arial" w:eastAsia="Arial" w:hAnsi="Arial"/>
                <w:sz w:val="16"/>
                <w:szCs w:val="16"/>
                <w:color w:val="auto"/>
              </w:rPr>
              <w:t>Title:</w:t>
            </w:r>
          </w:p>
        </w:tc>
        <w:tc>
          <w:tcPr>
            <w:tcW w:w="420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r>
        <w:trPr>
          <w:trHeight w:val="657"/>
        </w:trPr>
        <w:tc>
          <w:tcPr>
            <w:tcW w:w="7040" w:type="dxa"/>
            <w:vAlign w:val="bottom"/>
          </w:tcPr>
          <w:p>
            <w:pPr>
              <w:ind w:left="5660"/>
              <w:spacing w:after="0"/>
              <w:rPr>
                <w:sz w:val="20"/>
                <w:szCs w:val="20"/>
                <w:color w:val="auto"/>
              </w:rPr>
            </w:pPr>
            <w:r>
              <w:rPr>
                <w:rFonts w:ascii="Arial" w:cs="Arial" w:eastAsia="Arial" w:hAnsi="Arial"/>
                <w:sz w:val="16"/>
                <w:szCs w:val="16"/>
                <w:color w:val="auto"/>
              </w:rPr>
              <w:t>97</w:t>
            </w:r>
          </w:p>
        </w:tc>
        <w:tc>
          <w:tcPr>
            <w:tcW w:w="4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13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lvl w:ilvl="1">
      <w:lvlJc w:val="left"/>
      <w:lvlText w:val="%2"/>
      <w:numFmt w:val="decimal"/>
      <w:start w:val="104"/>
    </w:lvl>
  </w:abstractNum>
  <w:abstractNum w:abstractNumId="36">
    <w:nsid w:val="5C482A97"/>
    <w:multiLevelType w:val="hybridMultilevel"/>
    <w:lvl w:ilvl="0">
      <w:lvlJc w:val="left"/>
      <w:lvlText w:val="**"/>
      <w:numFmt w:val="bullet"/>
      <w:start w:val="1"/>
    </w:lvl>
    <w:lvl w:ilvl="1">
      <w:lvlJc w:val="left"/>
      <w:lvlText w:val="%2"/>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48" Type="http://schemas.openxmlformats.org/officeDocument/2006/relationships/image" Target="media/image8.png"/><Relationship Id="rId15" Type="http://schemas.openxmlformats.org/officeDocument/2006/relationships/hyperlink" Target="https://www.sec.gov/Archives/edgar/data/0001818331/000162828021013404/sema4proxy.htm#i8b8880c1ddfa423593153735d1fc233d_1878" TargetMode="External"/><Relationship Id="rId16" Type="http://schemas.openxmlformats.org/officeDocument/2006/relationships/hyperlink" Target="https://www.sec.gov/Archives/edgar/data/0001818331/000162828021014760/exhibit31-super8xk.htm" TargetMode="External"/><Relationship Id="rId17" Type="http://schemas.openxmlformats.org/officeDocument/2006/relationships/hyperlink" Target="https://www.sec.gov/Archives/edgar/data/0001818331/000162828021014760/exhibit32-super8xk.htm" TargetMode="External"/><Relationship Id="rId18" Type="http://schemas.openxmlformats.org/officeDocument/2006/relationships/hyperlink" Target="https://www.sec.gov/Archives/edgar/data/0001818331/000162828021014760/exhibit102-super8xk.htm" TargetMode="External"/><Relationship Id="rId19" Type="http://schemas.openxmlformats.org/officeDocument/2006/relationships/hyperlink" Target="https://www.sec.gov/Archives/edgar/data/0001818331/000162828021014760/exhibit104-super8xk.htm" TargetMode="External"/><Relationship Id="rId20" Type="http://schemas.openxmlformats.org/officeDocument/2006/relationships/hyperlink" Target="https://www.sec.gov/Archives/edgar/data/0001818331/000162828021014760/exhibit105-super8xk.htm" TargetMode="External"/><Relationship Id="rId21" Type="http://schemas.openxmlformats.org/officeDocument/2006/relationships/hyperlink" Target="https://www.sec.gov/Archives/edgar/data/0001818331/000162828021014760/exhibit106-super8xk.htm" TargetMode="External"/><Relationship Id="rId22" Type="http://schemas.openxmlformats.org/officeDocument/2006/relationships/hyperlink" Target="https://www.sec.gov/Archives/edgar/data/0001818331/000162828021014760/exhibit107-super8xk.htm" TargetMode="External"/><Relationship Id="rId23" Type="http://schemas.openxmlformats.org/officeDocument/2006/relationships/hyperlink" Target="https://www.sec.gov/Archives/edgar/data/0001818331/000162828021014760/exhibit108-super8xk.htm" TargetMode="External"/><Relationship Id="rId24" Type="http://schemas.openxmlformats.org/officeDocument/2006/relationships/hyperlink" Target="https://www.sec.gov/Archives/edgar/data/0001818331/000162828021014760/exhibit109-super8xk.htm" TargetMode="External"/><Relationship Id="rId25" Type="http://schemas.openxmlformats.org/officeDocument/2006/relationships/hyperlink" Target="https://www.sec.gov/Archives/edgar/data/0001818331/000162828021014760/exhibit1010-super8xk.htm" TargetMode="External"/><Relationship Id="rId26" Type="http://schemas.openxmlformats.org/officeDocument/2006/relationships/hyperlink" Target="https://www.sec.gov/Archives/edgar/data/0001818331/000162828021014760/exhibit1011-super8xk.htm" TargetMode="External"/><Relationship Id="rId27" Type="http://schemas.openxmlformats.org/officeDocument/2006/relationships/hyperlink" Target="https://www.sec.gov/Archives/edgar/data/0001818331/000162828021014760/exhibit1012-super8xk.htm" TargetMode="External"/><Relationship Id="rId28" Type="http://schemas.openxmlformats.org/officeDocument/2006/relationships/hyperlink" Target="https://www.sec.gov/Archives/edgar/data/0001818331/000162828021014760/exhibit1013-super8xk.htm" TargetMode="External"/><Relationship Id="rId29" Type="http://schemas.openxmlformats.org/officeDocument/2006/relationships/hyperlink" Target="https://www.sec.gov/Archives/edgar/data/0001818331/000162828021014760/exhibit1014-super8xk.htm" TargetMode="External"/><Relationship Id="rId30" Type="http://schemas.openxmlformats.org/officeDocument/2006/relationships/hyperlink" Target="https://www.sec.gov/Archives/edgar/data/0001818331/000162828021014760/exhibit1015-super8xk.htm" TargetMode="External"/><Relationship Id="rId31" Type="http://schemas.openxmlformats.org/officeDocument/2006/relationships/hyperlink" Target="https://www.sec.gov/Archives/edgar/data/0001818331/000162828021014760/exhibit1016-super8xk.htm" TargetMode="External"/><Relationship Id="rId32" Type="http://schemas.openxmlformats.org/officeDocument/2006/relationships/hyperlink" Target="https://www.sec.gov/Archives/edgar/data/0001818331/000162828021014760/exhibit1017-super8xk.htm" TargetMode="External"/><Relationship Id="rId33" Type="http://schemas.openxmlformats.org/officeDocument/2006/relationships/hyperlink" Target="https://www.sec.gov/Archives/edgar/data/0001818331/000162828021014760/exhibit1018-super8xk.htm" TargetMode="External"/><Relationship Id="rId34" Type="http://schemas.openxmlformats.org/officeDocument/2006/relationships/hyperlink" Target="https://www.sec.gov/Archives/edgar/data/0001818331/000162828021014760/exhibit1019-super8xk.htm" TargetMode="External"/><Relationship Id="rId35" Type="http://schemas.openxmlformats.org/officeDocument/2006/relationships/hyperlink" Target="https://www.sec.gov/Archives/edgar/data/0001818331/000162828021014760/exhibit1020-super8xk.htm" TargetMode="External"/><Relationship Id="rId36" Type="http://schemas.openxmlformats.org/officeDocument/2006/relationships/hyperlink" Target="https://www.sec.gov/Archives/edgar/data/0001818331/000162828021014760/exhibit1021-super8xk.htm" TargetMode="External"/><Relationship Id="rId37" Type="http://schemas.openxmlformats.org/officeDocument/2006/relationships/hyperlink" Target="https://www.sec.gov/Archives/edgar/data/0001818331/000162828021014760/exhibit1022-super8xk.htm" TargetMode="External"/><Relationship Id="rId38" Type="http://schemas.openxmlformats.org/officeDocument/2006/relationships/hyperlink" Target="https://www.sec.gov/Archives/edgar/data/0001818331/000162828021014760/exhibit1023-super8xk.htm" TargetMode="External"/><Relationship Id="rId39" Type="http://schemas.openxmlformats.org/officeDocument/2006/relationships/hyperlink" Target="https://www.sec.gov/Archives/edgar/data/0001818331/000162828021014760/exhibit1024-super8xk.htm" TargetMode="External"/><Relationship Id="rId40" Type="http://schemas.openxmlformats.org/officeDocument/2006/relationships/hyperlink" Target="https://www.sec.gov/Archives/edgar/data/0001818331/000162828021014760/exhibit1025-super8xk.htm" TargetMode="External"/><Relationship Id="rId41" Type="http://schemas.openxmlformats.org/officeDocument/2006/relationships/hyperlink" Target="https://www.sec.gov/Archives/edgar/data/0001818331/000162828021014760/exhibit1026-super8xk.htm" TargetMode="External"/><Relationship Id="rId42" Type="http://schemas.openxmlformats.org/officeDocument/2006/relationships/hyperlink" Target="https://www.sec.gov/Archives/edgar/data/0001818331/000162828021014760/exhibit1027-super8xk.htm" TargetMode="External"/><Relationship Id="rId43" Type="http://schemas.openxmlformats.org/officeDocument/2006/relationships/hyperlink" Target="https://www.sec.gov/Archives/edgar/data/1818331/000181833121000012/sema4-svbxxloanandsecurity.htm" TargetMode="External"/><Relationship Id="rId44" Type="http://schemas.openxmlformats.org/officeDocument/2006/relationships/hyperlink" Target="https://www.sec.gov/Archives/edgar/data/1818331/000181833121000012/exhibit311certifications.htm" TargetMode="External"/><Relationship Id="rId45" Type="http://schemas.openxmlformats.org/officeDocument/2006/relationships/hyperlink" Target="https://www.sec.gov/Archives/edgar/data/1818331/000181833121000012/exhibit312certifications.htm" TargetMode="External"/><Relationship Id="rId46" Type="http://schemas.openxmlformats.org/officeDocument/2006/relationships/hyperlink" Target="https://www.sec.gov/Archives/edgar/data/1818331/000181833121000012/exhibit321certifications.htm" TargetMode="External"/><Relationship Id="rId47" Type="http://schemas.openxmlformats.org/officeDocument/2006/relationships/hyperlink" Target="https://www.sec.gov/Archives/edgar/data/1818331/000181833121000012/exhibit322certificatio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2021-11-15T16:42:54Z</dcterms:created>
  <dcterms:modified xsi:type="dcterms:W3CDTF">2021-11-15T16:42:54Z</dcterms:modified>
</cp:coreProperties>
</file>