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March 14, 2022</w:t>
      </w:r>
      <w:r>
        <w:rPr>
          <w:rFonts w:ascii="Arial" w:cs="Arial" w:eastAsia="Arial" w:hAnsi="Arial"/>
          <w:sz w:val="13"/>
          <w:szCs w:val="13"/>
          <w:color w:val="auto"/>
        </w:rPr>
        <w:t xml:space="preserve"> (</w:t>
      </w:r>
      <w:r>
        <w:rPr>
          <w:rFonts w:ascii="Arial" w:cs="Arial" w:eastAsia="Arial" w:hAnsi="Arial"/>
          <w:sz w:val="13"/>
          <w:szCs w:val="13"/>
          <w:b w:val="1"/>
          <w:bCs w:val="1"/>
          <w:color w:val="auto"/>
        </w:rPr>
        <w:t>March 10, 2022)</w:t>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00"/>
          </w:cols>
          <w:pgMar w:left="300" w:top="922" w:right="299" w:bottom="1440" w:gutter="0" w:footer="0" w:header="0"/>
        </w:sectPr>
      </w:pPr>
    </w:p>
    <w:p>
      <w:pPr>
        <w:spacing w:after="0" w:line="155" w:lineRule="exact"/>
        <w:rPr>
          <w:sz w:val="24"/>
          <w:szCs w:val="24"/>
          <w:color w:val="auto"/>
        </w:rPr>
      </w:pPr>
    </w:p>
    <w:p>
      <w:pPr>
        <w:jc w:val="center"/>
        <w:ind w:left="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726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17" w:lineRule="exact"/>
        <w:rPr>
          <w:sz w:val="24"/>
          <w:szCs w:val="24"/>
          <w:color w:val="auto"/>
        </w:rPr>
      </w:pPr>
    </w:p>
    <w:p>
      <w:pPr>
        <w:jc w:val="center"/>
        <w:ind w:left="7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77" w:lineRule="exact"/>
        <w:rPr>
          <w:sz w:val="24"/>
          <w:szCs w:val="24"/>
          <w:color w:val="auto"/>
        </w:rPr>
      </w:pPr>
    </w:p>
    <w:p>
      <w:pPr>
        <w:ind w:left="1620" w:right="340" w:hanging="566"/>
        <w:spacing w:after="0" w:line="328" w:lineRule="auto"/>
        <w:rPr>
          <w:sz w:val="20"/>
          <w:szCs w:val="20"/>
          <w:color w:val="auto"/>
        </w:rPr>
      </w:pPr>
      <w:r>
        <w:rPr>
          <w:rFonts w:ascii="Arial" w:cs="Arial" w:eastAsia="Arial" w:hAnsi="Arial"/>
          <w:sz w:val="11"/>
          <w:szCs w:val="11"/>
          <w:b w:val="1"/>
          <w:bCs w:val="1"/>
          <w:color w:val="auto"/>
        </w:rPr>
        <w:t>333 Ludlow Street, North Tower, 8th Floor 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7260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380"/>
        <w:spacing w:after="0"/>
        <w:rPr>
          <w:sz w:val="20"/>
          <w:szCs w:val="20"/>
          <w:color w:val="auto"/>
        </w:rPr>
      </w:pPr>
      <w:r>
        <w:rPr>
          <w:rFonts w:ascii="Arial" w:cs="Arial" w:eastAsia="Arial" w:hAnsi="Arial"/>
          <w:sz w:val="12"/>
          <w:szCs w:val="12"/>
          <w:b w:val="1"/>
          <w:bCs w:val="1"/>
          <w:color w:val="auto"/>
        </w:rPr>
        <w:t>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29210</wp:posOffset>
            </wp:positionV>
            <wp:extent cx="1663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35" w:lineRule="exact"/>
        <w:rPr>
          <w:sz w:val="24"/>
          <w:szCs w:val="24"/>
          <w:color w:val="auto"/>
        </w:rPr>
      </w:pPr>
    </w:p>
    <w:p>
      <w:pPr>
        <w:jc w:val="center"/>
        <w:ind w:right="380"/>
        <w:spacing w:after="0"/>
        <w:rPr>
          <w:sz w:val="20"/>
          <w:szCs w:val="20"/>
          <w:color w:val="auto"/>
        </w:rPr>
      </w:pPr>
      <w:r>
        <w:rPr>
          <w:rFonts w:ascii="Arial" w:cs="Arial" w:eastAsia="Arial" w:hAnsi="Arial"/>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(800) 298-6470</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Registrant's telephone number, including area code</w:t>
      </w:r>
    </w:p>
    <w:p>
      <w:pPr>
        <w:spacing w:after="0"/>
        <w:rPr>
          <w:sz w:val="20"/>
          <w:szCs w:val="20"/>
          <w:color w:val="auto"/>
        </w:rPr>
      </w:pPr>
      <w:r>
        <w:rPr>
          <w:rFonts w:ascii="Arial" w:cs="Arial" w:eastAsia="Arial" w:hAnsi="Arial"/>
          <w:sz w:val="10"/>
          <w:szCs w:val="10"/>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85-1966622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1"/>
          <w:szCs w:val="11"/>
          <w:color w:val="auto"/>
        </w:rPr>
        <w:t>(I.R.S. Employer Identification No.)</w:t>
      </w:r>
    </w:p>
    <w:p>
      <w:pPr>
        <w:spacing w:after="0" w:line="248"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2"/>
          <w:szCs w:val="12"/>
          <w:color w:val="auto"/>
        </w:rPr>
        <w:t>(Zip Code)</w:t>
      </w:r>
    </w:p>
    <w:p>
      <w:pPr>
        <w:spacing w:after="0" w:line="672" w:lineRule="exact"/>
        <w:rPr>
          <w:sz w:val="24"/>
          <w:szCs w:val="24"/>
          <w:color w:val="auto"/>
        </w:rPr>
      </w:pPr>
    </w:p>
    <w:p>
      <w:pPr>
        <w:sectPr>
          <w:pgSz w:w="11900" w:h="16838" w:orient="portrait"/>
          <w:cols w:equalWidth="0" w:num="3">
            <w:col w:w="3580" w:space="580"/>
            <w:col w:w="3420" w:space="720"/>
            <w:col w:w="3000"/>
          </w:cols>
          <w:pgMar w:left="300" w:top="922" w:right="299" w:bottom="1440" w:gutter="0" w:footer="0" w:header="0"/>
          <w:type w:val="continuous"/>
        </w:sect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60" w:type="dxa"/>
            <w:vAlign w:val="bottom"/>
            <w:tcBorders>
              <w:bottom w:val="single" w:sz="8" w:color="CCEEFF"/>
            </w:tcBorders>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Class A common stock, par value $0.0001 per share</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3"/>
              </w:rPr>
              <w:t>SMFR</w:t>
            </w:r>
          </w:p>
        </w:tc>
        <w:tc>
          <w:tcPr>
            <w:tcW w:w="4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Arial" w:cs="Arial" w:eastAsia="Arial" w:hAnsi="Arial"/>
                <w:sz w:val="12"/>
                <w:szCs w:val="12"/>
                <w:color w:val="auto"/>
                <w:w w:val="88"/>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2"/>
              </w:rPr>
              <w:t>SMFRW</w:t>
            </w:r>
          </w:p>
        </w:tc>
        <w:tc>
          <w:tcPr>
            <w:tcW w:w="4340" w:type="dxa"/>
            <w:vAlign w:val="bottom"/>
            <w:vMerge w:val="restart"/>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90"/>
        </w:trPr>
        <w:tc>
          <w:tcPr>
            <w:tcW w:w="49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6"/>
              </w:rPr>
              <w:t>share</w:t>
            </w:r>
          </w:p>
        </w:tc>
        <w:tc>
          <w:tcPr>
            <w:tcW w:w="2060" w:type="dxa"/>
            <w:vAlign w:val="bottom"/>
            <w:gridSpan w:val="2"/>
            <w:vMerge w:val="continue"/>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90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100"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March 14, 2022, Sema4 Holdings Corp. (“Sema4 Holdings” or the “Company”) issued a press release (the “Press Release”) and will hold a conference call announcing the Company's financial results for the year ended December 31, 2021. Copies of the Press Release and Earnings Presentation are furnished as Exhibits 99.1 and 99.2, respectively, to this Current Report on Form 8-K.</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b w:val="1"/>
          <w:bCs w:val="1"/>
          <w:color w:val="auto"/>
        </w:rPr>
        <w:t>Item 4.02</w:t>
      </w:r>
      <w:r>
        <w:rPr>
          <w:sz w:val="20"/>
          <w:szCs w:val="20"/>
          <w:color w:val="auto"/>
        </w:rPr>
        <w:tab/>
      </w:r>
      <w:r>
        <w:rPr>
          <w:rFonts w:ascii="Arial" w:cs="Arial" w:eastAsia="Arial" w:hAnsi="Arial"/>
          <w:sz w:val="11"/>
          <w:szCs w:val="11"/>
          <w:b w:val="1"/>
          <w:bCs w:val="1"/>
          <w:color w:val="auto"/>
        </w:rPr>
        <w:t>Non-Reliance on Previously Issued Financial Statements or a Related Audit Report or Completed Interim Review.</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In connection with the preparation of the Company’s Annual Report on Form 10-K for the year ended December 31, 2021 (the “2021 10-K”), the Company identified an adjustment to the classification of certain expenses related to the genetic counseling department reported in cost of services that should have been reported in selling and marketing in the Company’s prior period financial statements. Additionally, the Company has identified adjustments generally related to recognition of cost of services out of period in the three month periods ended March 31, 2021, June 30, 2021 and September 30, 2021.</w:t>
      </w:r>
    </w:p>
    <w:p>
      <w:pPr>
        <w:spacing w:after="0" w:line="121" w:lineRule="exact"/>
        <w:rPr>
          <w:sz w:val="20"/>
          <w:szCs w:val="20"/>
          <w:color w:val="auto"/>
        </w:rPr>
      </w:pPr>
    </w:p>
    <w:p>
      <w:pPr>
        <w:ind w:right="120"/>
        <w:spacing w:after="0" w:line="236" w:lineRule="auto"/>
        <w:rPr>
          <w:sz w:val="20"/>
          <w:szCs w:val="20"/>
          <w:color w:val="auto"/>
        </w:rPr>
      </w:pPr>
      <w:r>
        <w:rPr>
          <w:rFonts w:ascii="Arial" w:cs="Arial" w:eastAsia="Arial" w:hAnsi="Arial"/>
          <w:sz w:val="13"/>
          <w:szCs w:val="13"/>
          <w:color w:val="auto"/>
        </w:rPr>
        <w:t>On March 10, 2022, after discussion with Ernst &amp; Young LLP, the Company’s independent registered public accounting firm (“EY”), the Company’s management, in consultation with the Audit Committee of the Board of Directors of the Company, concluded that it is appropriate (i) to correct the classification of such expenses in its statement of operations and comprehensive loss in the previously issued audited financial statements for the year ended December 31, 2020 and December 31, 2019, and (ii) to correct the classification of such expenses and the timing of recognition of cost of services in the unaudited financial information for the three months ended March 31, 2021 and 2020, June 30 2021 and 2020 and September 30, 2021 and 2020 (collectively the “Relevant Periods”) by restating such audited and unaudited financial information because the adjustments are material to the financial statements for each of the Relevant Periods. As a result, the audited and unaudited financial statements for the Relevant Periods can no longer be relied 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Company will include the restated audited and unaudited financial statements for the Relevant Periods in the 2021 10-K which will be filed on March 14, 2022.</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2"/>
          <w:szCs w:val="12"/>
          <w:b w:val="1"/>
          <w:bCs w:val="1"/>
          <w:color w:val="auto"/>
        </w:rPr>
        <w:t>Financial Statement and Exhibits.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2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7"/>
              </w:rPr>
              <w:t>Number</w:t>
            </w:r>
          </w:p>
        </w:tc>
        <w:tc>
          <w:tcPr>
            <w:tcW w:w="2360" w:type="dxa"/>
            <w:vAlign w:val="bottom"/>
          </w:tcPr>
          <w:p>
            <w:pPr>
              <w:spacing w:after="0"/>
              <w:rPr>
                <w:sz w:val="13"/>
                <w:szCs w:val="13"/>
                <w:color w:val="auto"/>
              </w:rPr>
            </w:pPr>
          </w:p>
        </w:tc>
        <w:tc>
          <w:tcPr>
            <w:tcW w:w="1800" w:type="dxa"/>
            <w:vAlign w:val="bottom"/>
            <w:vMerge w:val="restart"/>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w:t>
            </w:r>
          </w:p>
        </w:tc>
        <w:tc>
          <w:tcPr>
            <w:tcW w:w="51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51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jc w:val="center"/>
              <w:ind w:left="374"/>
              <w:spacing w:after="0"/>
              <w:rPr>
                <w:sz w:val="20"/>
                <w:szCs w:val="20"/>
                <w:color w:val="auto"/>
              </w:rPr>
            </w:pPr>
            <w:r>
              <w:rPr>
                <w:rFonts w:ascii="Arial" w:cs="Arial" w:eastAsia="Arial" w:hAnsi="Arial"/>
                <w:sz w:val="13"/>
                <w:szCs w:val="13"/>
                <w:color w:val="auto"/>
                <w:w w:val="94"/>
              </w:rPr>
              <w:t>99.1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0" w:type="dxa"/>
            <w:vAlign w:val="bottom"/>
            <w:tcBorders>
              <w:bottom w:val="single" w:sz="8" w:color="0000FF"/>
            </w:tcBorders>
            <w:gridSpan w:val="4"/>
          </w:tcPr>
          <w:p>
            <w:pPr>
              <w:spacing w:after="0"/>
              <w:rPr>
                <w:rFonts w:ascii="Arial" w:cs="Arial" w:eastAsia="Arial" w:hAnsi="Arial"/>
                <w:sz w:val="13"/>
                <w:szCs w:val="13"/>
                <w:color w:val="0000FF"/>
                <w:w w:val="89"/>
              </w:rPr>
            </w:pPr>
            <w:hyperlink w:anchor="page4">
              <w:r>
                <w:rPr>
                  <w:rFonts w:ascii="Arial" w:cs="Arial" w:eastAsia="Arial" w:hAnsi="Arial"/>
                  <w:sz w:val="13"/>
                  <w:szCs w:val="13"/>
                  <w:color w:val="0000FF"/>
                  <w:w w:val="89"/>
                </w:rPr>
                <w:t xml:space="preserve">Press Release, dated March 14, </w:t>
              </w:r>
            </w:hyperlink>
            <w:r>
              <w:rPr>
                <w:rFonts w:ascii="Arial" w:cs="Arial" w:eastAsia="Arial" w:hAnsi="Arial"/>
                <w:sz w:val="13"/>
                <w:szCs w:val="13"/>
                <w:color w:val="0000FF"/>
                <w:w w:val="89"/>
              </w:rPr>
              <w:t xml:space="preserve">2022, </w:t>
            </w:r>
            <w:hyperlink w:anchor="page4">
              <w:r>
                <w:rPr>
                  <w:rFonts w:ascii="Arial" w:cs="Arial" w:eastAsia="Arial" w:hAnsi="Arial"/>
                  <w:sz w:val="13"/>
                  <w:szCs w:val="13"/>
                  <w:color w:val="0000FF"/>
                  <w:w w:val="89"/>
                </w:rPr>
                <w:t xml:space="preserve">regarding the Registrant’s results for the year ended December </w:t>
              </w:r>
            </w:hyperlink>
            <w:r>
              <w:rPr>
                <w:rFonts w:ascii="Arial" w:cs="Arial" w:eastAsia="Arial" w:hAnsi="Arial"/>
                <w:sz w:val="13"/>
                <w:szCs w:val="13"/>
                <w:color w:val="0000FF"/>
                <w:w w:val="89"/>
              </w:rPr>
              <w:t xml:space="preserve">31, </w:t>
            </w:r>
            <w:hyperlink w:anchor="page4">
              <w:r>
                <w:rPr>
                  <w:rFonts w:ascii="Arial" w:cs="Arial" w:eastAsia="Arial" w:hAnsi="Arial"/>
                  <w:sz w:val="13"/>
                  <w:szCs w:val="13"/>
                  <w:color w:val="0000FF"/>
                  <w:w w:val="89"/>
                </w:rPr>
                <w:t>2021</w:t>
              </w:r>
            </w:hyperlink>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0" w:type="dxa"/>
            <w:vAlign w:val="bottom"/>
            <w:gridSpan w:val="3"/>
            <w:vMerge w:val="restart"/>
          </w:tcPr>
          <w:p>
            <w:pPr>
              <w:jc w:val="center"/>
              <w:ind w:left="374"/>
              <w:spacing w:after="0"/>
              <w:rPr>
                <w:sz w:val="20"/>
                <w:szCs w:val="20"/>
                <w:color w:val="auto"/>
              </w:rPr>
            </w:pPr>
            <w:r>
              <w:rPr>
                <w:rFonts w:ascii="Arial" w:cs="Arial" w:eastAsia="Arial" w:hAnsi="Arial"/>
                <w:sz w:val="13"/>
                <w:szCs w:val="13"/>
                <w:color w:val="auto"/>
                <w:w w:val="94"/>
              </w:rPr>
              <w:t>99.2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Borders>
              <w:bottom w:val="single" w:sz="8" w:color="0000FF"/>
            </w:tcBorders>
          </w:tcPr>
          <w:p>
            <w:pPr>
              <w:spacing w:after="0"/>
              <w:rPr>
                <w:rFonts w:ascii="Arial" w:cs="Arial" w:eastAsia="Arial" w:hAnsi="Arial"/>
                <w:sz w:val="13"/>
                <w:szCs w:val="13"/>
                <w:color w:val="0000FF"/>
                <w:w w:val="89"/>
              </w:rPr>
            </w:pPr>
            <w:hyperlink w:anchor="page13">
              <w:r>
                <w:rPr>
                  <w:rFonts w:ascii="Arial" w:cs="Arial" w:eastAsia="Arial" w:hAnsi="Arial"/>
                  <w:sz w:val="13"/>
                  <w:szCs w:val="13"/>
                  <w:color w:val="0000FF"/>
                  <w:w w:val="89"/>
                </w:rPr>
                <w:t xml:space="preserve">Earnings Presentation, dated </w:t>
              </w:r>
            </w:hyperlink>
            <w:r>
              <w:rPr>
                <w:rFonts w:ascii="Arial" w:cs="Arial" w:eastAsia="Arial" w:hAnsi="Arial"/>
                <w:sz w:val="13"/>
                <w:szCs w:val="13"/>
                <w:color w:val="0000FF"/>
                <w:w w:val="89"/>
              </w:rPr>
              <w:t>March 14, 2022</w:t>
            </w:r>
          </w:p>
        </w:tc>
        <w:tc>
          <w:tcPr>
            <w:tcW w:w="7640" w:type="dxa"/>
            <w:vAlign w:val="bottom"/>
            <w:gridSpan w:val="4"/>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76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3"/>
          <w:szCs w:val="13"/>
          <w:color w:val="0000FF"/>
          <w:w w:val="89"/>
        </w:rPr>
      </w:pPr>
      <w:r>
        <w:rPr>
          <w:rFonts w:ascii="Arial" w:cs="Arial" w:eastAsia="Arial" w:hAnsi="Arial"/>
          <w:sz w:val="13"/>
          <w:szCs w:val="13"/>
          <w:color w:val="0000FF"/>
          <w:w w:val="89"/>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ind w:left="5020"/>
        <w:spacing w:after="0"/>
        <w:rPr>
          <w:sz w:val="20"/>
          <w:szCs w:val="20"/>
          <w:color w:val="auto"/>
        </w:rPr>
      </w:pPr>
      <w:r>
        <w:rPr>
          <w:rFonts w:ascii="Arial" w:cs="Arial" w:eastAsia="Arial" w:hAnsi="Arial"/>
          <w:sz w:val="13"/>
          <w:szCs w:val="13"/>
          <w:b w:val="1"/>
          <w:bCs w:val="1"/>
          <w:color w:val="auto"/>
        </w:rPr>
        <w:t>SIGNATURES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60" w:type="dxa"/>
            <w:vAlign w:val="bottom"/>
            <w:gridSpan w:val="2"/>
          </w:tcPr>
          <w:p>
            <w:pPr>
              <w:ind w:left="1640"/>
              <w:spacing w:after="0"/>
              <w:rPr>
                <w:sz w:val="20"/>
                <w:szCs w:val="20"/>
                <w:color w:val="auto"/>
              </w:rPr>
            </w:pPr>
            <w:r>
              <w:rPr>
                <w:rFonts w:ascii="Arial" w:cs="Arial" w:eastAsia="Arial" w:hAnsi="Arial"/>
                <w:sz w:val="13"/>
                <w:szCs w:val="13"/>
                <w:b w:val="1"/>
                <w:bCs w:val="1"/>
                <w:color w:val="auto"/>
              </w:rPr>
              <w:t>Sema4 Holdings Corp.</w:t>
            </w:r>
          </w:p>
        </w:tc>
      </w:tr>
      <w:tr>
        <w:trPr>
          <w:trHeight w:val="403"/>
        </w:trPr>
        <w:tc>
          <w:tcPr>
            <w:tcW w:w="600" w:type="dxa"/>
            <w:vAlign w:val="bottom"/>
          </w:tcPr>
          <w:p>
            <w:pPr>
              <w:spacing w:after="0"/>
              <w:rPr>
                <w:sz w:val="20"/>
                <w:szCs w:val="20"/>
                <w:color w:val="auto"/>
              </w:rPr>
            </w:pPr>
            <w:r>
              <w:rPr>
                <w:rFonts w:ascii="Arial" w:cs="Arial" w:eastAsia="Arial" w:hAnsi="Arial"/>
                <w:sz w:val="13"/>
                <w:szCs w:val="13"/>
                <w:color w:val="auto"/>
              </w:rPr>
              <w:t>Date:</w:t>
            </w:r>
          </w:p>
        </w:tc>
        <w:tc>
          <w:tcPr>
            <w:tcW w:w="2780" w:type="dxa"/>
            <w:vAlign w:val="bottom"/>
          </w:tcPr>
          <w:p>
            <w:pPr>
              <w:ind w:left="320"/>
              <w:spacing w:after="0"/>
              <w:rPr>
                <w:sz w:val="20"/>
                <w:szCs w:val="20"/>
                <w:color w:val="auto"/>
              </w:rPr>
            </w:pPr>
            <w:r>
              <w:rPr>
                <w:rFonts w:ascii="Arial" w:cs="Arial" w:eastAsia="Arial" w:hAnsi="Arial"/>
                <w:sz w:val="13"/>
                <w:szCs w:val="13"/>
                <w:color w:val="auto"/>
              </w:rPr>
              <w:t>March 14, 2022</w:t>
            </w:r>
          </w:p>
        </w:tc>
        <w:tc>
          <w:tcPr>
            <w:tcW w:w="2560" w:type="dxa"/>
            <w:vAlign w:val="bottom"/>
          </w:tcPr>
          <w:p>
            <w:pPr>
              <w:ind w:left="1640"/>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Eric Schadt</w:t>
            </w:r>
          </w:p>
        </w:tc>
      </w:tr>
      <w:tr>
        <w:trPr>
          <w:trHeight w:val="149"/>
        </w:trPr>
        <w:tc>
          <w:tcPr>
            <w:tcW w:w="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60" w:type="dxa"/>
            <w:vAlign w:val="bottom"/>
          </w:tcPr>
          <w:p>
            <w:pPr>
              <w:ind w:left="1640"/>
              <w:spacing w:after="0"/>
              <w:rPr>
                <w:sz w:val="20"/>
                <w:szCs w:val="20"/>
                <w:color w:val="auto"/>
              </w:rPr>
            </w:pPr>
            <w:r>
              <w:rPr>
                <w:rFonts w:ascii="Arial" w:cs="Arial" w:eastAsia="Arial" w:hAnsi="Arial"/>
                <w:sz w:val="13"/>
                <w:szCs w:val="13"/>
                <w:color w:val="auto"/>
              </w:rPr>
              <w:t>Name:</w:t>
            </w:r>
          </w:p>
        </w:tc>
        <w:tc>
          <w:tcPr>
            <w:tcW w:w="4700" w:type="dxa"/>
            <w:vAlign w:val="bottom"/>
          </w:tcPr>
          <w:p>
            <w:pPr>
              <w:ind w:left="20"/>
              <w:spacing w:after="0"/>
              <w:rPr>
                <w:sz w:val="20"/>
                <w:szCs w:val="20"/>
                <w:color w:val="auto"/>
              </w:rPr>
            </w:pPr>
            <w:r>
              <w:rPr>
                <w:rFonts w:ascii="Arial" w:cs="Arial" w:eastAsia="Arial" w:hAnsi="Arial"/>
                <w:sz w:val="13"/>
                <w:szCs w:val="13"/>
                <w:color w:val="auto"/>
              </w:rPr>
              <w:t>Eric Schadt</w:t>
            </w:r>
          </w:p>
        </w:tc>
      </w:tr>
      <w:tr>
        <w:trPr>
          <w:trHeight w:val="166"/>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60" w:type="dxa"/>
            <w:vAlign w:val="bottom"/>
          </w:tcPr>
          <w:p>
            <w:pPr>
              <w:ind w:left="1640"/>
              <w:spacing w:after="0"/>
              <w:rPr>
                <w:sz w:val="20"/>
                <w:szCs w:val="20"/>
                <w:color w:val="auto"/>
              </w:rPr>
            </w:pPr>
            <w:r>
              <w:rPr>
                <w:rFonts w:ascii="Arial" w:cs="Arial" w:eastAsia="Arial" w:hAnsi="Arial"/>
                <w:sz w:val="13"/>
                <w:szCs w:val="13"/>
                <w:color w:val="auto"/>
              </w:rPr>
              <w:t>Title:</w:t>
            </w:r>
          </w:p>
        </w:tc>
        <w:tc>
          <w:tcPr>
            <w:tcW w:w="470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640"/>
          </w:cols>
          <w:pgMar w:left="500" w:top="1106"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Reports Fourth Quarter and Full Year 2021 Financial Results and Business Highlights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37% increase in fourth quarter test volumes (excluding COVID-19 tests) compared to the same period last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Record quarterly test volume of nearly 83,000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24% growth in fourth quarter revenue (excluding COVID-19 tests) compared to the same period last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Reiterating full year 2022 total revenue guidance of $215-225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Sema4 to host conference call today at 4:30 p.m. ET</w:t>
      </w:r>
    </w:p>
    <w:p>
      <w:pPr>
        <w:spacing w:after="0" w:line="155" w:lineRule="exact"/>
        <w:rPr>
          <w:sz w:val="20"/>
          <w:szCs w:val="20"/>
          <w:color w:val="auto"/>
        </w:rPr>
      </w:pPr>
    </w:p>
    <w:p>
      <w:pPr>
        <w:jc w:val="both"/>
        <w:ind w:right="20"/>
        <w:spacing w:after="0" w:line="298" w:lineRule="auto"/>
        <w:rPr>
          <w:sz w:val="20"/>
          <w:szCs w:val="20"/>
          <w:color w:val="auto"/>
        </w:rPr>
      </w:pPr>
      <w:r>
        <w:rPr>
          <w:rFonts w:ascii="Arial" w:cs="Arial" w:eastAsia="Arial" w:hAnsi="Arial"/>
          <w:sz w:val="12"/>
          <w:szCs w:val="12"/>
          <w:b w:val="1"/>
          <w:bCs w:val="1"/>
          <w:color w:val="auto"/>
        </w:rPr>
        <w:t xml:space="preserve">STAMFORD, CT — March 14, 2022 — </w:t>
      </w:r>
      <w:r>
        <w:rPr>
          <w:rFonts w:ascii="Arial" w:cs="Arial" w:eastAsia="Arial" w:hAnsi="Arial"/>
          <w:sz w:val="12"/>
          <w:szCs w:val="12"/>
          <w:color w:val="0563C1"/>
        </w:rPr>
        <w:t>Sema4</w:t>
      </w:r>
      <w:r>
        <w:rPr>
          <w:rFonts w:ascii="Arial" w:cs="Arial" w:eastAsia="Arial" w:hAnsi="Arial"/>
          <w:sz w:val="12"/>
          <w:szCs w:val="12"/>
          <w:b w:val="1"/>
          <w:bCs w:val="1"/>
          <w:color w:val="auto"/>
        </w:rPr>
        <w:t xml:space="preserve"> </w:t>
      </w:r>
      <w:r>
        <w:rPr>
          <w:rFonts w:ascii="Arial" w:cs="Arial" w:eastAsia="Arial" w:hAnsi="Arial"/>
          <w:sz w:val="12"/>
          <w:szCs w:val="12"/>
          <w:color w:val="auto"/>
        </w:rPr>
        <w:t>Holdings Corp. (Nasdaq: SMFR) (“Sema4”), an AI-driven genomic and clinical data intelligence platform company, today reported its financial results for the fourth quarter and full</w:t>
      </w:r>
      <w:r>
        <w:rPr>
          <w:rFonts w:ascii="Arial" w:cs="Arial" w:eastAsia="Arial" w:hAnsi="Arial"/>
          <w:sz w:val="12"/>
          <w:szCs w:val="12"/>
          <w:b w:val="1"/>
          <w:bCs w:val="1"/>
          <w:color w:val="auto"/>
        </w:rPr>
        <w:t xml:space="preserve"> </w:t>
      </w:r>
      <w:r>
        <w:rPr>
          <w:rFonts w:ascii="Arial" w:cs="Arial" w:eastAsia="Arial" w:hAnsi="Arial"/>
          <w:sz w:val="12"/>
          <w:szCs w:val="12"/>
          <w:color w:val="auto"/>
        </w:rPr>
        <w:t>year ended December 31, 2021 and provided an update on key strategic and operational initiatives.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 xml:space="preserve">“2021 was a transformative year during which we grew our test volumes and patient database, further established Sema4 as a partner of choice for health systems, advanced our strategic objectives to accelerate the growth of our platform of algorithms, and listed on Nasdaq as a public company,” said </w:t>
      </w:r>
      <w:r>
        <w:rPr>
          <w:rFonts w:ascii="Arial" w:cs="Arial" w:eastAsia="Arial" w:hAnsi="Arial"/>
          <w:sz w:val="12"/>
          <w:szCs w:val="12"/>
          <w:u w:val="single" w:color="auto"/>
          <w:color w:val="0000FF"/>
        </w:rPr>
        <w:t>Eric Schadt</w:t>
      </w:r>
      <w:r>
        <w:rPr>
          <w:rFonts w:ascii="Arial" w:cs="Arial" w:eastAsia="Arial" w:hAnsi="Arial"/>
          <w:sz w:val="12"/>
          <w:szCs w:val="12"/>
          <w:color w:val="auto"/>
        </w:rPr>
        <w:t>, PhD, Founder and Chief Executive Officer of Sema4. “We are well positioned for 2022 and are excited to see the investments in our key initiatives begin to scale our core business and further grow our data engine. We also continue to expect to close the acquisition of GeneDx by the end of Q2, which will significantly enhance the power of our Centrellis® platform and distance us as the market leader with the most comprehensive clinically relevant data set available for research and development purposes.”</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“I am pleased with our results in the quarter, and as we look ahead to 2022, I am encouraged by the trajectory of volumes and gross margins,” said </w:t>
      </w:r>
      <w:r>
        <w:rPr>
          <w:rFonts w:ascii="Arial" w:cs="Arial" w:eastAsia="Arial" w:hAnsi="Arial"/>
          <w:sz w:val="12"/>
          <w:szCs w:val="12"/>
          <w:u w:val="single" w:color="auto"/>
          <w:color w:val="0000FF"/>
        </w:rPr>
        <w:t>Isaac Ro</w:t>
      </w:r>
      <w:r>
        <w:rPr>
          <w:rFonts w:ascii="Arial" w:cs="Arial" w:eastAsia="Arial" w:hAnsi="Arial"/>
          <w:sz w:val="12"/>
          <w:szCs w:val="12"/>
          <w:color w:val="auto"/>
          <w:highlight w:val="white"/>
        </w:rPr>
        <w:t>, Chief Financial Officer of Sema4. “Investments in automation, people, and</w:t>
      </w:r>
      <w:r>
        <w:rPr>
          <w:rFonts w:ascii="Arial" w:cs="Arial" w:eastAsia="Arial" w:hAnsi="Arial"/>
          <w:sz w:val="12"/>
          <w:szCs w:val="12"/>
          <w:color w:val="auto"/>
        </w:rPr>
        <w:t xml:space="preserve"> processes are now translating into tangible efficiencies. We expect gross margins to further improve throughout 2022.”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&amp; Recent Highlights</w:t>
      </w:r>
    </w:p>
    <w:p>
      <w:pPr>
        <w:spacing w:after="0" w:line="163" w:lineRule="exact"/>
        <w:rPr>
          <w:sz w:val="20"/>
          <w:szCs w:val="20"/>
          <w:color w:val="auto"/>
        </w:rPr>
      </w:pPr>
    </w:p>
    <w:p>
      <w:pPr>
        <w:ind w:left="420" w:right="20" w:hanging="212"/>
        <w:spacing w:after="0" w:line="26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Diagnostic testing volumes were up 37% in the fourth quarter of 2021 compared to the same period of 2020, with 82,966 tests resulted (excluding COVID-19 tests), including 142% growth in Oncology and 33% growth in Women’s Health</w:t>
      </w: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revenue increased 24% in the fourth quarter of 2021 (excluding COVID-19 testing revenue) compared to the same period of 2020, resulting in total revenue of $47.3 million compared to $38.2 million</w:t>
      </w:r>
    </w:p>
    <w:p>
      <w:pPr>
        <w:spacing w:after="0" w:line="15" w:lineRule="exact"/>
        <w:rPr>
          <w:rFonts w:ascii="Arial" w:cs="Arial" w:eastAsia="Arial" w:hAnsi="Arial"/>
          <w:sz w:val="12"/>
          <w:szCs w:val="12"/>
          <w:color w:val="auto"/>
        </w:rPr>
      </w:pPr>
    </w:p>
    <w:p>
      <w:pPr>
        <w:ind w:left="420" w:hanging="212"/>
        <w:spacing w:after="0" w:line="26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Published two papers in November 2021 in partnership with the Mount Sinai Health System demonstrating the ability of Sema4’s machine learning algorithms to predict clinical outcomes and drive meaningful changes in the standard of care for postpartum hemorrhage</w:t>
      </w:r>
    </w:p>
    <w:p>
      <w:pPr>
        <w:ind w:left="420" w:hanging="212"/>
        <w:spacing w:after="0" w:line="259"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Announced the signing of a definitive agreement to acquire GeneDx, Inc. (“GeneDx”) in January 2022, which is expected to strengthen Centrellis with more than 300,000 clinical exomes and over 2.1 million expertly annotated phenotypes</w:t>
      </w:r>
    </w:p>
    <w:p>
      <w:pPr>
        <w:ind w:left="420" w:right="120" w:hanging="212"/>
        <w:spacing w:after="0" w:line="22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Entered into definitive agreements for a $200 million private placement financing from leading growth and life sciences investors, including Pfizer, in January 2022 in conjunction with the signing of the merger agreement for the pending GeneDx acquisition</w:t>
      </w:r>
    </w:p>
    <w:p>
      <w:pPr>
        <w:spacing w:after="0" w:line="9"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Strengthened Market Access Team in February 2022 with the addition of 30-year industry veteran, Jerry Conway, Sema4’s SVP of Market Access</w:t>
      </w:r>
    </w:p>
    <w:p>
      <w:pPr>
        <w:spacing w:after="0" w:line="24"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Included in </w:t>
      </w:r>
      <w:r>
        <w:rPr>
          <w:rFonts w:ascii="Arial" w:cs="Arial" w:eastAsia="Arial" w:hAnsi="Arial"/>
          <w:sz w:val="12"/>
          <w:szCs w:val="12"/>
          <w:i w:val="1"/>
          <w:iCs w:val="1"/>
          <w:color w:val="auto"/>
        </w:rPr>
        <w:t>Fast Company</w:t>
      </w:r>
      <w:r>
        <w:rPr>
          <w:rFonts w:ascii="Arial" w:cs="Arial" w:eastAsia="Arial" w:hAnsi="Arial"/>
          <w:sz w:val="12"/>
          <w:szCs w:val="12"/>
          <w:color w:val="auto"/>
        </w:rPr>
        <w:t>’s prestigious annual list of the World’s Most Innovative Companies in March 2022; named as one of the top three most innovative data science companies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Full Year 2021 Business Highlights</w:t>
      </w:r>
    </w:p>
    <w:p>
      <w:pPr>
        <w:spacing w:after="0" w:line="181"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Signed three new health system partnerships with NorthShore University HealthSystem, AdventHealth, and Avera Health, launching broad precision medicine initiatives to improve health outcomes</w:t>
      </w:r>
    </w:p>
    <w:p>
      <w:pPr>
        <w:sectPr>
          <w:pgSz w:w="11900" w:h="16838" w:orient="portrait"/>
          <w:cols w:equalWidth="0" w:num="1">
            <w:col w:w="11300"/>
          </w:cols>
          <w:pgMar w:left="300" w:top="112" w:right="299" w:bottom="1440" w:gutter="0" w:footer="0" w:header="0"/>
        </w:sectPr>
      </w:pPr>
    </w:p>
    <w:bookmarkStart w:id="4" w:name="page5"/>
    <w:bookmarkEnd w:id="4"/>
    <w:p>
      <w:pPr>
        <w:ind w:left="420" w:hanging="212"/>
        <w:spacing w:after="0" w:line="266"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color w:val="auto"/>
        </w:rPr>
        <w:t>Further developed our clinical trial and testing solutions, real world evidence studies, and casual network models for drug discovery in oncology, autoimmune and rare diseases, while also launching new transformative partnerships focused on creating significant value for pharmaceutical and biotech companies</w:t>
      </w:r>
    </w:p>
    <w:p>
      <w:pPr>
        <w:ind w:left="420" w:hanging="212"/>
        <w:spacing w:after="0" w:line="266"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color w:val="auto"/>
        </w:rPr>
        <w:t>Launched Sema4 Elements®, our portfolio of data science-driven products and services to support reproductive and generational health, including a newly enhanced version of Sema4’s Expanded Carrier Screen for pregnancy planning</w:t>
      </w:r>
    </w:p>
    <w:p>
      <w:pPr>
        <w:ind w:left="420" w:right="20" w:hanging="212"/>
        <w:spacing w:after="0" w:line="292"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color w:val="auto"/>
        </w:rPr>
        <w:t>Debuted on the Nasdaq Stock Market as a publicly traded company after completing a business combination with CM Life Sciences (Nasdaq: CMLF), a special purpose acquisition company (SPAC) sponsored by affiliates of Casdin Capital, LLC and Corvex Management LP</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and Full Year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Total revenue for the fourth quarter of 2021 was $57.8 million compared to $64.0 million in the fourth quarter of 2020. Total revenue for the full year of 2021 was $212.2 million compared to $179.3 million for the full year of 2020.</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Year over year revenue growth was driven primarily by an increase in testing volumes of both our Women’s Health and Oncology product lines.</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Cost of services was $60.6 million in the fourth quarter of 2021 compared to $69.6 million in the same period of 2020. The decrease was a result of lower volumes in our COVID-19 business and lower stock-based compensation expense, offset by increased headcount, investments in systems, and higher logistical and supply costs due to increased volumes in our non-COVID-19 business. We anticipate these new investments will enable us to support continued volume growth with significantly higher cost efficiencies over time. Cost of services was $228.8 million for the full year of 2021 compared to $175.3 million for the full year of 2020. The annual increase was driven by increased stock-based compensation expense, increased headcount, and an increase in logistical expenses as a result of our expanded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Adjusted cost of services, which excludes stock-based compensation expense and other one-time COVID-19-related expense, was $58.0 million for the fourth quarter of 2021 compared to $43.5 million in the same period of 2020.</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Adjusted cost of services was $206.2 million for the full year of 2021 compared to $142.8 million for the full year of 2020.</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Operating expenses for the fourth quarter of 2021 were $113.0 million compared to operating expenses of $119.4 million for the fourth quarter of 2020. The decrease in operating expenses was due in part to lower stock-based compensation expense, offset by higher personnel-related costs as we built out our laboratory operations and further invested in our health intelligence platform, as well as incremental public company expense. Operating expenses for the full year of 2021 were $429.5 million compared to operating expenses of $246.0 million for the full year of 2020.</w:t>
      </w:r>
    </w:p>
    <w:p>
      <w:pPr>
        <w:spacing w:after="0" w:line="122" w:lineRule="exact"/>
        <w:rPr>
          <w:sz w:val="20"/>
          <w:szCs w:val="20"/>
          <w:color w:val="auto"/>
        </w:rPr>
      </w:pPr>
    </w:p>
    <w:p>
      <w:pPr>
        <w:jc w:val="both"/>
        <w:ind w:right="20"/>
        <w:spacing w:after="0" w:line="292" w:lineRule="auto"/>
        <w:rPr>
          <w:sz w:val="20"/>
          <w:szCs w:val="20"/>
          <w:color w:val="auto"/>
        </w:rPr>
      </w:pPr>
      <w:r>
        <w:rPr>
          <w:rFonts w:ascii="Arial" w:cs="Arial" w:eastAsia="Arial" w:hAnsi="Arial"/>
          <w:sz w:val="12"/>
          <w:szCs w:val="12"/>
          <w:color w:val="auto"/>
        </w:rPr>
        <w:t>Adjusted operating expenses, which excludes stock-based compensation, for the fourth quarter of 2021 were $78.6 million compared to $38.9 million in the same period of 2020. Adjusted operating expenses, which excludes stock-based compensation expense and non-recurring transaction expenses, for the full year of 2021 were $227.2 million compared to $138.7 million for the full year of 2020.</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Net loss for the fourth quarter of 2021 was ($40.2) million as compared to a net loss of ($125.7) million for the same period in 2020. Fourth quarter of 2021 net loss included other income of $76.2 million tied to the decrease in liabilities attributable to warrant and earn-out contingent liabilities recorded in connection with the merger with CM Life Sciences. Net loss for the full year of 2021 was ($245.4) million compared to a net loss of ($241.3) million for the full year of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Total cash and cash equivalents were $400.6 million as of December 31, 2021. As of March 07, 2022, Sema4 had 244,959,781 outstanding shares of Class A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2022 Guidance</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Sema4 expects fiscal year 2022 total revenue to be in the range of $215 to $225 million. Fiscal year 2022 resulted test volume growth is expected to exceed 20% when compared to resulted volume for the full year of 2021 (excluding COVID-19 tests). Fiscal year 2022</w:t>
      </w:r>
    </w:p>
    <w:p>
      <w:pPr>
        <w:sectPr>
          <w:pgSz w:w="11900" w:h="16838" w:orient="portrait"/>
          <w:cols w:equalWidth="0" w:num="1">
            <w:col w:w="11300"/>
          </w:cols>
          <w:pgMar w:left="300" w:top="1139"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color w:val="auto"/>
        </w:rPr>
        <w:t>adjusted gross margin is expected to exceed 10%</w:t>
      </w:r>
      <w:r>
        <w:rPr>
          <w:rFonts w:ascii="Arial" w:cs="Arial" w:eastAsia="Arial" w:hAnsi="Arial"/>
          <w:sz w:val="15"/>
          <w:szCs w:val="15"/>
          <w:color w:val="auto"/>
          <w:vertAlign w:val="superscript"/>
        </w:rPr>
        <w:t>1</w:t>
      </w:r>
      <w:r>
        <w:rPr>
          <w:rFonts w:ascii="Arial" w:cs="Arial" w:eastAsia="Arial" w:hAnsi="Arial"/>
          <w:sz w:val="12"/>
          <w:szCs w:val="12"/>
          <w:color w:val="auto"/>
        </w:rPr>
        <w:t>. The 2022 revenue, volume, and adjusted gross margin guidance excludes any contribution from the company’s pending acquisition of GeneDx.</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Webcast and Conference Call Details</w:t>
      </w:r>
    </w:p>
    <w:p>
      <w:pPr>
        <w:spacing w:after="0" w:line="163" w:lineRule="exact"/>
        <w:rPr>
          <w:sz w:val="20"/>
          <w:szCs w:val="20"/>
          <w:color w:val="auto"/>
        </w:rPr>
      </w:pPr>
    </w:p>
    <w:p>
      <w:pPr>
        <w:jc w:val="both"/>
        <w:ind w:left="8"/>
        <w:spacing w:after="0" w:line="292" w:lineRule="auto"/>
        <w:rPr>
          <w:sz w:val="20"/>
          <w:szCs w:val="20"/>
          <w:color w:val="auto"/>
        </w:rPr>
      </w:pPr>
      <w:r>
        <w:rPr>
          <w:rFonts w:ascii="Arial" w:cs="Arial" w:eastAsia="Arial" w:hAnsi="Arial"/>
          <w:sz w:val="12"/>
          <w:szCs w:val="12"/>
          <w:color w:val="auto"/>
        </w:rPr>
        <w:t xml:space="preserve">Sema4 will host a conference call today, March 14, 2022, at 4:30 p.m. Eastern Time. Interested parties may access the live teleconference by dialing (844) 631-4065 for domestic callers or (929) 517-0920 for international callers, followed by conference ID: 3885425. A live and archived webcast of the event will be available on the “Events” section of the Sema4 investor relations website at </w:t>
      </w:r>
      <w:r>
        <w:rPr>
          <w:rFonts w:ascii="Arial" w:cs="Arial" w:eastAsia="Arial" w:hAnsi="Arial"/>
          <w:sz w:val="12"/>
          <w:szCs w:val="12"/>
          <w:u w:val="single" w:color="auto"/>
          <w:color w:val="0000FF"/>
        </w:rPr>
        <w:t>https://ir.sema4.com/</w:t>
      </w:r>
      <w:r>
        <w:rPr>
          <w:rFonts w:ascii="Arial" w:cs="Arial" w:eastAsia="Arial" w:hAnsi="Arial"/>
          <w:sz w:val="12"/>
          <w:szCs w:val="12"/>
          <w:color w:val="auto"/>
          <w:highlight w:val="white"/>
        </w:rPr>
        <w:t>.</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This press release contains certain forward-looking statements within the meaning of the federal securities laws, including statements regarding our future performance and our market opportunity, including our full year 2022 revenue, volume and gross margin guidance, our expectations for our growth and future investment in our business, and our expectations for the proposed GeneDx acquisition, including the anticipated benefits of the acquisition and the anticipated timing of the acquisition.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the risk that the GeneDx acquisition and the related private placement financing may not be completed in a timely manner or at all. The foregoing list of factors is not exhaustive. [You should carefully consider the foregoing factors and the other risks and uncertainties described in the “Risk Factors” section of our Quarterly Report on Form 10-Q for the fiscal quarter ended September 30, 2021, filed with the U.S. Securities and Exchange Commission (the “SEC”) on November 15, 2021 and other documents filed by us from time to time with the SEC.][</w:t>
      </w:r>
      <w:r>
        <w:rPr>
          <w:rFonts w:ascii="Arial" w:cs="Arial" w:eastAsia="Arial" w:hAnsi="Arial"/>
          <w:sz w:val="11"/>
          <w:szCs w:val="11"/>
          <w:i w:val="1"/>
          <w:iCs w:val="1"/>
          <w:color w:val="auto"/>
        </w:rPr>
        <w:t>if this release follows 10-K filing, cross reference the 10-K instead</w:t>
      </w:r>
      <w:r>
        <w:rPr>
          <w:rFonts w:ascii="Arial" w:cs="Arial" w:eastAsia="Arial" w:hAnsi="Arial"/>
          <w:sz w:val="11"/>
          <w:szCs w:val="11"/>
          <w:color w:val="auto"/>
        </w:rPr>
        <w:t>]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Sema4</w:t>
      </w:r>
    </w:p>
    <w:p>
      <w:pPr>
        <w:jc w:val="both"/>
        <w:ind w:left="8"/>
        <w:spacing w:after="0" w:line="238" w:lineRule="auto"/>
        <w:rPr>
          <w:sz w:val="20"/>
          <w:szCs w:val="20"/>
          <w:color w:val="auto"/>
        </w:rPr>
      </w:pPr>
      <w:r>
        <w:rPr>
          <w:rFonts w:ascii="Arial" w:cs="Arial" w:eastAsia="Arial" w:hAnsi="Arial"/>
          <w:sz w:val="11"/>
          <w:szCs w:val="11"/>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more information, please visit sema4.com and connect with Sema4 on </w:t>
      </w:r>
      <w:r>
        <w:rPr>
          <w:rFonts w:ascii="Arial" w:cs="Arial" w:eastAsia="Arial" w:hAnsi="Arial"/>
          <w:sz w:val="12"/>
          <w:szCs w:val="12"/>
          <w:color w:val="0563C1"/>
        </w:rPr>
        <w:t>Twitter</w:t>
      </w:r>
      <w:r>
        <w:rPr>
          <w:rFonts w:ascii="Arial" w:cs="Arial" w:eastAsia="Arial" w:hAnsi="Arial"/>
          <w:sz w:val="12"/>
          <w:szCs w:val="12"/>
          <w:color w:val="auto"/>
        </w:rPr>
        <w:t xml:space="preserve">, </w:t>
      </w:r>
      <w:r>
        <w:rPr>
          <w:rFonts w:ascii="Arial" w:cs="Arial" w:eastAsia="Arial" w:hAnsi="Arial"/>
          <w:sz w:val="12"/>
          <w:szCs w:val="12"/>
          <w:color w:val="0563C1"/>
        </w:rPr>
        <w:t>LinkedIn</w:t>
      </w:r>
      <w:r>
        <w:rPr>
          <w:rFonts w:ascii="Arial" w:cs="Arial" w:eastAsia="Arial" w:hAnsi="Arial"/>
          <w:sz w:val="12"/>
          <w:szCs w:val="12"/>
          <w:color w:val="auto"/>
        </w:rPr>
        <w:t xml:space="preserve">, </w:t>
      </w:r>
      <w:r>
        <w:rPr>
          <w:rFonts w:ascii="Arial" w:cs="Arial" w:eastAsia="Arial" w:hAnsi="Arial"/>
          <w:sz w:val="12"/>
          <w:szCs w:val="12"/>
          <w:color w:val="0563C1"/>
        </w:rPr>
        <w:t>Facebook</w:t>
      </w:r>
      <w:r>
        <w:rPr>
          <w:rFonts w:ascii="Arial" w:cs="Arial" w:eastAsia="Arial" w:hAnsi="Arial"/>
          <w:sz w:val="12"/>
          <w:szCs w:val="12"/>
          <w:color w:val="auto"/>
        </w:rPr>
        <w:t xml:space="preserve"> and </w:t>
      </w:r>
      <w:r>
        <w:rPr>
          <w:rFonts w:ascii="Arial" w:cs="Arial" w:eastAsia="Arial" w:hAnsi="Arial"/>
          <w:sz w:val="12"/>
          <w:szCs w:val="12"/>
          <w:color w:val="0563C1"/>
        </w:rPr>
        <w:t>YouTube</w:t>
      </w:r>
      <w:r>
        <w:rPr>
          <w:rFonts w:ascii="Arial" w:cs="Arial" w:eastAsia="Arial" w:hAnsi="Arial"/>
          <w:sz w:val="12"/>
          <w:szCs w:val="12"/>
          <w:color w:val="auto"/>
        </w:rPr>
        <w:t>.</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Investor Relations Contact:</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Joel Kaufman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0563C1"/>
        </w:rPr>
        <w:t>investors@sema4.com</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Radley Moss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0563C1"/>
        </w:rPr>
        <w:t>radley.moss@sema4.com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8" w:hanging="68"/>
        <w:spacing w:after="0"/>
        <w:tabs>
          <w:tab w:leader="none" w:pos="68"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See our Non-GAAP to GAAP reconciliation in the tables at the conclusion of this release</w:t>
      </w:r>
    </w:p>
    <w:p>
      <w:pPr>
        <w:sectPr>
          <w:pgSz w:w="11900" w:h="16838" w:orient="portrait"/>
          <w:cols w:equalWidth="0" w:num="1">
            <w:col w:w="11308"/>
          </w:cols>
          <w:pgMar w:left="292" w:top="1135" w:right="299" w:bottom="1440" w:gutter="0" w:footer="0" w:header="0"/>
        </w:sectPr>
      </w:pPr>
    </w:p>
    <w:bookmarkStart w:id="6" w:name="page7"/>
    <w:bookmarkEnd w:id="6"/>
    <w:p>
      <w:pPr>
        <w:jc w:val="center"/>
        <w:ind w:right="-7"/>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Statements of Operations and Comprehensive Loss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thousands, except share amounts)</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3720" w:type="dxa"/>
            <w:vAlign w:val="bottom"/>
            <w:gridSpan w:val="5"/>
          </w:tcPr>
          <w:p>
            <w:pPr>
              <w:ind w:left="940"/>
              <w:spacing w:after="0"/>
              <w:rPr>
                <w:sz w:val="20"/>
                <w:szCs w:val="20"/>
                <w:color w:val="auto"/>
              </w:rPr>
            </w:pPr>
            <w:r>
              <w:rPr>
                <w:rFonts w:ascii="Arial" w:cs="Arial" w:eastAsia="Arial" w:hAnsi="Arial"/>
                <w:sz w:val="12"/>
                <w:szCs w:val="12"/>
                <w:b w:val="1"/>
                <w:bCs w:val="1"/>
                <w:color w:val="auto"/>
              </w:rPr>
              <w:t>Three months ended</w:t>
            </w:r>
          </w:p>
        </w:tc>
        <w:tc>
          <w:tcPr>
            <w:tcW w:w="2120" w:type="dxa"/>
            <w:vAlign w:val="bottom"/>
            <w:gridSpan w:val="3"/>
          </w:tcPr>
          <w:p>
            <w:pPr>
              <w:jc w:val="center"/>
              <w:ind w:left="800"/>
              <w:spacing w:after="0"/>
              <w:rPr>
                <w:sz w:val="20"/>
                <w:szCs w:val="20"/>
                <w:color w:val="auto"/>
              </w:rPr>
            </w:pPr>
            <w:r>
              <w:rPr>
                <w:rFonts w:ascii="Arial" w:cs="Arial" w:eastAsia="Arial" w:hAnsi="Arial"/>
                <w:sz w:val="12"/>
                <w:szCs w:val="12"/>
                <w:b w:val="1"/>
                <w:bCs w:val="1"/>
                <w:color w:val="auto"/>
                <w:w w:val="87"/>
              </w:rPr>
              <w:t>Twelve months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Pr>
          <w:p>
            <w:pPr>
              <w:spacing w:after="0"/>
              <w:rPr>
                <w:sz w:val="13"/>
                <w:szCs w:val="13"/>
                <w:color w:val="auto"/>
              </w:rPr>
            </w:pPr>
          </w:p>
        </w:tc>
        <w:tc>
          <w:tcPr>
            <w:tcW w:w="1880" w:type="dxa"/>
            <w:vAlign w:val="bottom"/>
            <w:tcBorders>
              <w:bottom w:val="single" w:sz="8" w:color="auto"/>
            </w:tcBorders>
            <w:gridSpan w:val="3"/>
          </w:tcPr>
          <w:p>
            <w:pPr>
              <w:jc w:val="center"/>
              <w:ind w:left="1040"/>
              <w:spacing w:after="0"/>
              <w:rPr>
                <w:sz w:val="20"/>
                <w:szCs w:val="20"/>
                <w:color w:val="auto"/>
              </w:rPr>
            </w:pPr>
            <w:r>
              <w:rPr>
                <w:rFonts w:ascii="Arial" w:cs="Arial" w:eastAsia="Arial" w:hAnsi="Arial"/>
                <w:sz w:val="12"/>
                <w:szCs w:val="12"/>
                <w:b w:val="1"/>
                <w:bCs w:val="1"/>
                <w:color w:val="auto"/>
                <w:w w:val="88"/>
              </w:rPr>
              <w:t>December 31</w:t>
            </w:r>
          </w:p>
        </w:tc>
        <w:tc>
          <w:tcPr>
            <w:tcW w:w="110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2120" w:type="dxa"/>
            <w:vAlign w:val="bottom"/>
            <w:tcBorders>
              <w:bottom w:val="single" w:sz="8" w:color="auto"/>
            </w:tcBorders>
            <w:gridSpan w:val="3"/>
          </w:tcPr>
          <w:p>
            <w:pPr>
              <w:ind w:left="1180"/>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60" w:type="dxa"/>
            <w:vAlign w:val="bottom"/>
          </w:tcPr>
          <w:p>
            <w:pPr>
              <w:spacing w:after="0"/>
              <w:rPr>
                <w:sz w:val="17"/>
                <w:szCs w:val="17"/>
                <w:color w:val="auto"/>
              </w:rPr>
            </w:pPr>
          </w:p>
        </w:tc>
        <w:tc>
          <w:tcPr>
            <w:tcW w:w="1320" w:type="dxa"/>
            <w:vAlign w:val="bottom"/>
            <w:vMerge w:val="restart"/>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9"/>
                <w:szCs w:val="9"/>
                <w:b w:val="1"/>
                <w:bCs w:val="1"/>
                <w:color w:val="auto"/>
              </w:rPr>
              <w:t>(Restated) (1)</w:t>
            </w:r>
          </w:p>
        </w:tc>
        <w:tc>
          <w:tcPr>
            <w:tcW w:w="1320" w:type="dxa"/>
            <w:vAlign w:val="bottom"/>
            <w:vMerge w:val="restart"/>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50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81"/>
        </w:trPr>
        <w:tc>
          <w:tcPr>
            <w:tcW w:w="45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(Restated) (1)</w:t>
            </w:r>
          </w:p>
        </w:tc>
        <w:tc>
          <w:tcPr>
            <w:tcW w:w="0" w:type="dxa"/>
            <w:vAlign w:val="bottom"/>
          </w:tcPr>
          <w:p>
            <w:pPr>
              <w:spacing w:after="0"/>
              <w:rPr>
                <w:sz w:val="1"/>
                <w:szCs w:val="1"/>
                <w:color w:val="auto"/>
              </w:rPr>
            </w:pPr>
          </w:p>
        </w:tc>
      </w:tr>
      <w:tr>
        <w:trPr>
          <w:trHeight w:val="45"/>
        </w:trPr>
        <w:tc>
          <w:tcPr>
            <w:tcW w:w="4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560" w:type="dxa"/>
            <w:vAlign w:val="bottom"/>
          </w:tcPr>
          <w:p>
            <w:pPr>
              <w:ind w:left="40"/>
              <w:spacing w:after="0"/>
              <w:rPr>
                <w:sz w:val="20"/>
                <w:szCs w:val="20"/>
                <w:color w:val="auto"/>
              </w:rPr>
            </w:pPr>
            <w:r>
              <w:rPr>
                <w:rFonts w:ascii="Arial" w:cs="Arial" w:eastAsia="Arial" w:hAnsi="Arial"/>
                <w:sz w:val="12"/>
                <w:szCs w:val="12"/>
                <w:b w:val="1"/>
                <w:bCs w:val="1"/>
                <w:color w:val="auto"/>
              </w:rPr>
              <w:t>Revenue</w:t>
            </w:r>
          </w:p>
        </w:tc>
        <w:tc>
          <w:tcPr>
            <w:tcW w:w="1880" w:type="dxa"/>
            <w:vAlign w:val="bottom"/>
            <w:tcBorders>
              <w:top w:val="single" w:sz="8" w:color="auto"/>
            </w:tcBorders>
            <w:gridSpan w:val="3"/>
          </w:tcPr>
          <w:p>
            <w:pPr>
              <w:jc w:val="center"/>
              <w:ind w:left="1040"/>
              <w:spacing w:after="0"/>
              <w:rPr>
                <w:sz w:val="20"/>
                <w:szCs w:val="20"/>
                <w:color w:val="auto"/>
              </w:rPr>
            </w:pPr>
            <w:r>
              <w:rPr>
                <w:rFonts w:ascii="Arial" w:cs="Arial" w:eastAsia="Arial" w:hAnsi="Arial"/>
                <w:sz w:val="12"/>
                <w:szCs w:val="12"/>
                <w:b w:val="1"/>
                <w:bCs w:val="1"/>
                <w:color w:val="auto"/>
                <w:w w:val="89"/>
              </w:rPr>
              <w:t>(in thousands)</w:t>
            </w:r>
          </w:p>
        </w:tc>
        <w:tc>
          <w:tcPr>
            <w:tcW w:w="11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Borders>
              <w:top w:val="single" w:sz="8" w:color="auto"/>
            </w:tcBorders>
            <w:gridSpan w:val="3"/>
          </w:tcPr>
          <w:p>
            <w:pPr>
              <w:jc w:val="center"/>
              <w:ind w:left="840"/>
              <w:spacing w:after="0"/>
              <w:rPr>
                <w:sz w:val="20"/>
                <w:szCs w:val="20"/>
                <w:color w:val="auto"/>
              </w:rPr>
            </w:pPr>
            <w:r>
              <w:rPr>
                <w:rFonts w:ascii="Arial" w:cs="Arial" w:eastAsia="Arial" w:hAnsi="Arial"/>
                <w:sz w:val="12"/>
                <w:szCs w:val="12"/>
                <w:b w:val="1"/>
                <w:bCs w:val="1"/>
                <w:color w:val="auto"/>
                <w:w w:val="89"/>
              </w:rPr>
              <w:t>(in thousands)</w:t>
            </w: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40"/>
              <w:spacing w:after="0"/>
              <w:rPr>
                <w:sz w:val="20"/>
                <w:szCs w:val="20"/>
                <w:color w:val="auto"/>
              </w:rPr>
            </w:pPr>
            <w:r>
              <w:rPr>
                <w:rFonts w:ascii="Arial" w:cs="Arial" w:eastAsia="Arial" w:hAnsi="Arial"/>
                <w:sz w:val="12"/>
                <w:szCs w:val="12"/>
                <w:color w:val="auto"/>
              </w:rPr>
              <w:t>Diagnostic test revenue</w:t>
            </w:r>
          </w:p>
        </w:tc>
        <w:tc>
          <w:tcPr>
            <w:tcW w:w="1320" w:type="dxa"/>
            <w:vAlign w:val="bottom"/>
          </w:tcPr>
          <w:p>
            <w:pPr>
              <w:jc w:val="right"/>
              <w:spacing w:after="0"/>
              <w:rPr>
                <w:sz w:val="20"/>
                <w:szCs w:val="20"/>
                <w:color w:val="auto"/>
              </w:rPr>
            </w:pPr>
            <w:r>
              <w:rPr>
                <w:rFonts w:ascii="Arial" w:cs="Arial" w:eastAsia="Arial" w:hAnsi="Arial"/>
                <w:sz w:val="12"/>
                <w:szCs w:val="12"/>
                <w:color w:val="auto"/>
              </w:rPr>
              <w:t>56,127</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61,592</w:t>
            </w:r>
          </w:p>
        </w:tc>
        <w:tc>
          <w:tcPr>
            <w:tcW w:w="7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205,100</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175,351</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Other revenue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1,674</w:t>
            </w:r>
          </w:p>
        </w:tc>
        <w:tc>
          <w:tcPr>
            <w:tcW w:w="3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2,365</w:t>
            </w:r>
          </w:p>
        </w:tc>
        <w:tc>
          <w:tcPr>
            <w:tcW w:w="7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7,095</w:t>
            </w:r>
          </w:p>
        </w:tc>
        <w:tc>
          <w:tcPr>
            <w:tcW w:w="3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3,971</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Total revenue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57,801</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63,957</w:t>
            </w:r>
          </w:p>
        </w:tc>
        <w:tc>
          <w:tcPr>
            <w:tcW w:w="7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212,195</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179,322</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Cost of services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60,607</w:t>
            </w:r>
          </w:p>
        </w:tc>
        <w:tc>
          <w:tcPr>
            <w:tcW w:w="3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69,631</w:t>
            </w:r>
          </w:p>
        </w:tc>
        <w:tc>
          <w:tcPr>
            <w:tcW w:w="7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228,797</w:t>
            </w: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175,296</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Gross (loss) profit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(5,674)</w:t>
            </w:r>
          </w:p>
        </w:tc>
        <w:tc>
          <w:tcPr>
            <w:tcW w:w="7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(16,602)</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4,026</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Research and 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31,160</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105,162</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72,700</w:t>
            </w:r>
          </w:p>
        </w:tc>
        <w:tc>
          <w:tcPr>
            <w:tcW w:w="0" w:type="dxa"/>
            <w:vAlign w:val="bottom"/>
          </w:tcPr>
          <w:p>
            <w:pPr>
              <w:spacing w:after="0"/>
              <w:rPr>
                <w:sz w:val="1"/>
                <w:szCs w:val="1"/>
                <w:color w:val="auto"/>
              </w:rPr>
            </w:pPr>
          </w:p>
        </w:tc>
      </w:tr>
      <w:tr>
        <w:trPr>
          <w:trHeight w:val="153"/>
        </w:trPr>
        <w:tc>
          <w:tcPr>
            <w:tcW w:w="4560" w:type="dxa"/>
            <w:vAlign w:val="bottom"/>
          </w:tcPr>
          <w:p>
            <w:pPr>
              <w:ind w:left="40"/>
              <w:spacing w:after="0"/>
              <w:rPr>
                <w:sz w:val="20"/>
                <w:szCs w:val="20"/>
                <w:color w:val="auto"/>
              </w:rPr>
            </w:pPr>
            <w:r>
              <w:rPr>
                <w:rFonts w:ascii="Arial" w:cs="Arial" w:eastAsia="Arial" w:hAnsi="Arial"/>
                <w:sz w:val="12"/>
                <w:szCs w:val="12"/>
                <w:color w:val="auto"/>
              </w:rPr>
              <w:t>Selling and marketing</w:t>
            </w:r>
          </w:p>
        </w:tc>
        <w:tc>
          <w:tcPr>
            <w:tcW w:w="1320" w:type="dxa"/>
            <w:vAlign w:val="bottom"/>
          </w:tcPr>
          <w:p>
            <w:pPr>
              <w:jc w:val="right"/>
              <w:spacing w:after="0"/>
              <w:rPr>
                <w:sz w:val="20"/>
                <w:szCs w:val="20"/>
                <w:color w:val="auto"/>
              </w:rPr>
            </w:pPr>
            <w:r>
              <w:rPr>
                <w:rFonts w:ascii="Arial" w:cs="Arial" w:eastAsia="Arial" w:hAnsi="Arial"/>
                <w:sz w:val="12"/>
                <w:szCs w:val="12"/>
                <w:color w:val="auto"/>
              </w:rPr>
              <w:t>30,646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23,940</w:t>
            </w:r>
          </w:p>
        </w:tc>
        <w:tc>
          <w:tcPr>
            <w:tcW w:w="7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112,738</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63,183</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General and administrative</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57,955</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61,115</w:t>
            </w:r>
          </w:p>
        </w:tc>
        <w:tc>
          <w:tcPr>
            <w:tcW w:w="7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205,988</w:t>
            </w: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100,742</w:t>
            </w:r>
          </w:p>
        </w:tc>
        <w:tc>
          <w:tcPr>
            <w:tcW w:w="0" w:type="dxa"/>
            <w:vAlign w:val="bottom"/>
          </w:tcPr>
          <w:p>
            <w:pPr>
              <w:spacing w:after="0"/>
              <w:rPr>
                <w:sz w:val="1"/>
                <w:szCs w:val="1"/>
                <w:color w:val="auto"/>
              </w:rPr>
            </w:pPr>
          </w:p>
        </w:tc>
      </w:tr>
      <w:tr>
        <w:trPr>
          <w:trHeight w:val="153"/>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Related party expenses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w:t>
            </w: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3,156</w:t>
            </w:r>
          </w:p>
        </w:tc>
        <w:tc>
          <w:tcPr>
            <w:tcW w:w="7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5,659</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9,395</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Loss from operations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(115,780)</w:t>
            </w:r>
          </w:p>
        </w:tc>
        <w:tc>
          <w:tcPr>
            <w:tcW w:w="3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(125,045)</w:t>
            </w:r>
          </w:p>
        </w:tc>
        <w:tc>
          <w:tcPr>
            <w:tcW w:w="7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(446,149)</w:t>
            </w: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(241,994)</w:t>
            </w:r>
          </w:p>
        </w:tc>
        <w:tc>
          <w:tcPr>
            <w:tcW w:w="0" w:type="dxa"/>
            <w:vAlign w:val="bottom"/>
          </w:tcPr>
          <w:p>
            <w:pPr>
              <w:spacing w:after="0"/>
              <w:rPr>
                <w:sz w:val="1"/>
                <w:szCs w:val="1"/>
                <w:color w:val="auto"/>
              </w:rPr>
            </w:pPr>
          </w:p>
        </w:tc>
      </w:tr>
      <w:tr>
        <w:trPr>
          <w:trHeight w:val="160"/>
        </w:trPr>
        <w:tc>
          <w:tcPr>
            <w:tcW w:w="45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other income (expense), net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75,595</w:t>
            </w:r>
          </w:p>
        </w:tc>
        <w:tc>
          <w:tcPr>
            <w:tcW w:w="3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7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200,759</w:t>
            </w: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42"/>
        </w:trPr>
        <w:tc>
          <w:tcPr>
            <w:tcW w:w="4560" w:type="dxa"/>
            <w:vAlign w:val="bottom"/>
          </w:tcPr>
          <w:p>
            <w:pPr>
              <w:ind w:left="40"/>
              <w:spacing w:after="0"/>
              <w:rPr>
                <w:sz w:val="20"/>
                <w:szCs w:val="20"/>
                <w:color w:val="auto"/>
              </w:rPr>
            </w:pPr>
            <w:r>
              <w:rPr>
                <w:rFonts w:ascii="Arial" w:cs="Arial" w:eastAsia="Arial" w:hAnsi="Arial"/>
                <w:sz w:val="12"/>
                <w:szCs w:val="12"/>
                <w:b w:val="1"/>
                <w:bCs w:val="1"/>
                <w:color w:val="auto"/>
              </w:rPr>
              <w:t>Loss before income taxes</w:t>
            </w:r>
          </w:p>
        </w:tc>
        <w:tc>
          <w:tcPr>
            <w:tcW w:w="1320" w:type="dxa"/>
            <w:vAlign w:val="bottom"/>
          </w:tcPr>
          <w:p>
            <w:pPr>
              <w:jc w:val="right"/>
              <w:spacing w:after="0"/>
              <w:rPr>
                <w:sz w:val="20"/>
                <w:szCs w:val="20"/>
                <w:color w:val="auto"/>
              </w:rPr>
            </w:pPr>
            <w:r>
              <w:rPr>
                <w:rFonts w:ascii="Arial" w:cs="Arial" w:eastAsia="Arial" w:hAnsi="Arial"/>
                <w:sz w:val="12"/>
                <w:szCs w:val="12"/>
                <w:color w:val="auto"/>
              </w:rPr>
              <w:t>(40,185)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(125,683)</w:t>
            </w:r>
          </w:p>
        </w:tc>
        <w:tc>
          <w:tcPr>
            <w:tcW w:w="7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(245,390)</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(241,340)</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Income tax provision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Net loss and comprehensive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(40,185)</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(125,683)</w:t>
            </w:r>
          </w:p>
        </w:tc>
        <w:tc>
          <w:tcPr>
            <w:tcW w:w="7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(245,390)</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(241,340)</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Weighted average shares outstanding of Class A common stock for basic earnings</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241,492,752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19,991</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108,077,439</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5,131</w:t>
            </w:r>
          </w:p>
        </w:tc>
        <w:tc>
          <w:tcPr>
            <w:tcW w:w="0" w:type="dxa"/>
            <w:vAlign w:val="bottom"/>
          </w:tcPr>
          <w:p>
            <w:pPr>
              <w:spacing w:after="0"/>
              <w:rPr>
                <w:sz w:val="1"/>
                <w:szCs w:val="1"/>
                <w:color w:val="auto"/>
              </w:rPr>
            </w:pPr>
          </w:p>
        </w:tc>
      </w:tr>
      <w:tr>
        <w:trPr>
          <w:trHeight w:val="157"/>
        </w:trPr>
        <w:tc>
          <w:tcPr>
            <w:tcW w:w="4560" w:type="dxa"/>
            <w:vAlign w:val="bottom"/>
          </w:tcPr>
          <w:p>
            <w:pPr>
              <w:ind w:left="40"/>
              <w:spacing w:after="0"/>
              <w:rPr>
                <w:sz w:val="20"/>
                <w:szCs w:val="20"/>
                <w:color w:val="auto"/>
              </w:rPr>
            </w:pPr>
            <w:r>
              <w:rPr>
                <w:rFonts w:ascii="Arial" w:cs="Arial" w:eastAsia="Arial" w:hAnsi="Arial"/>
                <w:sz w:val="12"/>
                <w:szCs w:val="12"/>
                <w:b w:val="1"/>
                <w:bCs w:val="1"/>
                <w:color w:val="auto"/>
              </w:rPr>
              <w:t>Basic net loss per share, Class A common stock</w:t>
            </w:r>
          </w:p>
        </w:tc>
        <w:tc>
          <w:tcPr>
            <w:tcW w:w="1320" w:type="dxa"/>
            <w:vAlign w:val="bottom"/>
          </w:tcPr>
          <w:p>
            <w:pPr>
              <w:jc w:val="right"/>
              <w:ind w:right="220"/>
              <w:spacing w:after="0"/>
              <w:rPr>
                <w:sz w:val="20"/>
                <w:szCs w:val="20"/>
                <w:color w:val="auto"/>
              </w:rPr>
            </w:pPr>
            <w:r>
              <w:rPr>
                <w:rFonts w:ascii="Arial" w:cs="Arial" w:eastAsia="Arial" w:hAnsi="Arial"/>
                <w:sz w:val="12"/>
                <w:szCs w:val="12"/>
                <w:color w:val="auto"/>
              </w:rPr>
              <w:t>(0.17)</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40"/>
              <w:spacing w:after="0"/>
              <w:rPr>
                <w:sz w:val="20"/>
                <w:szCs w:val="20"/>
                <w:color w:val="auto"/>
              </w:rPr>
            </w:pPr>
            <w:r>
              <w:rPr>
                <w:rFonts w:ascii="Arial" w:cs="Arial" w:eastAsia="Arial" w:hAnsi="Arial"/>
                <w:sz w:val="12"/>
                <w:szCs w:val="12"/>
                <w:color w:val="auto"/>
              </w:rPr>
              <w:t>(6,287)</w:t>
            </w:r>
          </w:p>
        </w:tc>
        <w:tc>
          <w:tcPr>
            <w:tcW w:w="74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(2.27)</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241"/>
              <w:spacing w:after="0"/>
              <w:rPr>
                <w:sz w:val="20"/>
                <w:szCs w:val="20"/>
                <w:color w:val="auto"/>
              </w:rPr>
            </w:pPr>
            <w:r>
              <w:rPr>
                <w:rFonts w:ascii="Arial" w:cs="Arial" w:eastAsia="Arial" w:hAnsi="Arial"/>
                <w:sz w:val="12"/>
                <w:szCs w:val="12"/>
                <w:color w:val="auto"/>
              </w:rPr>
              <w:t>(47,036)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 w:right="20" w:hanging="8"/>
        <w:spacing w:after="0" w:line="272" w:lineRule="auto"/>
        <w:tabs>
          <w:tab w:leader="none" w:pos="178" w:val="left"/>
        </w:tabs>
        <w:numPr>
          <w:ilvl w:val="0"/>
          <w:numId w:val="6"/>
        </w:numPr>
        <w:rPr>
          <w:rFonts w:ascii="Arial" w:cs="Arial" w:eastAsia="Arial" w:hAnsi="Arial"/>
          <w:sz w:val="11"/>
          <w:szCs w:val="11"/>
          <w:color w:val="auto"/>
        </w:rPr>
      </w:pPr>
      <w:r>
        <w:rPr>
          <w:rFonts w:ascii="Arial" w:cs="Arial" w:eastAsia="Arial" w:hAnsi="Arial"/>
          <w:sz w:val="11"/>
          <w:szCs w:val="11"/>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that is included in our 2021 10-K that will be filed on March 14, 2022 for further information.</w:t>
      </w:r>
    </w:p>
    <w:p>
      <w:pPr>
        <w:sectPr>
          <w:pgSz w:w="11900" w:h="16838" w:orient="portrait"/>
          <w:cols w:equalWidth="0" w:num="1">
            <w:col w:w="11308"/>
          </w:cols>
          <w:pgMar w:left="292" w:top="1135" w:right="299" w:bottom="1440" w:gutter="0" w:footer="0" w:header="0"/>
        </w:sectPr>
      </w:pPr>
    </w:p>
    <w:bookmarkStart w:id="7" w:name="page8"/>
    <w:bookmarkEnd w:id="7"/>
    <w:p>
      <w:pPr>
        <w:jc w:val="center"/>
        <w:ind w:right="-112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Balance Sheets</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and per share amounts)</w:t>
      </w:r>
    </w:p>
    <w:p>
      <w:pPr>
        <w:spacing w:after="0" w:line="152" w:lineRule="exact"/>
        <w:rPr>
          <w:sz w:val="20"/>
          <w:szCs w:val="20"/>
          <w:color w:val="auto"/>
        </w:rPr>
      </w:pPr>
    </w:p>
    <w:p>
      <w:pPr>
        <w:ind w:left="8140"/>
        <w:spacing w:after="0"/>
        <w:rPr>
          <w:sz w:val="20"/>
          <w:szCs w:val="20"/>
          <w:color w:val="auto"/>
        </w:rPr>
      </w:pPr>
      <w:r>
        <w:rPr>
          <w:rFonts w:ascii="Arial" w:cs="Arial" w:eastAsia="Arial" w:hAnsi="Arial"/>
          <w:sz w:val="8"/>
          <w:szCs w:val="8"/>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7000" w:type="dxa"/>
            <w:vAlign w:val="bottom"/>
            <w:tcBorders>
              <w:bottom w:val="single" w:sz="8" w:color="CCEEFF"/>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2021</w:t>
            </w:r>
          </w:p>
        </w:tc>
        <w:tc>
          <w:tcPr>
            <w:tcW w:w="1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CCEEFF"/>
            </w:tcBorders>
          </w:tcPr>
          <w:p>
            <w:pPr>
              <w:spacing w:after="0"/>
              <w:rPr>
                <w:sz w:val="9"/>
                <w:szCs w:val="9"/>
                <w:color w:val="auto"/>
              </w:rPr>
            </w:pPr>
          </w:p>
        </w:tc>
        <w:tc>
          <w:tcPr>
            <w:tcW w:w="10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8"/>
                <w:szCs w:val="8"/>
                <w:b w:val="1"/>
                <w:bCs w:val="1"/>
                <w:color w:val="auto"/>
              </w:rPr>
              <w:t>2020</w:t>
            </w:r>
          </w:p>
        </w:tc>
        <w:tc>
          <w:tcPr>
            <w:tcW w:w="340" w:type="dxa"/>
            <w:vAlign w:val="bottom"/>
            <w:tcBorders>
              <w:top w:val="single" w:sz="8" w:color="auto"/>
              <w:bottom w:val="single" w:sz="8" w:color="auto"/>
            </w:tcBorders>
          </w:tcPr>
          <w:p>
            <w:pPr>
              <w:spacing w:after="0"/>
              <w:rPr>
                <w:sz w:val="9"/>
                <w:szCs w:val="9"/>
                <w:color w:val="auto"/>
              </w:rPr>
            </w:pPr>
          </w:p>
        </w:tc>
      </w:tr>
      <w:tr>
        <w:trPr>
          <w:trHeight w:val="111"/>
        </w:trPr>
        <w:tc>
          <w:tcPr>
            <w:tcW w:w="700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Assets</w:t>
            </w: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Current assets:</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Cash and cash equivalents</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400,569</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108,132</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Accounts receivable, net</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26,509</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32,044</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Due from related parties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Inventory, net</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33,456</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24,962</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Prepaid expenses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19,154</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4,557</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Other current assets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3,802</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4,124</w:t>
            </w:r>
          </w:p>
        </w:tc>
      </w:tr>
      <w:tr>
        <w:trPr>
          <w:trHeight w:val="117"/>
        </w:trPr>
        <w:tc>
          <w:tcPr>
            <w:tcW w:w="7000" w:type="dxa"/>
            <w:vAlign w:val="bottom"/>
            <w:tcBorders>
              <w:top w:val="single" w:sz="8" w:color="CCEEFF"/>
            </w:tcBorders>
            <w:shd w:val="clear" w:color="auto" w:fill="CCEEFF"/>
          </w:tcPr>
          <w:p>
            <w:pPr>
              <w:ind w:left="160"/>
              <w:spacing w:after="0" w:line="110" w:lineRule="exact"/>
              <w:rPr>
                <w:sz w:val="20"/>
                <w:szCs w:val="20"/>
                <w:color w:val="auto"/>
              </w:rPr>
            </w:pPr>
            <w:r>
              <w:rPr>
                <w:rFonts w:ascii="Arial" w:cs="Arial" w:eastAsia="Arial" w:hAnsi="Arial"/>
                <w:sz w:val="10"/>
                <w:szCs w:val="10"/>
                <w:color w:val="auto"/>
              </w:rPr>
              <w:t>Total current assets</w:t>
            </w: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8"/>
              </w:rPr>
              <w:t>483,544</w:t>
            </w: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8"/>
              </w:rPr>
              <w:t>174,108</w:t>
            </w: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Property and equipment, net</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62,719</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63,110</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Restricted cash</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10,828</w:t>
            </w:r>
          </w:p>
        </w:tc>
      </w:tr>
      <w:tr>
        <w:trPr>
          <w:trHeight w:val="12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assets</w:t>
            </w: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6,930</w:t>
            </w:r>
          </w:p>
        </w:tc>
        <w:tc>
          <w:tcPr>
            <w:tcW w:w="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3,596</w:t>
            </w:r>
          </w:p>
        </w:tc>
      </w:tr>
      <w:tr>
        <w:trPr>
          <w:trHeight w:val="137"/>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assets</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554,093</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251,642</w:t>
            </w:r>
          </w:p>
        </w:tc>
      </w:tr>
      <w:tr>
        <w:trPr>
          <w:trHeight w:val="101"/>
        </w:trPr>
        <w:tc>
          <w:tcPr>
            <w:tcW w:w="7000" w:type="dxa"/>
            <w:vAlign w:val="bottom"/>
            <w:tcBorders>
              <w:top w:val="single" w:sz="8" w:color="CCEEFF"/>
            </w:tcBorders>
          </w:tcPr>
          <w:p>
            <w:pPr>
              <w:spacing w:after="0" w:line="102" w:lineRule="exact"/>
              <w:rPr>
                <w:sz w:val="20"/>
                <w:szCs w:val="20"/>
                <w:color w:val="auto"/>
              </w:rPr>
            </w:pPr>
            <w:r>
              <w:rPr>
                <w:rFonts w:ascii="Arial" w:cs="Arial" w:eastAsia="Arial" w:hAnsi="Arial"/>
                <w:sz w:val="10"/>
                <w:szCs w:val="10"/>
                <w:b w:val="1"/>
                <w:bCs w:val="1"/>
                <w:color w:val="auto"/>
              </w:rPr>
              <w:t>Liabilities, Redeemable Convertible Preferred Stock and Stockholders’ Equity (Deficit)</w:t>
            </w:r>
          </w:p>
        </w:tc>
        <w:tc>
          <w:tcPr>
            <w:tcW w:w="8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r>
      <w:tr>
        <w:trPr>
          <w:trHeight w:val="21"/>
        </w:trPr>
        <w:tc>
          <w:tcPr>
            <w:tcW w:w="7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26"/>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Accounts payable</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44,693</w:t>
            </w:r>
          </w:p>
        </w:tc>
        <w:tc>
          <w:tcPr>
            <w:tcW w:w="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26,737</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Accrued expenses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20,108</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11,854</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Due to related parties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2,623</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1,425</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Current portion of capital lease obligations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3,419</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3,506</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Contract liabilities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473</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1,783</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Other current liabilities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29,968</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28,137</w:t>
            </w:r>
          </w:p>
        </w:tc>
      </w:tr>
      <w:tr>
        <w:trPr>
          <w:trHeight w:val="113"/>
        </w:trPr>
        <w:tc>
          <w:tcPr>
            <w:tcW w:w="7000" w:type="dxa"/>
            <w:vAlign w:val="bottom"/>
          </w:tcPr>
          <w:p>
            <w:pPr>
              <w:ind w:left="140"/>
              <w:spacing w:after="0" w:line="107" w:lineRule="exact"/>
              <w:rPr>
                <w:sz w:val="20"/>
                <w:szCs w:val="20"/>
                <w:color w:val="auto"/>
              </w:rPr>
            </w:pPr>
            <w:r>
              <w:rPr>
                <w:rFonts w:ascii="Arial" w:cs="Arial" w:eastAsia="Arial" w:hAnsi="Arial"/>
                <w:sz w:val="10"/>
                <w:szCs w:val="10"/>
                <w:color w:val="auto"/>
              </w:rPr>
              <w:t>Total current liabilities</w:t>
            </w: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w w:val="88"/>
              </w:rPr>
              <w:t>101,284</w:t>
            </w: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73,442</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Long-term debt, net of current portion</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11,000</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18,971</w:t>
            </w: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Stock-based compensation liabilities</w:t>
            </w:r>
          </w:p>
        </w:tc>
        <w:tc>
          <w:tcPr>
            <w:tcW w:w="1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88"/>
              </w:rPr>
              <w:t>131,989</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Capital lease obligations, net of current portion</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18,427</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20,778</w:t>
            </w: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3,480</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2,074</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Warrant liability</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21,555</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Earn-out contingent liability</w:t>
            </w: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10,244</w:t>
            </w:r>
          </w:p>
        </w:tc>
        <w:tc>
          <w:tcPr>
            <w:tcW w:w="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liabilities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165,990</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247,254</w:t>
            </w:r>
          </w:p>
        </w:tc>
      </w:tr>
      <w:tr>
        <w:trPr>
          <w:trHeight w:val="126"/>
        </w:trPr>
        <w:tc>
          <w:tcPr>
            <w:tcW w:w="700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r>
      <w:tr>
        <w:trPr>
          <w:trHeight w:val="126"/>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Commitments and contingencies (Note 9)</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44"/>
        </w:trPr>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26"/>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Redeemable convertible preferred stock:</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17"/>
        </w:trPr>
        <w:tc>
          <w:tcPr>
            <w:tcW w:w="7820" w:type="dxa"/>
            <w:vAlign w:val="bottom"/>
            <w:gridSpan w:val="2"/>
          </w:tcPr>
          <w:p>
            <w:pPr>
              <w:ind w:left="160"/>
              <w:spacing w:after="0"/>
              <w:rPr>
                <w:sz w:val="20"/>
                <w:szCs w:val="20"/>
                <w:color w:val="auto"/>
              </w:rPr>
            </w:pPr>
            <w:r>
              <w:rPr>
                <w:rFonts w:ascii="Arial" w:cs="Arial" w:eastAsia="Arial" w:hAnsi="Arial"/>
                <w:sz w:val="10"/>
                <w:szCs w:val="10"/>
                <w:color w:val="auto"/>
                <w:w w:val="98"/>
              </w:rPr>
              <w:t>Series A-1 redeemable convertible preferred stock, $0.00001 par value: 0 and 55,399,943 shares authorized, issued and outstanding at December 31, 2021 and December 31,</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7820" w:type="dxa"/>
            <w:vAlign w:val="bottom"/>
            <w:gridSpan w:val="2"/>
          </w:tcPr>
          <w:p>
            <w:pPr>
              <w:ind w:left="280"/>
              <w:spacing w:after="0"/>
              <w:rPr>
                <w:sz w:val="20"/>
                <w:szCs w:val="20"/>
                <w:color w:val="auto"/>
              </w:rPr>
            </w:pPr>
            <w:r>
              <w:rPr>
                <w:rFonts w:ascii="Arial" w:cs="Arial" w:eastAsia="Arial" w:hAnsi="Arial"/>
                <w:sz w:val="10"/>
                <w:szCs w:val="10"/>
                <w:color w:val="auto"/>
              </w:rPr>
              <w:t>2020, respectively; aggregate liquidation preference of $0 and $55,000 at December 31, 2021 and December 31, 2020, respectively</w:t>
            </w:r>
          </w:p>
        </w:tc>
        <w:tc>
          <w:tcPr>
            <w:tcW w:w="1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51,811</w:t>
            </w:r>
          </w:p>
        </w:tc>
      </w:tr>
      <w:tr>
        <w:trPr>
          <w:trHeight w:val="121"/>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97"/>
              </w:rPr>
              <w:t>Series A-2 redeemable convertible preferred stock, $0.00001 par value: 0 and 64,718,940 shares authorized at December 31, 2021 and December 31, 2020, respectively; 0 and</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90"/>
        </w:trPr>
        <w:tc>
          <w:tcPr>
            <w:tcW w:w="7820" w:type="dxa"/>
            <w:vAlign w:val="bottom"/>
            <w:gridSpan w:val="2"/>
            <w:shd w:val="clear" w:color="auto" w:fill="CCEEFF"/>
          </w:tcPr>
          <w:p>
            <w:pPr>
              <w:ind w:left="280"/>
              <w:spacing w:after="0" w:line="90" w:lineRule="exact"/>
              <w:rPr>
                <w:sz w:val="20"/>
                <w:szCs w:val="20"/>
                <w:color w:val="auto"/>
              </w:rPr>
            </w:pPr>
            <w:r>
              <w:rPr>
                <w:rFonts w:ascii="Arial" w:cs="Arial" w:eastAsia="Arial" w:hAnsi="Arial"/>
                <w:sz w:val="10"/>
                <w:szCs w:val="10"/>
                <w:color w:val="auto"/>
                <w:w w:val="99"/>
              </w:rPr>
              <w:t>49,700,364 shares authorized, issued and outstanding at December 31, 2021 and December 31, 2020, respectively; aggregate liquidation preference of $0 and $49,342 at</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r>
      <w:tr>
        <w:trPr>
          <w:trHeight w:val="153"/>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December 31, 2021 and December 31, 2020, respectively</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46,480</w:t>
            </w:r>
          </w:p>
        </w:tc>
      </w:tr>
      <w:tr>
        <w:trPr>
          <w:trHeight w:val="117"/>
        </w:trPr>
        <w:tc>
          <w:tcPr>
            <w:tcW w:w="7820" w:type="dxa"/>
            <w:vAlign w:val="bottom"/>
            <w:gridSpan w:val="2"/>
          </w:tcPr>
          <w:p>
            <w:pPr>
              <w:ind w:left="160"/>
              <w:spacing w:after="0"/>
              <w:rPr>
                <w:sz w:val="20"/>
                <w:szCs w:val="20"/>
                <w:color w:val="auto"/>
              </w:rPr>
            </w:pPr>
            <w:r>
              <w:rPr>
                <w:rFonts w:ascii="Arial" w:cs="Arial" w:eastAsia="Arial" w:hAnsi="Arial"/>
                <w:sz w:val="10"/>
                <w:szCs w:val="10"/>
                <w:color w:val="auto"/>
                <w:w w:val="96"/>
              </w:rPr>
              <w:t>Series B redeemable convertible preferred stock, $0.00001 par value: 0 and 41,937,960 shares authorized, issued and outstanding at December 31, 2021 and December 31, 2020,</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7820" w:type="dxa"/>
            <w:vAlign w:val="bottom"/>
            <w:gridSpan w:val="2"/>
          </w:tcPr>
          <w:p>
            <w:pPr>
              <w:ind w:left="280"/>
              <w:spacing w:after="0"/>
              <w:rPr>
                <w:sz w:val="20"/>
                <w:szCs w:val="20"/>
                <w:color w:val="auto"/>
              </w:rPr>
            </w:pPr>
            <w:r>
              <w:rPr>
                <w:rFonts w:ascii="Arial" w:cs="Arial" w:eastAsia="Arial" w:hAnsi="Arial"/>
                <w:sz w:val="10"/>
                <w:szCs w:val="10"/>
                <w:color w:val="auto"/>
              </w:rPr>
              <w:t>respectively; aggregate liquidation preference of $0 and $204,302 at December 31, 2021and December 31, 2020, respectively</w:t>
            </w:r>
          </w:p>
        </w:tc>
        <w:tc>
          <w:tcPr>
            <w:tcW w:w="1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88"/>
              </w:rPr>
              <w:t>118,824</w:t>
            </w:r>
          </w:p>
        </w:tc>
      </w:tr>
      <w:tr>
        <w:trPr>
          <w:trHeight w:val="121"/>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98"/>
              </w:rPr>
              <w:t>Series C redeemable convertible preferred stock, $0.00001 par value: 0 and 24,497,317 shares authorized at December 31, 2021 and December 31, 2020, respectively; 0 and</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90"/>
        </w:trPr>
        <w:tc>
          <w:tcPr>
            <w:tcW w:w="7820" w:type="dxa"/>
            <w:vAlign w:val="bottom"/>
            <w:gridSpan w:val="2"/>
            <w:shd w:val="clear" w:color="auto" w:fill="CCEEFF"/>
          </w:tcPr>
          <w:p>
            <w:pPr>
              <w:ind w:left="280"/>
              <w:spacing w:after="0" w:line="90" w:lineRule="exact"/>
              <w:rPr>
                <w:sz w:val="20"/>
                <w:szCs w:val="20"/>
                <w:color w:val="auto"/>
              </w:rPr>
            </w:pPr>
            <w:r>
              <w:rPr>
                <w:rFonts w:ascii="Arial" w:cs="Arial" w:eastAsia="Arial" w:hAnsi="Arial"/>
                <w:sz w:val="10"/>
                <w:szCs w:val="10"/>
                <w:color w:val="auto"/>
                <w:w w:val="97"/>
              </w:rPr>
              <w:t>24,496,946 shares issued and outstanding at December 31, 2021 and December 31, 2020, respectively; aggregate liquidation preference of $0 and $121,397 at December 31,</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r>
      <w:tr>
        <w:trPr>
          <w:trHeight w:val="153"/>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2021 and December 31, 2020, respectively</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117,324</w:t>
            </w:r>
          </w:p>
        </w:tc>
      </w:tr>
      <w:tr>
        <w:trPr>
          <w:trHeight w:val="113"/>
        </w:trPr>
        <w:tc>
          <w:tcPr>
            <w:tcW w:w="7000" w:type="dxa"/>
            <w:vAlign w:val="bottom"/>
          </w:tcPr>
          <w:p>
            <w:pPr>
              <w:ind w:left="140"/>
              <w:spacing w:after="0" w:line="107" w:lineRule="exact"/>
              <w:rPr>
                <w:sz w:val="20"/>
                <w:szCs w:val="20"/>
                <w:color w:val="auto"/>
              </w:rPr>
            </w:pPr>
            <w:r>
              <w:rPr>
                <w:rFonts w:ascii="Arial" w:cs="Arial" w:eastAsia="Arial" w:hAnsi="Arial"/>
                <w:sz w:val="10"/>
                <w:szCs w:val="10"/>
                <w:color w:val="auto"/>
              </w:rPr>
              <w:t>Redeemable convertible preferred stock</w:t>
            </w: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w w:val="88"/>
              </w:rPr>
              <w:t>334,439</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Stockholders’ equity (deficit):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bl>
    <w:p>
      <w:pPr>
        <w:sectPr>
          <w:pgSz w:w="11900" w:h="16838" w:orient="portrait"/>
          <w:cols w:equalWidth="0" w:num="1">
            <w:col w:w="10159"/>
          </w:cols>
          <w:pgMar w:left="300" w:top="1135"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0" w:type="dxa"/>
            <w:vAlign w:val="bottom"/>
          </w:tcPr>
          <w:p>
            <w:pPr>
              <w:ind w:left="120"/>
              <w:spacing w:after="0"/>
              <w:rPr>
                <w:sz w:val="20"/>
                <w:szCs w:val="20"/>
                <w:color w:val="auto"/>
              </w:rPr>
            </w:pPr>
            <w:r>
              <w:rPr>
                <w:rFonts w:ascii="Arial" w:cs="Arial" w:eastAsia="Arial" w:hAnsi="Arial"/>
                <w:sz w:val="10"/>
                <w:szCs w:val="10"/>
                <w:color w:val="auto"/>
                <w:w w:val="86"/>
              </w:rPr>
              <w:t>Preferred Stock, $0.0001 par value: 1,000,000 and 0 shares authorized at December 31, 2021 and December 31, 2020, respectively; 0 shares issued and outstanding at December</w:t>
            </w: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9"/>
        </w:trPr>
        <w:tc>
          <w:tcPr>
            <w:tcW w:w="7000" w:type="dxa"/>
            <w:vAlign w:val="bottom"/>
          </w:tcPr>
          <w:p>
            <w:pPr>
              <w:ind w:left="220"/>
              <w:spacing w:after="0"/>
              <w:rPr>
                <w:sz w:val="20"/>
                <w:szCs w:val="20"/>
                <w:color w:val="auto"/>
              </w:rPr>
            </w:pPr>
            <w:r>
              <w:rPr>
                <w:rFonts w:ascii="Arial" w:cs="Arial" w:eastAsia="Arial" w:hAnsi="Arial"/>
                <w:sz w:val="10"/>
                <w:szCs w:val="10"/>
                <w:color w:val="auto"/>
              </w:rPr>
              <w:t>31, 2021 and December 31, 2020, respectively</w:t>
            </w:r>
          </w:p>
        </w:tc>
        <w:tc>
          <w:tcPr>
            <w:tcW w:w="1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1"/>
        </w:trPr>
        <w:tc>
          <w:tcPr>
            <w:tcW w:w="7000" w:type="dxa"/>
            <w:vAlign w:val="bottom"/>
            <w:shd w:val="clear" w:color="auto" w:fill="CCEEFF"/>
          </w:tcPr>
          <w:p>
            <w:pPr>
              <w:ind w:left="120"/>
              <w:spacing w:after="0"/>
              <w:rPr>
                <w:sz w:val="20"/>
                <w:szCs w:val="20"/>
                <w:color w:val="auto"/>
              </w:rPr>
            </w:pPr>
            <w:r>
              <w:rPr>
                <w:rFonts w:ascii="Arial" w:cs="Arial" w:eastAsia="Arial" w:hAnsi="Arial"/>
                <w:sz w:val="10"/>
                <w:szCs w:val="10"/>
                <w:color w:val="auto"/>
                <w:w w:val="92"/>
              </w:rPr>
              <w:t>Class A common stock, $0.0001 par value: 380,000,000 shares authorized, 242,647,604 shares issued and outstanding at December 31, 2021 and $0.00001 par value:</w:t>
            </w: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309,584,750 shares authorized, 124 shares issued and outstanding at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000" w:type="dxa"/>
            <w:vAlign w:val="bottom"/>
          </w:tcPr>
          <w:p>
            <w:pPr>
              <w:ind w:left="120"/>
              <w:spacing w:after="0"/>
              <w:rPr>
                <w:sz w:val="20"/>
                <w:szCs w:val="20"/>
                <w:color w:val="auto"/>
              </w:rPr>
            </w:pPr>
            <w:r>
              <w:rPr>
                <w:rFonts w:ascii="Arial" w:cs="Arial" w:eastAsia="Arial" w:hAnsi="Arial"/>
                <w:sz w:val="10"/>
                <w:szCs w:val="10"/>
                <w:color w:val="auto"/>
                <w:w w:val="87"/>
              </w:rPr>
              <w:t>Class B convertible common stock, $0.00001 par value: 0 and 18,575,085 shares authorized at December 31, 2021 and December 31, 2020, respectively; 0 and 130,557 shares</w:t>
            </w: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9"/>
        </w:trPr>
        <w:tc>
          <w:tcPr>
            <w:tcW w:w="7000" w:type="dxa"/>
            <w:vAlign w:val="bottom"/>
          </w:tcPr>
          <w:p>
            <w:pPr>
              <w:ind w:left="220"/>
              <w:spacing w:after="0"/>
              <w:rPr>
                <w:sz w:val="20"/>
                <w:szCs w:val="20"/>
                <w:color w:val="auto"/>
              </w:rPr>
            </w:pPr>
            <w:r>
              <w:rPr>
                <w:rFonts w:ascii="Arial" w:cs="Arial" w:eastAsia="Arial" w:hAnsi="Arial"/>
                <w:sz w:val="10"/>
                <w:szCs w:val="10"/>
                <w:color w:val="auto"/>
              </w:rPr>
              <w:t>issued and outstanding at December 31, 2021 and December 31, 2020, respectively</w:t>
            </w:r>
          </w:p>
        </w:tc>
        <w:tc>
          <w:tcPr>
            <w:tcW w:w="1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0"/>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Additional paid-in capital</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963,520</w:t>
            </w:r>
          </w:p>
        </w:tc>
        <w:tc>
          <w:tcPr>
            <w:tcW w:w="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Accumulated deficit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(575,441)</w:t>
            </w:r>
          </w:p>
        </w:tc>
        <w:tc>
          <w:tcPr>
            <w:tcW w:w="6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(330,051)</w:t>
            </w:r>
          </w:p>
        </w:tc>
      </w:tr>
      <w:tr>
        <w:trPr>
          <w:trHeight w:val="115"/>
        </w:trPr>
        <w:tc>
          <w:tcPr>
            <w:tcW w:w="700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stockholders’ equity (deficit)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388,103</w:t>
            </w:r>
          </w:p>
        </w:tc>
        <w:tc>
          <w:tcPr>
            <w:tcW w:w="60" w:type="dxa"/>
            <w:vAlign w:val="bottom"/>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(330,051)</w:t>
            </w:r>
          </w:p>
        </w:tc>
      </w:tr>
      <w:tr>
        <w:trPr>
          <w:trHeight w:val="122"/>
        </w:trPr>
        <w:tc>
          <w:tcPr>
            <w:tcW w:w="7000" w:type="dxa"/>
            <w:vAlign w:val="bottom"/>
          </w:tcPr>
          <w:p>
            <w:pPr>
              <w:ind w:left="160"/>
              <w:spacing w:after="0"/>
              <w:rPr>
                <w:sz w:val="20"/>
                <w:szCs w:val="20"/>
                <w:color w:val="auto"/>
              </w:rPr>
            </w:pPr>
            <w:r>
              <w:rPr>
                <w:rFonts w:ascii="Arial" w:cs="Arial" w:eastAsia="Arial" w:hAnsi="Arial"/>
                <w:sz w:val="10"/>
                <w:szCs w:val="10"/>
                <w:color w:val="auto"/>
              </w:rPr>
              <w:t>Total liabilities, redeemable convertible preferred stock and stockholders’ equity (deficit)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554,093</w:t>
            </w:r>
          </w:p>
        </w:tc>
        <w:tc>
          <w:tcPr>
            <w:tcW w:w="60" w:type="dxa"/>
            <w:vAlign w:val="bottom"/>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251,642</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59"/>
          </w:cols>
          <w:pgMar w:left="300" w:top="1159" w:right="1440" w:bottom="1440" w:gutter="0" w:footer="0" w:header="0"/>
        </w:sectPr>
      </w:pPr>
    </w:p>
    <w:bookmarkStart w:id="9" w:name="page10"/>
    <w:bookmarkEnd w:id="9"/>
    <w:p>
      <w:pPr>
        <w:jc w:val="center"/>
        <w:ind w:right="-112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1360" w:type="dxa"/>
            <w:vAlign w:val="bottom"/>
            <w:tcBorders>
              <w:bottom w:val="single" w:sz="8" w:color="auto"/>
            </w:tcBorders>
          </w:tcPr>
          <w:p>
            <w:pPr>
              <w:spacing w:after="0"/>
              <w:rPr>
                <w:sz w:val="11"/>
                <w:szCs w:val="11"/>
                <w:color w:val="auto"/>
              </w:rPr>
            </w:pPr>
          </w:p>
        </w:tc>
      </w:tr>
      <w:tr>
        <w:trPr>
          <w:trHeight w:val="118"/>
        </w:trPr>
        <w:tc>
          <w:tcPr>
            <w:tcW w:w="556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2019</w:t>
            </w:r>
          </w:p>
        </w:tc>
      </w:tr>
      <w:tr>
        <w:trPr>
          <w:trHeight w:val="125"/>
        </w:trPr>
        <w:tc>
          <w:tcPr>
            <w:tcW w:w="55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Net loss</w:t>
            </w:r>
          </w:p>
        </w:tc>
        <w:tc>
          <w:tcPr>
            <w:tcW w:w="88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7"/>
              </w:rPr>
              <w:t>(245,390)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  (241,340)</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  (29,704)</w:t>
            </w:r>
          </w:p>
        </w:tc>
      </w:tr>
      <w:tr>
        <w:trPr>
          <w:trHeight w:val="18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Depreciation and amortization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21,807</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11,734</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6,407</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219,421</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120,231</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5,482</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Change in fair value of warrant and contingent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7"/>
              </w:rPr>
              <w:t>(198,401)</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Provision for excess and obsolete inventory</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2,129</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Non-cash lease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1,555</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2,400</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(176)</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Loss on extinguishment of debt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Amortization of debt issuance costs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Change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5,535</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(10,611)</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(4,567)</w:t>
            </w:r>
          </w:p>
        </w:tc>
      </w:tr>
      <w:tr>
        <w:trPr>
          <w:trHeight w:val="146"/>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Inventory</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(10,624)</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(8,979)</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(7,970)</w:t>
            </w: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Prepaid expenses and other current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(14,250)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2,498</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(2,526)</w:t>
            </w:r>
          </w:p>
        </w:tc>
      </w:tr>
      <w:tr>
        <w:trPr>
          <w:trHeight w:val="146"/>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Due to/from related parties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1,433</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(919)</w:t>
            </w: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(1,861)</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1,175</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(4,395)</w:t>
            </w:r>
          </w:p>
        </w:tc>
      </w:tr>
      <w:tr>
        <w:trPr>
          <w:trHeight w:val="146"/>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Accounts payable and accrued expenses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25,916</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14,805</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12,847</w:t>
            </w: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Contract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(1,310)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(559)</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2,342</w:t>
            </w:r>
          </w:p>
        </w:tc>
      </w:tr>
      <w:tr>
        <w:trPr>
          <w:trHeight w:val="144"/>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Other current liabilities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3,239</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15,960</w:t>
            </w:r>
          </w:p>
        </w:tc>
        <w:tc>
          <w:tcPr>
            <w:tcW w:w="6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4,451</w:t>
            </w:r>
          </w:p>
        </w:tc>
      </w:tr>
      <w:tr>
        <w:trPr>
          <w:trHeight w:val="151"/>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operating activities</w:t>
            </w: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(190,434)</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(93,128)</w:t>
            </w: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(18,728)</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b w:val="1"/>
                <w:bCs w:val="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Purchases of property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(9,400)</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(24,094)</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(11,923)</w:t>
            </w:r>
          </w:p>
        </w:tc>
      </w:tr>
      <w:tr>
        <w:trPr>
          <w:trHeight w:val="142"/>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Development of internal-use software assets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(11,386)</w:t>
            </w:r>
          </w:p>
        </w:tc>
        <w:tc>
          <w:tcPr>
            <w:tcW w:w="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(7,880)</w:t>
            </w:r>
          </w:p>
        </w:tc>
        <w:tc>
          <w:tcPr>
            <w:tcW w:w="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(3,533)</w:t>
            </w:r>
          </w:p>
        </w:tc>
      </w:tr>
      <w:tr>
        <w:trPr>
          <w:trHeight w:val="15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used in investing activities</w:t>
            </w:r>
          </w:p>
        </w:tc>
        <w:tc>
          <w:tcPr>
            <w:tcW w:w="8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(20,786)</w:t>
            </w:r>
          </w:p>
        </w:tc>
        <w:tc>
          <w:tcPr>
            <w:tcW w:w="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(31,974)</w:t>
            </w:r>
          </w:p>
        </w:tc>
        <w:tc>
          <w:tcPr>
            <w:tcW w:w="6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(15,456)</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1"/>
                <w:szCs w:val="11"/>
                <w:color w:val="auto"/>
              </w:rPr>
              <w:t>Proceeds from issuance of Series B redeemable convertible preferred stock, net of issuance costs</w:t>
            </w:r>
          </w:p>
        </w:tc>
        <w:tc>
          <w:tcPr>
            <w:tcW w:w="8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118,824</w:t>
            </w:r>
          </w:p>
        </w:tc>
      </w:tr>
      <w:tr>
        <w:trPr>
          <w:trHeight w:val="200"/>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Proceeds from issuance of Series C redeemable convertible preferred stock, net of issuance costs</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117,324</w:t>
            </w: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Proceeds from PIPE issuance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350,000</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Proceeds from equity infusion from the merger, net of redemptions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442,684</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Legacy Sema4 Shareholder payout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7"/>
              </w:rPr>
              <w:t>(230,665)</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Payment of transaction costs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(51,760)</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Stock Appreciation Rights payout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(3,795)</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Repayment of long-term debt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(8,741)</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1,271</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Capital contributions from ISMMS</w:t>
            </w: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30,897</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Proceeds from long-term debt</w:t>
            </w:r>
          </w:p>
        </w:tc>
        <w:tc>
          <w:tcPr>
            <w:tcW w:w="8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15,928</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Long-term debt principal payments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Debt issuance costs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(537)</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Capital lease principal payments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(3,728)</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(4,010)</w:t>
            </w:r>
          </w:p>
        </w:tc>
        <w:tc>
          <w:tcPr>
            <w:tcW w:w="6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(1,709)</w:t>
            </w:r>
          </w:p>
        </w:tc>
      </w:tr>
      <w:tr>
        <w:trPr>
          <w:trHeight w:val="151"/>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provided by financing activities</w:t>
            </w: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493,729</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129,056</w:t>
            </w: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148,012</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1"/>
                <w:szCs w:val="11"/>
                <w:color w:val="auto"/>
              </w:rPr>
              <w:t>Net increase in cash, cash equivalents and restricted cash</w:t>
            </w: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282,509</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3,954</w:t>
            </w: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113,828</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Cash, cash equivalents and restricted cash, at beginning of year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118,960</w:t>
            </w: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115,006</w:t>
            </w:r>
          </w:p>
        </w:tc>
        <w:tc>
          <w:tcPr>
            <w:tcW w:w="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1,178</w:t>
            </w:r>
          </w:p>
        </w:tc>
      </w:tr>
      <w:tr>
        <w:trPr>
          <w:trHeight w:val="129"/>
        </w:trPr>
        <w:tc>
          <w:tcPr>
            <w:tcW w:w="5560" w:type="dxa"/>
            <w:vAlign w:val="bottom"/>
          </w:tcPr>
          <w:p>
            <w:pPr>
              <w:spacing w:after="0"/>
              <w:rPr>
                <w:sz w:val="20"/>
                <w:szCs w:val="20"/>
                <w:color w:val="auto"/>
              </w:rPr>
            </w:pPr>
            <w:r>
              <w:rPr>
                <w:rFonts w:ascii="Arial" w:cs="Arial" w:eastAsia="Arial" w:hAnsi="Arial"/>
                <w:sz w:val="11"/>
                <w:szCs w:val="11"/>
                <w:color w:val="auto"/>
              </w:rPr>
              <w:t>Cash, cash equivalents and restricted cash, at end of year</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401,469</w:t>
            </w:r>
          </w:p>
        </w:tc>
        <w:tc>
          <w:tcPr>
            <w:tcW w:w="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118,960</w:t>
            </w:r>
          </w:p>
        </w:tc>
        <w:tc>
          <w:tcPr>
            <w:tcW w:w="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115,006</w:t>
            </w:r>
          </w:p>
        </w:tc>
      </w:tr>
    </w:tbl>
    <w:p>
      <w:pPr>
        <w:sectPr>
          <w:pgSz w:w="11900" w:h="16838" w:orient="portrait"/>
          <w:cols w:equalWidth="0" w:num="1">
            <w:col w:w="10159"/>
          </w:cols>
          <w:pgMar w:left="300" w:top="1135"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1"/>
                <w:szCs w:val="11"/>
                <w:color w:val="auto"/>
              </w:rPr>
              <w:t>Cash paid for interest</w:t>
            </w:r>
          </w:p>
        </w:tc>
        <w:tc>
          <w:tcPr>
            <w:tcW w:w="1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46"/>
              <w:spacing w:after="0"/>
              <w:rPr>
                <w:sz w:val="20"/>
                <w:szCs w:val="20"/>
                <w:color w:val="auto"/>
              </w:rPr>
            </w:pPr>
            <w:r>
              <w:rPr>
                <w:rFonts w:ascii="Arial" w:cs="Arial" w:eastAsia="Arial" w:hAnsi="Arial"/>
                <w:sz w:val="11"/>
                <w:szCs w:val="11"/>
                <w:color w:val="auto"/>
                <w:w w:val="94"/>
              </w:rPr>
              <w:t>2,751</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66"/>
              <w:spacing w:after="0"/>
              <w:rPr>
                <w:sz w:val="20"/>
                <w:szCs w:val="20"/>
                <w:color w:val="auto"/>
              </w:rPr>
            </w:pPr>
            <w:r>
              <w:rPr>
                <w:rFonts w:ascii="Arial" w:cs="Arial" w:eastAsia="Arial" w:hAnsi="Arial"/>
                <w:sz w:val="11"/>
                <w:szCs w:val="11"/>
                <w:color w:val="auto"/>
              </w:rPr>
              <w:t>1,745</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97"/>
              </w:rPr>
              <w:t>305</w:t>
            </w:r>
          </w:p>
        </w:tc>
      </w:tr>
      <w:tr>
        <w:trPr>
          <w:trHeight w:val="200"/>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Cash paid for taxes</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rPr>
              <w:t>349</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6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96"/>
        </w:trPr>
        <w:tc>
          <w:tcPr>
            <w:tcW w:w="5140" w:type="dxa"/>
            <w:vAlign w:val="bottom"/>
          </w:tcPr>
          <w:p>
            <w:pPr>
              <w:spacing w:after="0"/>
              <w:rPr>
                <w:sz w:val="20"/>
                <w:szCs w:val="20"/>
                <w:color w:val="auto"/>
              </w:rPr>
            </w:pPr>
            <w:r>
              <w:rPr>
                <w:rFonts w:ascii="Arial" w:cs="Arial" w:eastAsia="Arial" w:hAnsi="Arial"/>
                <w:sz w:val="11"/>
                <w:szCs w:val="11"/>
                <w:color w:val="auto"/>
              </w:rPr>
              <w:t>Purchases of property and equipment in accounts payable and accrued expenses</w:t>
            </w: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46"/>
              <w:spacing w:after="0"/>
              <w:rPr>
                <w:sz w:val="20"/>
                <w:szCs w:val="20"/>
                <w:color w:val="auto"/>
              </w:rPr>
            </w:pPr>
            <w:r>
              <w:rPr>
                <w:rFonts w:ascii="Arial" w:cs="Arial" w:eastAsia="Arial" w:hAnsi="Arial"/>
                <w:sz w:val="11"/>
                <w:szCs w:val="11"/>
                <w:color w:val="auto"/>
              </w:rPr>
              <w:t>761</w:t>
            </w:r>
          </w:p>
        </w:tc>
        <w:tc>
          <w:tcPr>
            <w:tcW w:w="580" w:type="dxa"/>
            <w:vAlign w:val="bottom"/>
          </w:tcPr>
          <w:p>
            <w:pPr>
              <w:spacing w:after="0"/>
              <w:rPr>
                <w:sz w:val="17"/>
                <w:szCs w:val="17"/>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6"/>
              <w:spacing w:after="0"/>
              <w:rPr>
                <w:sz w:val="20"/>
                <w:szCs w:val="20"/>
                <w:color w:val="auto"/>
              </w:rPr>
            </w:pPr>
            <w:r>
              <w:rPr>
                <w:rFonts w:ascii="Arial" w:cs="Arial" w:eastAsia="Arial" w:hAnsi="Arial"/>
                <w:sz w:val="11"/>
                <w:szCs w:val="11"/>
                <w:color w:val="auto"/>
                <w:w w:val="86"/>
              </w:rPr>
              <w:t>447</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97"/>
              </w:rPr>
              <w:t>818</w:t>
            </w:r>
          </w:p>
        </w:tc>
      </w:tr>
      <w:tr>
        <w:trPr>
          <w:trHeight w:val="200"/>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Software development costs in accounts payable and accrued expenses</w:t>
            </w:r>
          </w:p>
        </w:tc>
        <w:tc>
          <w:tcPr>
            <w:tcW w:w="15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4"/>
              </w:rPr>
              <w:t>1,149</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466"/>
              <w:spacing w:after="0"/>
              <w:rPr>
                <w:sz w:val="20"/>
                <w:szCs w:val="20"/>
                <w:color w:val="auto"/>
              </w:rPr>
            </w:pPr>
            <w:r>
              <w:rPr>
                <w:rFonts w:ascii="Arial" w:cs="Arial" w:eastAsia="Arial" w:hAnsi="Arial"/>
                <w:sz w:val="11"/>
                <w:szCs w:val="11"/>
                <w:color w:val="auto"/>
              </w:rPr>
              <w:t>1,473</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1,040</w:t>
            </w:r>
          </w:p>
        </w:tc>
      </w:tr>
      <w:tr>
        <w:trPr>
          <w:trHeight w:val="196"/>
        </w:trPr>
        <w:tc>
          <w:tcPr>
            <w:tcW w:w="5140" w:type="dxa"/>
            <w:vAlign w:val="bottom"/>
          </w:tcPr>
          <w:p>
            <w:pPr>
              <w:spacing w:after="0"/>
              <w:rPr>
                <w:sz w:val="20"/>
                <w:szCs w:val="20"/>
                <w:color w:val="auto"/>
              </w:rPr>
            </w:pPr>
            <w:r>
              <w:rPr>
                <w:rFonts w:ascii="Arial" w:cs="Arial" w:eastAsia="Arial" w:hAnsi="Arial"/>
                <w:sz w:val="11"/>
                <w:szCs w:val="11"/>
                <w:color w:val="auto"/>
              </w:rPr>
              <w:t>Non-cash Series A redeemable convertible preferred stock dividends declared and paid</w:t>
            </w:r>
          </w:p>
        </w:tc>
        <w:tc>
          <w:tcPr>
            <w:tcW w:w="1500" w:type="dxa"/>
            <w:vAlign w:val="bottom"/>
          </w:tcPr>
          <w:p>
            <w:pPr>
              <w:spacing w:after="0"/>
              <w:rPr>
                <w:sz w:val="17"/>
                <w:szCs w:val="17"/>
                <w:color w:val="auto"/>
              </w:rPr>
            </w:pPr>
          </w:p>
        </w:tc>
        <w:tc>
          <w:tcPr>
            <w:tcW w:w="780" w:type="dxa"/>
            <w:vAlign w:val="bottom"/>
          </w:tcPr>
          <w:p>
            <w:pPr>
              <w:jc w:val="right"/>
              <w:ind w:right="446"/>
              <w:spacing w:after="0"/>
              <w:rPr>
                <w:sz w:val="20"/>
                <w:szCs w:val="20"/>
                <w:color w:val="auto"/>
              </w:rPr>
            </w:pPr>
            <w:r>
              <w:rPr>
                <w:rFonts w:ascii="Arial" w:cs="Arial" w:eastAsia="Arial" w:hAnsi="Arial"/>
                <w:sz w:val="11"/>
                <w:szCs w:val="11"/>
                <w:color w:val="auto"/>
              </w:rPr>
              <w:t>$  —</w:t>
            </w:r>
          </w:p>
        </w:tc>
        <w:tc>
          <w:tcPr>
            <w:tcW w:w="5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3,039</w:t>
            </w: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Debt issuance costs incurred but unpaid</w:t>
            </w:r>
          </w:p>
        </w:tc>
        <w:tc>
          <w:tcPr>
            <w:tcW w:w="15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4"/>
              </w:rPr>
              <w:t>1,000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6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ectPr>
          <w:pgSz w:w="11900" w:h="16838" w:orient="portrait"/>
          <w:cols w:equalWidth="0" w:num="1">
            <w:col w:w="10159"/>
          </w:cols>
          <w:pgMar w:left="300" w:top="1157" w:right="1440" w:bottom="1440" w:gutter="0" w:footer="0" w:header="0"/>
        </w:sectPr>
      </w:pPr>
    </w:p>
    <w:bookmarkStart w:id="11" w:name="page12"/>
    <w:bookmarkEnd w:id="11"/>
    <w:p>
      <w:pPr>
        <w:ind w:left="208"/>
        <w:spacing w:after="0"/>
        <w:rPr>
          <w:sz w:val="20"/>
          <w:szCs w:val="20"/>
          <w:color w:val="auto"/>
        </w:rPr>
      </w:pPr>
      <w:r>
        <w:rPr>
          <w:rFonts w:ascii="Arial" w:cs="Arial" w:eastAsia="Arial" w:hAnsi="Arial"/>
          <w:sz w:val="12"/>
          <w:szCs w:val="12"/>
          <w:color w:val="auto"/>
        </w:rPr>
        <w:t>The following is a reconciliation of revenue to our Adjusted Gross Profit and Adjusted Gross Margin for the three months ended December 31, 2021 and 2020:</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2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5"/>
          </w:tcPr>
          <w:p>
            <w:pPr>
              <w:jc w:val="right"/>
              <w:ind w:right="821"/>
              <w:spacing w:after="0"/>
              <w:rPr>
                <w:sz w:val="20"/>
                <w:szCs w:val="20"/>
                <w:color w:val="auto"/>
              </w:rPr>
            </w:pPr>
            <w:r>
              <w:rPr>
                <w:rFonts w:ascii="Arial" w:cs="Arial" w:eastAsia="Arial" w:hAnsi="Arial"/>
                <w:sz w:val="10"/>
                <w:szCs w:val="10"/>
                <w:b w:val="1"/>
                <w:bCs w:val="1"/>
                <w:color w:val="auto"/>
              </w:rPr>
              <w:t>Three months ended December 31,</w:t>
            </w:r>
          </w:p>
        </w:tc>
        <w:tc>
          <w:tcPr>
            <w:tcW w:w="0" w:type="dxa"/>
            <w:vAlign w:val="bottom"/>
          </w:tcPr>
          <w:p>
            <w:pPr>
              <w:spacing w:after="0"/>
              <w:rPr>
                <w:sz w:val="1"/>
                <w:szCs w:val="1"/>
                <w:color w:val="auto"/>
              </w:rPr>
            </w:pPr>
          </w:p>
        </w:tc>
      </w:tr>
      <w:tr>
        <w:trPr>
          <w:trHeight w:val="129"/>
        </w:trPr>
        <w:tc>
          <w:tcPr>
            <w:tcW w:w="7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ind w:right="362"/>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jc w:val="right"/>
              <w:ind w:right="281"/>
              <w:spacing w:after="0"/>
              <w:rPr>
                <w:sz w:val="20"/>
                <w:szCs w:val="20"/>
                <w:color w:val="auto"/>
              </w:rPr>
            </w:pPr>
            <w:r>
              <w:rPr>
                <w:rFonts w:ascii="Arial" w:cs="Arial" w:eastAsia="Arial" w:hAnsi="Arial"/>
                <w:sz w:val="10"/>
                <w:szCs w:val="10"/>
                <w:b w:val="1"/>
                <w:bCs w:val="1"/>
                <w:color w:val="auto"/>
                <w:w w:val="87"/>
              </w:rPr>
              <w:t>2020 (Restated) (Note)</w:t>
            </w: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7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gridSpan w:val="3"/>
          </w:tcPr>
          <w:p>
            <w:pPr>
              <w:jc w:val="right"/>
              <w:ind w:right="20"/>
              <w:spacing w:after="0" w:line="114" w:lineRule="exact"/>
              <w:rPr>
                <w:sz w:val="20"/>
                <w:szCs w:val="20"/>
                <w:color w:val="auto"/>
              </w:rPr>
            </w:pPr>
            <w:r>
              <w:rPr>
                <w:rFonts w:ascii="Arial" w:cs="Arial" w:eastAsia="Arial" w:hAnsi="Arial"/>
                <w:sz w:val="10"/>
                <w:szCs w:val="10"/>
                <w:b w:val="1"/>
                <w:bCs w:val="1"/>
                <w:color w:val="auto"/>
                <w:w w:val="92"/>
              </w:rPr>
              <w:t>(in thousands)</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57,801</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3"/>
        </w:trPr>
        <w:tc>
          <w:tcPr>
            <w:tcW w:w="7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services</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60,607</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232"/>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Gross (Loss) Profit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(2,806)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b w:val="1"/>
                <w:bCs w:val="1"/>
                <w:color w:val="auto"/>
              </w:rPr>
              <w:t>(5,674)</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20"/>
                <w:szCs w:val="20"/>
                <w:color w:val="auto"/>
              </w:rPr>
            </w:pPr>
            <w:r>
              <w:rPr>
                <w:rFonts w:ascii="Arial" w:cs="Arial" w:eastAsia="Arial" w:hAnsi="Arial"/>
                <w:sz w:val="12"/>
                <w:szCs w:val="12"/>
                <w:b w:val="1"/>
                <w:bCs w:val="1"/>
                <w:color w:val="auto"/>
              </w:rPr>
              <w:t>Gross Margin</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(5)%</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(9)%</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Add:</w:t>
            </w: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280" w:type="dxa"/>
            <w:vAlign w:val="bottom"/>
          </w:tcPr>
          <w:p>
            <w:pPr>
              <w:ind w:left="40"/>
              <w:spacing w:after="0"/>
              <w:rPr>
                <w:sz w:val="20"/>
                <w:szCs w:val="20"/>
                <w:color w:val="auto"/>
              </w:rPr>
            </w:pPr>
            <w:r>
              <w:rPr>
                <w:rFonts w:ascii="Arial" w:cs="Arial" w:eastAsia="Arial" w:hAnsi="Arial"/>
                <w:sz w:val="12"/>
                <w:szCs w:val="12"/>
                <w:color w:val="auto"/>
              </w:rPr>
              <w:t xml:space="preserve">COVID-19 Costs </w:t>
            </w:r>
            <w:r>
              <w:rPr>
                <w:rFonts w:ascii="Arial" w:cs="Arial" w:eastAsia="Arial" w:hAnsi="Arial"/>
                <w:sz w:val="15"/>
                <w:szCs w:val="15"/>
                <w:color w:val="auto"/>
                <w:vertAlign w:val="superscript"/>
              </w:rPr>
              <w:t>(1)</w:t>
            </w:r>
          </w:p>
        </w:tc>
        <w:tc>
          <w:tcPr>
            <w:tcW w:w="3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201"/>
              <w:spacing w:after="0"/>
              <w:rPr>
                <w:sz w:val="20"/>
                <w:szCs w:val="20"/>
                <w:color w:val="auto"/>
              </w:rPr>
            </w:pPr>
            <w:r>
              <w:rPr>
                <w:rFonts w:ascii="Arial" w:cs="Arial" w:eastAsia="Arial" w:hAnsi="Arial"/>
                <w:sz w:val="12"/>
                <w:szCs w:val="12"/>
                <w:color w:val="auto"/>
              </w:rPr>
              <w:t>16,391</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3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2,619</w:t>
            </w:r>
          </w:p>
        </w:tc>
        <w:tc>
          <w:tcPr>
            <w:tcW w:w="20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9,692</w:t>
            </w:r>
          </w:p>
        </w:tc>
        <w:tc>
          <w:tcPr>
            <w:tcW w:w="0" w:type="dxa"/>
            <w:vAlign w:val="bottom"/>
          </w:tcPr>
          <w:p>
            <w:pPr>
              <w:spacing w:after="0"/>
              <w:rPr>
                <w:sz w:val="1"/>
                <w:szCs w:val="1"/>
                <w:color w:val="auto"/>
              </w:rPr>
            </w:pPr>
          </w:p>
        </w:tc>
      </w:tr>
      <w:tr>
        <w:trPr>
          <w:trHeight w:val="187"/>
        </w:trPr>
        <w:tc>
          <w:tcPr>
            <w:tcW w:w="7280" w:type="dxa"/>
            <w:vAlign w:val="bottom"/>
          </w:tcPr>
          <w:p>
            <w:pPr>
              <w:spacing w:after="0"/>
              <w:rPr>
                <w:sz w:val="20"/>
                <w:szCs w:val="20"/>
                <w:color w:val="auto"/>
              </w:rPr>
            </w:pPr>
            <w:r>
              <w:rPr>
                <w:rFonts w:ascii="Arial" w:cs="Arial" w:eastAsia="Arial" w:hAnsi="Arial"/>
                <w:sz w:val="12"/>
                <w:szCs w:val="12"/>
                <w:b w:val="1"/>
                <w:bCs w:val="1"/>
                <w:color w:val="auto"/>
              </w:rPr>
              <w:t>Adjusted Gross (Loss) Profit</w:t>
            </w:r>
          </w:p>
        </w:tc>
        <w:tc>
          <w:tcPr>
            <w:tcW w:w="36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8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(187)</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80" w:type="dxa"/>
            <w:vAlign w:val="bottom"/>
            <w:vMerge w:val="restart"/>
          </w:tcPr>
          <w:p>
            <w:pPr>
              <w:jc w:val="right"/>
              <w:ind w:right="201"/>
              <w:spacing w:after="0"/>
              <w:rPr>
                <w:sz w:val="20"/>
                <w:szCs w:val="20"/>
                <w:color w:val="auto"/>
              </w:rPr>
            </w:pPr>
            <w:r>
              <w:rPr>
                <w:rFonts w:ascii="Arial" w:cs="Arial" w:eastAsia="Arial" w:hAnsi="Arial"/>
                <w:sz w:val="12"/>
                <w:szCs w:val="12"/>
                <w:b w:val="1"/>
                <w:bCs w:val="1"/>
                <w:color w:val="auto"/>
              </w:rPr>
              <w:t>20,409</w:t>
            </w:r>
          </w:p>
        </w:tc>
        <w:tc>
          <w:tcPr>
            <w:tcW w:w="0" w:type="dxa"/>
            <w:vAlign w:val="bottom"/>
          </w:tcPr>
          <w:p>
            <w:pPr>
              <w:spacing w:after="0"/>
              <w:rPr>
                <w:sz w:val="1"/>
                <w:szCs w:val="1"/>
                <w:color w:val="auto"/>
              </w:rPr>
            </w:pPr>
          </w:p>
        </w:tc>
      </w:tr>
      <w:tr>
        <w:trPr>
          <w:trHeight w:val="45"/>
        </w:trPr>
        <w:tc>
          <w:tcPr>
            <w:tcW w:w="72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280" w:type="dxa"/>
            <w:vAlign w:val="bottom"/>
          </w:tcPr>
          <w:p>
            <w:pPr>
              <w:spacing w:after="0"/>
              <w:rPr>
                <w:sz w:val="20"/>
                <w:szCs w:val="20"/>
                <w:color w:val="auto"/>
              </w:rPr>
            </w:pPr>
            <w:r>
              <w:rPr>
                <w:rFonts w:ascii="Arial" w:cs="Arial" w:eastAsia="Arial" w:hAnsi="Arial"/>
                <w:sz w:val="12"/>
                <w:szCs w:val="12"/>
                <w:b w:val="1"/>
                <w:bCs w:val="1"/>
                <w:color w:val="auto"/>
              </w:rPr>
              <w:t>Adjusted Gross Margin</w:t>
            </w: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b w:val="1"/>
                <w:bCs w:val="1"/>
                <w:color w:val="auto"/>
              </w:rPr>
              <w:t>0%</w:t>
            </w: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201"/>
              <w:spacing w:after="0"/>
              <w:rPr>
                <w:sz w:val="20"/>
                <w:szCs w:val="20"/>
                <w:color w:val="auto"/>
              </w:rPr>
            </w:pPr>
            <w:r>
              <w:rPr>
                <w:rFonts w:ascii="Arial" w:cs="Arial" w:eastAsia="Arial" w:hAnsi="Arial"/>
                <w:sz w:val="12"/>
                <w:szCs w:val="12"/>
                <w:b w:val="1"/>
                <w:bCs w:val="1"/>
                <w:color w:val="auto"/>
              </w:rPr>
              <w:t>32%</w:t>
            </w:r>
          </w:p>
        </w:tc>
        <w:tc>
          <w:tcPr>
            <w:tcW w:w="0" w:type="dxa"/>
            <w:vAlign w:val="bottom"/>
          </w:tcPr>
          <w:p>
            <w:pPr>
              <w:spacing w:after="0"/>
              <w:rPr>
                <w:sz w:val="1"/>
                <w:szCs w:val="1"/>
                <w:color w:val="auto"/>
              </w:rPr>
            </w:pPr>
          </w:p>
        </w:tc>
      </w:tr>
      <w:tr>
        <w:trPr>
          <w:trHeight w:val="45"/>
        </w:trPr>
        <w:tc>
          <w:tcPr>
            <w:tcW w:w="7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08" w:hanging="208"/>
        <w:spacing w:after="0" w:line="311" w:lineRule="auto"/>
        <w:tabs>
          <w:tab w:leader="none" w:pos="203" w:val="left"/>
        </w:tabs>
        <w:numPr>
          <w:ilvl w:val="0"/>
          <w:numId w:val="7"/>
        </w:numPr>
        <w:rPr>
          <w:rFonts w:ascii="Arial" w:cs="Arial" w:eastAsia="Arial" w:hAnsi="Arial"/>
          <w:sz w:val="8"/>
          <w:szCs w:val="8"/>
          <w:color w:val="auto"/>
        </w:rPr>
      </w:pPr>
      <w:r>
        <w:rPr>
          <w:rFonts w:ascii="Arial" w:cs="Arial" w:eastAsia="Arial" w:hAnsi="Arial"/>
          <w:sz w:val="8"/>
          <w:szCs w:val="8"/>
          <w:color w:val="222222"/>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4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is a reconciliation of our net loss to Adjusted EBITDA for the three months ended December 31, 2021 and 2020:</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7560" w:type="dxa"/>
            <w:vAlign w:val="bottom"/>
          </w:tcPr>
          <w:p>
            <w:pPr>
              <w:spacing w:after="0"/>
              <w:rPr>
                <w:sz w:val="10"/>
                <w:szCs w:val="10"/>
                <w:color w:val="auto"/>
              </w:rPr>
            </w:pPr>
          </w:p>
        </w:tc>
        <w:tc>
          <w:tcPr>
            <w:tcW w:w="1520" w:type="dxa"/>
            <w:vAlign w:val="bottom"/>
            <w:gridSpan w:val="3"/>
          </w:tcPr>
          <w:p>
            <w:pPr>
              <w:ind w:left="20"/>
              <w:spacing w:after="0"/>
              <w:rPr>
                <w:sz w:val="20"/>
                <w:szCs w:val="20"/>
                <w:color w:val="auto"/>
              </w:rPr>
            </w:pPr>
            <w:r>
              <w:rPr>
                <w:rFonts w:ascii="Arial" w:cs="Arial" w:eastAsia="Arial" w:hAnsi="Arial"/>
                <w:sz w:val="10"/>
                <w:szCs w:val="10"/>
                <w:b w:val="1"/>
                <w:bCs w:val="1"/>
                <w:color w:val="auto"/>
                <w:w w:val="89"/>
              </w:rPr>
              <w:t>Three months ended December 31,</w:t>
            </w: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6"/>
        </w:trPr>
        <w:tc>
          <w:tcPr>
            <w:tcW w:w="7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3"/>
        </w:trPr>
        <w:tc>
          <w:tcPr>
            <w:tcW w:w="7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w w:val="85"/>
              </w:rPr>
              <w:t>2020 (Restated) (Note)</w:t>
            </w:r>
          </w:p>
        </w:tc>
      </w:tr>
      <w:tr>
        <w:trPr>
          <w:trHeight w:val="122"/>
        </w:trPr>
        <w:tc>
          <w:tcPr>
            <w:tcW w:w="7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1240" w:type="dxa"/>
            <w:vAlign w:val="bottom"/>
          </w:tcPr>
          <w:p>
            <w:pPr>
              <w:spacing w:after="0"/>
              <w:rPr>
                <w:sz w:val="10"/>
                <w:szCs w:val="10"/>
                <w:color w:val="auto"/>
              </w:rPr>
            </w:pPr>
          </w:p>
        </w:tc>
      </w:tr>
      <w:tr>
        <w:trPr>
          <w:trHeight w:val="154"/>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(40,185)</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(125,683)</w:t>
            </w:r>
          </w:p>
        </w:tc>
      </w:tr>
      <w:tr>
        <w:trPr>
          <w:trHeight w:val="207"/>
        </w:trPr>
        <w:tc>
          <w:tcPr>
            <w:tcW w:w="7560" w:type="dxa"/>
            <w:vAlign w:val="bottom"/>
          </w:tcPr>
          <w:p>
            <w:pPr>
              <w:spacing w:after="0"/>
              <w:rPr>
                <w:sz w:val="20"/>
                <w:szCs w:val="20"/>
                <w:color w:val="auto"/>
              </w:rPr>
            </w:pPr>
            <w:r>
              <w:rPr>
                <w:rFonts w:ascii="Arial" w:cs="Arial" w:eastAsia="Arial" w:hAnsi="Arial"/>
                <w:sz w:val="12"/>
                <w:szCs w:val="12"/>
                <w:color w:val="auto"/>
              </w:rPr>
              <w:t xml:space="preserve">Interest expense, net </w:t>
            </w:r>
            <w:r>
              <w:rPr>
                <w:rFonts w:ascii="Arial" w:cs="Arial" w:eastAsia="Arial" w:hAnsi="Arial"/>
                <w:sz w:val="15"/>
                <w:szCs w:val="15"/>
                <w:color w:val="auto"/>
                <w:vertAlign w:val="superscript"/>
              </w:rPr>
              <w:t>(1)</w:t>
            </w:r>
          </w:p>
        </w:tc>
        <w:tc>
          <w:tcPr>
            <w:tcW w:w="340" w:type="dxa"/>
            <w:vAlign w:val="bottom"/>
          </w:tcPr>
          <w:p>
            <w:pPr>
              <w:spacing w:after="0"/>
              <w:rPr>
                <w:sz w:val="18"/>
                <w:szCs w:val="18"/>
                <w:color w:val="auto"/>
              </w:rPr>
            </w:pPr>
          </w:p>
        </w:tc>
        <w:tc>
          <w:tcPr>
            <w:tcW w:w="1040" w:type="dxa"/>
            <w:vAlign w:val="bottom"/>
          </w:tcPr>
          <w:p>
            <w:pPr>
              <w:jc w:val="right"/>
              <w:ind w:right="103"/>
              <w:spacing w:after="0"/>
              <w:rPr>
                <w:sz w:val="20"/>
                <w:szCs w:val="20"/>
                <w:color w:val="auto"/>
              </w:rPr>
            </w:pPr>
            <w:r>
              <w:rPr>
                <w:rFonts w:ascii="Arial" w:cs="Arial" w:eastAsia="Arial" w:hAnsi="Arial"/>
                <w:sz w:val="12"/>
                <w:szCs w:val="12"/>
                <w:color w:val="auto"/>
              </w:rPr>
              <w:t>685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615</w:t>
            </w:r>
          </w:p>
        </w:tc>
      </w:tr>
      <w:tr>
        <w:trPr>
          <w:trHeight w:val="189"/>
        </w:trPr>
        <w:tc>
          <w:tcPr>
            <w:tcW w:w="7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5,795</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62"/>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3,587</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34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36,967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90,158</w:t>
            </w:r>
          </w:p>
        </w:tc>
      </w:tr>
      <w:tr>
        <w:trPr>
          <w:trHeight w:val="234"/>
        </w:trPr>
        <w:tc>
          <w:tcPr>
            <w:tcW w:w="7560" w:type="dxa"/>
            <w:vAlign w:val="bottom"/>
          </w:tcPr>
          <w:p>
            <w:pPr>
              <w:spacing w:after="0"/>
              <w:rPr>
                <w:sz w:val="20"/>
                <w:szCs w:val="20"/>
                <w:color w:val="auto"/>
              </w:rPr>
            </w:pPr>
            <w:r>
              <w:rPr>
                <w:rFonts w:ascii="Arial" w:cs="Arial" w:eastAsia="Arial" w:hAnsi="Arial"/>
                <w:sz w:val="12"/>
                <w:szCs w:val="12"/>
                <w:color w:val="auto"/>
              </w:rPr>
              <w:t xml:space="preserve">Change in fair market value of warrant and earn-out contingent liabilities </w:t>
            </w:r>
            <w:r>
              <w:rPr>
                <w:rFonts w:ascii="Arial" w:cs="Arial" w:eastAsia="Arial" w:hAnsi="Arial"/>
                <w:sz w:val="15"/>
                <w:szCs w:val="15"/>
                <w:color w:val="auto"/>
                <w:vertAlign w:val="superscript"/>
              </w:rPr>
              <w:t>(2)</w:t>
            </w:r>
          </w:p>
        </w:tc>
        <w:tc>
          <w:tcPr>
            <w:tcW w:w="340" w:type="dxa"/>
            <w:vAlign w:val="bottom"/>
          </w:tcPr>
          <w:p>
            <w:pPr>
              <w:spacing w:after="0"/>
              <w:rPr>
                <w:sz w:val="20"/>
                <w:szCs w:val="20"/>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(76,230)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w:t>
            </w: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rPr>
              <w:t>(9)</w:t>
            </w:r>
          </w:p>
        </w:tc>
      </w:tr>
      <w:tr>
        <w:trPr>
          <w:trHeight w:val="169"/>
        </w:trPr>
        <w:tc>
          <w:tcPr>
            <w:tcW w:w="7560" w:type="dxa"/>
            <w:vAlign w:val="bottom"/>
          </w:tcPr>
          <w:p>
            <w:pPr>
              <w:ind w:left="360"/>
              <w:spacing w:after="0"/>
              <w:rPr>
                <w:sz w:val="20"/>
                <w:szCs w:val="20"/>
                <w:color w:val="auto"/>
              </w:rPr>
            </w:pPr>
            <w:r>
              <w:rPr>
                <w:rFonts w:ascii="Arial" w:cs="Arial" w:eastAsia="Arial" w:hAnsi="Arial"/>
                <w:sz w:val="12"/>
                <w:szCs w:val="12"/>
                <w:b w:val="1"/>
                <w:bCs w:val="1"/>
                <w:color w:val="auto"/>
              </w:rPr>
              <w:t>Adjusted EBITDA</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(73,018)</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(31,332)</w:t>
            </w:r>
          </w:p>
        </w:tc>
      </w:tr>
      <w:tr>
        <w:trPr>
          <w:trHeight w:val="20"/>
        </w:trPr>
        <w:tc>
          <w:tcPr>
            <w:tcW w:w="7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128" w:hanging="128"/>
        <w:spacing w:after="0"/>
        <w:tabs>
          <w:tab w:leader="none" w:pos="128" w:val="left"/>
        </w:tabs>
        <w:numPr>
          <w:ilvl w:val="0"/>
          <w:numId w:val="8"/>
        </w:numPr>
        <w:rPr>
          <w:rFonts w:ascii="Arial" w:cs="Arial" w:eastAsia="Arial" w:hAnsi="Arial"/>
          <w:sz w:val="10"/>
          <w:szCs w:val="10"/>
          <w:color w:val="222222"/>
        </w:rPr>
      </w:pPr>
      <w:r>
        <w:rPr>
          <w:rFonts w:ascii="Arial" w:cs="Arial" w:eastAsia="Arial" w:hAnsi="Arial"/>
          <w:sz w:val="10"/>
          <w:szCs w:val="10"/>
          <w:color w:val="auto"/>
        </w:rPr>
        <w:t>Represents the total of Interest Expense related to our capital leases and interest-bearing loans and Interest Income on money market funds.</w:t>
      </w:r>
    </w:p>
    <w:p>
      <w:pPr>
        <w:spacing w:after="0" w:line="11" w:lineRule="exact"/>
        <w:rPr>
          <w:rFonts w:ascii="Arial" w:cs="Arial" w:eastAsia="Arial" w:hAnsi="Arial"/>
          <w:sz w:val="10"/>
          <w:szCs w:val="10"/>
          <w:color w:val="222222"/>
        </w:rPr>
      </w:pPr>
    </w:p>
    <w:p>
      <w:pPr>
        <w:ind w:left="128" w:hanging="128"/>
        <w:spacing w:after="0"/>
        <w:tabs>
          <w:tab w:leader="none" w:pos="128" w:val="left"/>
        </w:tabs>
        <w:numPr>
          <w:ilvl w:val="0"/>
          <w:numId w:val="8"/>
        </w:numPr>
        <w:rPr>
          <w:rFonts w:ascii="Arial" w:cs="Arial" w:eastAsia="Arial" w:hAnsi="Arial"/>
          <w:sz w:val="8"/>
          <w:szCs w:val="8"/>
          <w:color w:val="auto"/>
        </w:rPr>
      </w:pPr>
      <w:r>
        <w:rPr>
          <w:rFonts w:ascii="Arial" w:cs="Arial" w:eastAsia="Arial" w:hAnsi="Arial"/>
          <w:sz w:val="8"/>
          <w:szCs w:val="8"/>
          <w:color w:val="auto"/>
        </w:rPr>
        <w:t>For the three months ended December 31, 2021, represents the change in fair market value of the liabilities associated with our public warrants and private placement warrants and the earn-out shares issuable under the terms of the merger agreement for the business combination.</w:t>
      </w:r>
    </w:p>
    <w:p>
      <w:pPr>
        <w:spacing w:after="0" w:line="194" w:lineRule="exact"/>
        <w:rPr>
          <w:sz w:val="20"/>
          <w:szCs w:val="20"/>
          <w:color w:val="auto"/>
        </w:rPr>
      </w:pPr>
    </w:p>
    <w:p>
      <w:pPr>
        <w:ind w:left="8"/>
        <w:spacing w:after="0" w:line="280" w:lineRule="auto"/>
        <w:rPr>
          <w:sz w:val="20"/>
          <w:szCs w:val="20"/>
          <w:color w:val="auto"/>
        </w:rPr>
      </w:pPr>
      <w:r>
        <w:rPr>
          <w:rFonts w:ascii="Arial" w:cs="Arial" w:eastAsia="Arial" w:hAnsi="Arial"/>
          <w:sz w:val="10"/>
          <w:szCs w:val="10"/>
          <w:b w:val="1"/>
          <w:bCs w:val="1"/>
          <w:color w:val="222222"/>
        </w:rPr>
        <w:t xml:space="preserve">Note: </w:t>
      </w:r>
      <w:r>
        <w:rPr>
          <w:rFonts w:ascii="Arial" w:cs="Arial" w:eastAsia="Arial" w:hAnsi="Arial"/>
          <w:sz w:val="10"/>
          <w:szCs w:val="10"/>
          <w:color w:val="222222"/>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w:t>
      </w:r>
      <w:r>
        <w:rPr>
          <w:rFonts w:ascii="Arial" w:cs="Arial" w:eastAsia="Arial" w:hAnsi="Arial"/>
          <w:sz w:val="10"/>
          <w:szCs w:val="10"/>
          <w:b w:val="1"/>
          <w:bCs w:val="1"/>
          <w:color w:val="222222"/>
        </w:rPr>
        <w:t xml:space="preserve"> </w:t>
      </w:r>
      <w:r>
        <w:rPr>
          <w:rFonts w:ascii="Arial" w:cs="Arial" w:eastAsia="Arial" w:hAnsi="Arial"/>
          <w:sz w:val="10"/>
          <w:szCs w:val="10"/>
          <w:color w:val="222222"/>
        </w:rPr>
        <w:t>Significant Accounting Policies” to our consolidated financial statements that is included in our 2021 10-K that will be filed on March 14, 2022 for further information.</w:t>
      </w:r>
    </w:p>
    <w:p>
      <w:pPr>
        <w:sectPr>
          <w:pgSz w:w="11900" w:h="16838" w:orient="portrait"/>
          <w:cols w:equalWidth="0" w:num="1">
            <w:col w:w="11028"/>
          </w:cols>
          <w:pgMar w:left="292" w:top="1256" w:right="579" w:bottom="1440" w:gutter="0" w:footer="0" w:header="0"/>
        </w:sectPr>
      </w:pPr>
    </w:p>
    <w:bookmarkStart w:id="12" w:name="page13"/>
    <w:bookmarkEnd w:id="12"/>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2022-03-14T15:23:03Z</dcterms:created>
  <dcterms:modified xsi:type="dcterms:W3CDTF">2022-03-14T15:23:03Z</dcterms:modified>
</cp:coreProperties>
</file>