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161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161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OPKO HEALTH, INC.</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880" w:type="dxa"/>
            <w:vAlign w:val="bottom"/>
          </w:tcPr>
          <w:p>
            <w:pPr>
              <w:spacing w:after="0"/>
              <w:rPr>
                <w:sz w:val="20"/>
                <w:szCs w:val="20"/>
                <w:color w:val="auto"/>
              </w:rPr>
            </w:pPr>
            <w:r>
              <w:rPr>
                <w:rFonts w:ascii="Arial" w:cs="Arial" w:eastAsia="Arial" w:hAnsi="Arial"/>
                <w:sz w:val="13"/>
                <w:szCs w:val="13"/>
                <w:color w:val="auto"/>
              </w:rPr>
              <w:t>(Last)</w:t>
            </w:r>
          </w:p>
        </w:tc>
        <w:tc>
          <w:tcPr>
            <w:tcW w:w="1240" w:type="dxa"/>
            <w:vAlign w:val="bottom"/>
          </w:tcPr>
          <w:p>
            <w:pPr>
              <w:ind w:left="340"/>
              <w:spacing w:after="0"/>
              <w:rPr>
                <w:sz w:val="20"/>
                <w:szCs w:val="20"/>
                <w:color w:val="auto"/>
              </w:rPr>
            </w:pPr>
            <w:r>
              <w:rPr>
                <w:rFonts w:ascii="Arial" w:cs="Arial" w:eastAsia="Arial" w:hAnsi="Arial"/>
                <w:sz w:val="13"/>
                <w:szCs w:val="13"/>
                <w:color w:val="auto"/>
              </w:rPr>
              <w:t>(First)</w:t>
            </w:r>
          </w:p>
        </w:tc>
        <w:tc>
          <w:tcPr>
            <w:tcW w:w="1520" w:type="dxa"/>
            <w:vAlign w:val="bottom"/>
          </w:tcPr>
          <w:p>
            <w:pPr>
              <w:ind w:left="32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1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4400 BISCAYNE BLVD.</w:t>
            </w:r>
          </w:p>
        </w:tc>
        <w:tc>
          <w:tcPr>
            <w:tcW w:w="152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1240" w:type="dxa"/>
            <w:vAlign w:val="bottom"/>
            <w:tcBorders>
              <w:bottom w:val="single" w:sz="8" w:color="9A9A9A"/>
            </w:tcBorders>
          </w:tcPr>
          <w:p>
            <w:pPr>
              <w:spacing w:after="0"/>
              <w:rPr>
                <w:sz w:val="18"/>
                <w:szCs w:val="18"/>
                <w:color w:val="auto"/>
              </w:rPr>
            </w:pPr>
          </w:p>
        </w:tc>
        <w:tc>
          <w:tcPr>
            <w:tcW w:w="1520" w:type="dxa"/>
            <w:vAlign w:val="bottom"/>
            <w:tcBorders>
              <w:bottom w:val="single" w:sz="8" w:color="9A9A9A"/>
            </w:tcBorders>
          </w:tcPr>
          <w:p>
            <w:pPr>
              <w:spacing w:after="0"/>
              <w:rPr>
                <w:sz w:val="18"/>
                <w:szCs w:val="18"/>
                <w:color w:val="auto"/>
              </w:rPr>
            </w:pPr>
          </w:p>
        </w:tc>
      </w:tr>
      <w:tr>
        <w:trPr>
          <w:trHeight w:val="269"/>
        </w:trPr>
        <w:tc>
          <w:tcPr>
            <w:tcW w:w="9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7"/>
                <w:szCs w:val="17"/>
                <w:color w:val="0000FF"/>
              </w:rPr>
              <w:t>MIAMI</w:t>
            </w:r>
          </w:p>
        </w:tc>
        <w:tc>
          <w:tcPr>
            <w:tcW w:w="12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FL</w:t>
            </w:r>
          </w:p>
        </w:tc>
        <w:tc>
          <w:tcPr>
            <w:tcW w:w="152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33137</w:t>
            </w:r>
          </w:p>
        </w:tc>
      </w:tr>
      <w:tr>
        <w:trPr>
          <w:trHeight w:val="155"/>
        </w:trPr>
        <w:tc>
          <w:tcPr>
            <w:tcW w:w="40" w:type="dxa"/>
            <w:vAlign w:val="bottom"/>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3"/>
                <w:szCs w:val="13"/>
                <w:color w:val="auto"/>
              </w:rPr>
              <w:t>(City)</w:t>
            </w:r>
          </w:p>
        </w:tc>
        <w:tc>
          <w:tcPr>
            <w:tcW w:w="1240" w:type="dxa"/>
            <w:vAlign w:val="bottom"/>
          </w:tcPr>
          <w:p>
            <w:pPr>
              <w:ind w:left="340"/>
              <w:spacing w:after="0"/>
              <w:rPr>
                <w:sz w:val="20"/>
                <w:szCs w:val="20"/>
                <w:color w:val="auto"/>
              </w:rPr>
            </w:pPr>
            <w:r>
              <w:rPr>
                <w:rFonts w:ascii="Arial" w:cs="Arial" w:eastAsia="Arial" w:hAnsi="Arial"/>
                <w:sz w:val="13"/>
                <w:szCs w:val="13"/>
                <w:color w:val="auto"/>
              </w:rPr>
              <w:t>(State)</w:t>
            </w:r>
          </w:p>
        </w:tc>
        <w:tc>
          <w:tcPr>
            <w:tcW w:w="1520" w:type="dxa"/>
            <w:vAlign w:val="bottom"/>
          </w:tcPr>
          <w:p>
            <w:pPr>
              <w:ind w:left="3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GeneDx Holdings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WGS</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40" w:type="dxa"/>
            <w:vAlign w:val="bottom"/>
            <w:tcBorders>
              <w:bottom w:val="single" w:sz="8" w:color="0000EE"/>
            </w:tcBorders>
          </w:tcPr>
          <w:p>
            <w:pPr>
              <w:spacing w:after="0"/>
              <w:rPr>
                <w:sz w:val="3"/>
                <w:szCs w:val="3"/>
                <w:color w:val="auto"/>
              </w:rPr>
            </w:pPr>
          </w:p>
        </w:tc>
        <w:tc>
          <w:tcPr>
            <w:tcW w:w="1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940" w:type="dxa"/>
            <w:vAlign w:val="bottom"/>
            <w:tcBorders>
              <w:bottom w:val="single" w:sz="8" w:color="2C2C2C"/>
            </w:tcBorders>
          </w:tcPr>
          <w:p>
            <w:pPr>
              <w:spacing w:after="0"/>
              <w:rPr>
                <w:sz w:val="10"/>
                <w:szCs w:val="10"/>
                <w:color w:val="auto"/>
              </w:rPr>
            </w:pPr>
          </w:p>
        </w:tc>
        <w:tc>
          <w:tcPr>
            <w:tcW w:w="168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21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07/05/2024</w:t>
            </w:r>
          </w:p>
        </w:tc>
        <w:tc>
          <w:tcPr>
            <w:tcW w:w="1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940" w:type="dxa"/>
            <w:vAlign w:val="bottom"/>
            <w:tcBorders>
              <w:bottom w:val="single" w:sz="8" w:color="2C2C2C"/>
            </w:tcBorders>
          </w:tcPr>
          <w:p>
            <w:pPr>
              <w:spacing w:after="0"/>
              <w:rPr>
                <w:sz w:val="8"/>
                <w:szCs w:val="8"/>
                <w:color w:val="auto"/>
              </w:rPr>
            </w:pPr>
          </w:p>
        </w:tc>
        <w:tc>
          <w:tcPr>
            <w:tcW w:w="16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07/05/2024</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36,118</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28.2412</w:t>
            </w:r>
            <w:r>
              <w:rPr>
                <w:rFonts w:ascii="Times New Roman" w:cs="Times New Roman" w:eastAsia="Times New Roman" w:hAnsi="Times New Roman"/>
                <w:sz w:val="22"/>
                <w:szCs w:val="22"/>
                <w:color w:val="008000"/>
                <w:vertAlign w:val="superscript"/>
              </w:rPr>
              <w:t>(1)</w:t>
            </w:r>
          </w:p>
        </w:tc>
        <w:tc>
          <w:tcPr>
            <w:tcW w:w="118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3,433,403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$28.00 to $28.75, inclusive. The reporting person undertakes to provide to GeneDx Holdings Corp. (the "Company"), any security holder of the Company or the staff of the Securities and Exchange Commission, upon request, full information regarding the number of shares purchased at each separate price within the range set forth in footnote (1) to this Form 4.</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Steven D. Rubin, Exec. VP -</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07/09/2024</w:t>
            </w:r>
          </w:p>
        </w:tc>
        <w:tc>
          <w:tcPr>
            <w:tcW w:w="0" w:type="dxa"/>
            <w:vAlign w:val="bottom"/>
          </w:tcPr>
          <w:p>
            <w:pPr>
              <w:spacing w:after="0"/>
              <w:rPr>
                <w:sz w:val="1"/>
                <w:szCs w:val="1"/>
                <w:color w:val="auto"/>
              </w:rPr>
            </w:pPr>
          </w:p>
        </w:tc>
      </w:tr>
      <w:tr>
        <w:trPr>
          <w:trHeight w:val="87"/>
        </w:trPr>
        <w:tc>
          <w:tcPr>
            <w:tcW w:w="106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Administration</w:t>
            </w:r>
          </w:p>
        </w:tc>
        <w:tc>
          <w:tcPr>
            <w:tcW w:w="94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060" w:type="dxa"/>
            <w:vAlign w:val="bottom"/>
            <w:tcBorders>
              <w:top w:val="single" w:sz="8" w:color="auto"/>
              <w:bottom w:val="single" w:sz="8" w:color="auto"/>
            </w:tcBorders>
            <w:vMerge w:val="continue"/>
          </w:tcPr>
          <w:p>
            <w:pPr>
              <w:spacing w:after="0"/>
              <w:rPr>
                <w:sz w:val="7"/>
                <w:szCs w:val="7"/>
                <w:color w:val="auto"/>
              </w:rPr>
            </w:pPr>
          </w:p>
        </w:tc>
        <w:tc>
          <w:tcPr>
            <w:tcW w:w="94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0944809"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2024-07-09T15:11:12Z</dcterms:created>
  <dcterms:modified xsi:type="dcterms:W3CDTF">2024-07-09T15:11:12Z</dcterms:modified>
</cp:coreProperties>
</file>