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09/16/2025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09/16/2025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ind w:right="116"/>
              <w:spacing w:after="0"/>
              <w:rPr>
                <w:sz w:val="20"/>
                <w:szCs w:val="20"/>
                <w:color w:val="auto"/>
              </w:rPr>
            </w:pPr>
            <w:r>
              <w:rPr>
                <w:rFonts w:ascii="Times New Roman" w:cs="Times New Roman" w:eastAsia="Times New Roman" w:hAnsi="Times New Roman"/>
                <w:sz w:val="17"/>
                <w:szCs w:val="17"/>
                <w:color w:val="0000FF"/>
              </w:rPr>
              <w:t>18,750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25,079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09/16/2025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116"/>
              <w:spacing w:after="0"/>
              <w:rPr>
                <w:sz w:val="20"/>
                <w:szCs w:val="20"/>
                <w:color w:val="auto"/>
              </w:rPr>
            </w:pPr>
            <w:r>
              <w:rPr>
                <w:rFonts w:ascii="Times New Roman" w:cs="Times New Roman" w:eastAsia="Times New Roman" w:hAnsi="Times New Roman"/>
                <w:sz w:val="17"/>
                <w:szCs w:val="17"/>
                <w:color w:val="0000FF"/>
              </w:rPr>
              <w:t>10,501</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121.4727</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14,578</w:t>
            </w:r>
            <w:r>
              <w:rPr>
                <w:rFonts w:ascii="Times New Roman" w:cs="Times New Roman" w:eastAsia="Times New Roman" w:hAnsi="Times New Roman"/>
                <w:sz w:val="21"/>
                <w:szCs w:val="21"/>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18,750</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09/16/2025</w:t>
            </w:r>
          </w:p>
        </w:tc>
        <w:tc>
          <w:tcPr>
            <w:tcW w:w="1140" w:type="dxa"/>
            <w:vAlign w:val="bottom"/>
          </w:tcPr>
          <w:p>
            <w:pPr>
              <w:spacing w:after="0"/>
              <w:rPr>
                <w:sz w:val="5"/>
                <w:szCs w:val="5"/>
                <w:color w:val="auto"/>
              </w:rPr>
            </w:pPr>
          </w:p>
        </w:tc>
        <w:tc>
          <w:tcPr>
            <w:tcW w:w="4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20" w:type="dxa"/>
            <w:vAlign w:val="bottom"/>
            <w:gridSpan w:val="2"/>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w w:val="94"/>
              </w:rPr>
              <w:t>18,750</w:t>
            </w: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gridSpan w:val="2"/>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w w:val="94"/>
              </w:rPr>
              <w:t>112,500</w:t>
            </w:r>
          </w:p>
        </w:tc>
        <w:tc>
          <w:tcPr>
            <w:tcW w:w="26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as part of a block trade for multiple security holders of the Issuer in multiple transactions at prices ranging from $118.28 to $123.07,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 with regard to the block trade.</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sales, in addition to the 14,578 shares of Class A common stock beneficially owned by the Reporting Person, the Reporting Person beneficially owned restricted stock units ("RSUs") representing contingent rights to receive up to an aggregate of 444,539 shares of Class A common stock and options to purchase up to an aggregate of 107,610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09/18/2025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2025-09-18T17:09:45Z</dcterms:created>
  <dcterms:modified xsi:type="dcterms:W3CDTF">2025-09-18T17:09:45Z</dcterms:modified>
</cp:coreProperties>
</file>