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771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77151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669"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Feeley Kevin</w:t>
              </w:r>
            </w:hyperlink>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0" w:type="dxa"/>
            <w:vAlign w:val="bottom"/>
            <w:tcBorders>
              <w:top w:val="single" w:sz="8" w:color="0000EE"/>
            </w:tcBorders>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122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ind w:left="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C/O GENEDX HOLDINGS CORP.</w:t>
            </w:r>
          </w:p>
        </w:tc>
        <w:tc>
          <w:tcPr>
            <w:tcW w:w="1220" w:type="dxa"/>
            <w:vAlign w:val="bottom"/>
          </w:tcPr>
          <w:p>
            <w:pPr>
              <w:spacing w:after="0"/>
              <w:rPr>
                <w:sz w:val="18"/>
                <w:szCs w:val="18"/>
                <w:color w:val="auto"/>
              </w:rPr>
            </w:pPr>
          </w:p>
        </w:tc>
        <w:tc>
          <w:tcPr>
            <w:tcW w:w="214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03/26/2024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3"/>
            <w:vMerge w:val="continue"/>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0"/>
          <w:szCs w:val="20"/>
          <w:color w:val="auto"/>
        </w:rPr>
      </w:pPr>
    </w:p>
    <w:p>
      <w:pPr>
        <w:ind w:left="50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87" w:lineRule="exact"/>
        <w:rPr>
          <w:sz w:val="20"/>
          <w:szCs w:val="20"/>
          <w:color w:val="auto"/>
        </w:rPr>
      </w:pPr>
    </w:p>
    <w:p>
      <w:pPr>
        <w:sectPr>
          <w:pgSz w:w="11900" w:h="16838" w:orient="portrait"/>
          <w:cols w:equalWidth="0" w:num="2">
            <w:col w:w="7680" w:space="56"/>
            <w:col w:w="3344"/>
          </w:cols>
          <w:pgMar w:left="460" w:top="216" w:right="359" w:bottom="669"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56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4"/>
                <w:szCs w:val="14"/>
                <w:color w:val="auto"/>
              </w:rPr>
            </w:pPr>
          </w:p>
        </w:tc>
        <w:tc>
          <w:tcPr>
            <w:tcW w:w="3720" w:type="dxa"/>
            <w:vAlign w:val="bottom"/>
            <w:gridSpan w:val="10"/>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278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68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3"/>
          </w:tcPr>
          <w:p>
            <w:pPr>
              <w:ind w:left="6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4"/>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2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80" w:type="dxa"/>
            <w:vAlign w:val="bottom"/>
            <w:gridSpan w:val="3"/>
          </w:tcPr>
          <w:p>
            <w:pPr>
              <w:ind w:left="6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4"/>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03/13/2025</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402</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90.0542</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5,044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03/16/2025</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7,197</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12,241</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03/17/2025</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3,749</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jc w:val="center"/>
              <w:ind w:right="3"/>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96.7098</w:t>
            </w:r>
            <w:r>
              <w:rPr>
                <w:rFonts w:ascii="Times New Roman" w:cs="Times New Roman" w:eastAsia="Times New Roman" w:hAnsi="Times New Roman"/>
                <w:sz w:val="21"/>
                <w:szCs w:val="21"/>
                <w:color w:val="008000"/>
                <w:w w:val="93"/>
                <w:vertAlign w:val="superscript"/>
              </w:rPr>
              <w:t>(2)</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9"/>
              </w:rPr>
              <w:t>8,492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5"/>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Underlying</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(D) (Instr. 3,</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40" w:type="dxa"/>
            <w:vAlign w:val="bottom"/>
            <w:gridSpan w:val="2"/>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4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vMerge w:val="restart"/>
          </w:tcPr>
          <w:p>
            <w:pPr>
              <w:jc w:val="center"/>
              <w:ind w:left="37"/>
              <w:spacing w:after="0"/>
              <w:rPr>
                <w:sz w:val="20"/>
                <w:szCs w:val="20"/>
                <w:color w:val="auto"/>
              </w:rPr>
            </w:pPr>
            <w:r>
              <w:rPr>
                <w:rFonts w:ascii="Times New Roman" w:cs="Times New Roman" w:eastAsia="Times New Roman" w:hAnsi="Times New Roman"/>
                <w:sz w:val="11"/>
                <w:szCs w:val="11"/>
                <w:color w:val="008000"/>
                <w:w w:val="93"/>
              </w:rPr>
              <w:t>(4)</w:t>
            </w:r>
          </w:p>
        </w:tc>
        <w:tc>
          <w:tcPr>
            <w:tcW w:w="540" w:type="dxa"/>
            <w:vAlign w:val="bottom"/>
          </w:tcPr>
          <w:p>
            <w:pPr>
              <w:ind w:left="140"/>
              <w:spacing w:after="0"/>
              <w:rPr>
                <w:sz w:val="20"/>
                <w:szCs w:val="20"/>
                <w:color w:val="auto"/>
              </w:rPr>
            </w:pPr>
            <w:r>
              <w:rPr>
                <w:rFonts w:ascii="Times New Roman" w:cs="Times New Roman" w:eastAsia="Times New Roman" w:hAnsi="Times New Roman"/>
                <w:sz w:val="13"/>
                <w:szCs w:val="13"/>
                <w:color w:val="0000FF"/>
                <w:w w:val="92"/>
              </w:rPr>
              <w:t>Class A</w:t>
            </w:r>
          </w:p>
        </w:tc>
        <w:tc>
          <w:tcPr>
            <w:tcW w:w="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65,000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03/26/2024</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5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65,000</w:t>
            </w: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65,000</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ind w:left="37"/>
              <w:spacing w:after="0"/>
              <w:rPr>
                <w:sz w:val="20"/>
                <w:szCs w:val="20"/>
                <w:color w:val="auto"/>
              </w:rPr>
            </w:pPr>
            <w:r>
              <w:rPr>
                <w:rFonts w:ascii="Times New Roman" w:cs="Times New Roman" w:eastAsia="Times New Roman" w:hAnsi="Times New Roman"/>
                <w:sz w:val="11"/>
                <w:szCs w:val="11"/>
                <w:color w:val="008000"/>
                <w:w w:val="93"/>
              </w:rPr>
              <w:t>(5)</w:t>
            </w:r>
          </w:p>
        </w:tc>
        <w:tc>
          <w:tcPr>
            <w:tcW w:w="540" w:type="dxa"/>
            <w:vAlign w:val="bottom"/>
          </w:tcPr>
          <w:p>
            <w:pPr>
              <w:ind w:left="140"/>
              <w:spacing w:after="0"/>
              <w:rPr>
                <w:sz w:val="20"/>
                <w:szCs w:val="20"/>
                <w:color w:val="auto"/>
              </w:rPr>
            </w:pPr>
            <w:r>
              <w:rPr>
                <w:rFonts w:ascii="Times New Roman" w:cs="Times New Roman" w:eastAsia="Times New Roman" w:hAnsi="Times New Roman"/>
                <w:sz w:val="13"/>
                <w:szCs w:val="13"/>
                <w:color w:val="0000FF"/>
                <w:w w:val="92"/>
              </w:rPr>
              <w:t>Class A</w:t>
            </w:r>
          </w:p>
        </w:tc>
        <w:tc>
          <w:tcPr>
            <w:tcW w:w="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15,261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03/15/2025</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5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15,261</w:t>
            </w: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15,261</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ind w:left="37"/>
              <w:spacing w:after="0"/>
              <w:rPr>
                <w:sz w:val="20"/>
                <w:szCs w:val="20"/>
                <w:color w:val="auto"/>
              </w:rPr>
            </w:pPr>
            <w:r>
              <w:rPr>
                <w:rFonts w:ascii="Times New Roman" w:cs="Times New Roman" w:eastAsia="Times New Roman" w:hAnsi="Times New Roman"/>
                <w:sz w:val="11"/>
                <w:szCs w:val="11"/>
                <w:color w:val="008000"/>
                <w:w w:val="93"/>
              </w:rPr>
              <w:t>(6)</w:t>
            </w:r>
          </w:p>
        </w:tc>
        <w:tc>
          <w:tcPr>
            <w:tcW w:w="540" w:type="dxa"/>
            <w:vAlign w:val="bottom"/>
          </w:tcPr>
          <w:p>
            <w:pPr>
              <w:ind w:left="140"/>
              <w:spacing w:after="0"/>
              <w:rPr>
                <w:sz w:val="20"/>
                <w:szCs w:val="20"/>
                <w:color w:val="auto"/>
              </w:rPr>
            </w:pPr>
            <w:r>
              <w:rPr>
                <w:rFonts w:ascii="Times New Roman" w:cs="Times New Roman" w:eastAsia="Times New Roman" w:hAnsi="Times New Roman"/>
                <w:sz w:val="13"/>
                <w:szCs w:val="13"/>
                <w:color w:val="0000FF"/>
                <w:w w:val="92"/>
              </w:rPr>
              <w:t>Class A</w:t>
            </w:r>
          </w:p>
        </w:tc>
        <w:tc>
          <w:tcPr>
            <w:tcW w:w="40" w:type="dxa"/>
            <w:vAlign w:val="bottom"/>
          </w:tcPr>
          <w:p>
            <w:pPr>
              <w:spacing w:after="0"/>
              <w:rPr>
                <w:sz w:val="15"/>
                <w:szCs w:val="15"/>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7,197</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03/16/2025</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gridSpan w:val="2"/>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w w:val="95"/>
              </w:rPr>
              <w:t>7,197</w:t>
            </w:r>
          </w:p>
        </w:tc>
        <w:tc>
          <w:tcPr>
            <w:tcW w:w="76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80" w:type="dxa"/>
            <w:vAlign w:val="bottom"/>
            <w:gridSpan w:val="2"/>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57,575</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-2524125</wp:posOffset>
            </wp:positionV>
            <wp:extent cx="29210" cy="252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298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64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9" w:lineRule="exact"/>
        <w:rPr>
          <w:rFonts w:ascii="Times New Roman" w:cs="Times New Roman" w:eastAsia="Times New Roman" w:hAnsi="Times New Roman"/>
          <w:sz w:val="13"/>
          <w:szCs w:val="13"/>
          <w:color w:val="008000"/>
        </w:rPr>
      </w:pPr>
    </w:p>
    <w:p>
      <w:pPr>
        <w:ind w:left="40" w:right="26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$96.67 to $96.71 per share,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1" w:lineRule="exact"/>
        <w:rPr>
          <w:rFonts w:ascii="Times New Roman" w:cs="Times New Roman" w:eastAsia="Times New Roman" w:hAnsi="Times New Roman"/>
          <w:sz w:val="13"/>
          <w:szCs w:val="13"/>
          <w:color w:val="008000"/>
        </w:rPr>
      </w:pPr>
    </w:p>
    <w:p>
      <w:pPr>
        <w:ind w:left="40" w:right="32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26, 2024, Kevin Feeley was granted an RSU award for 65,000 RSUs. 25% of the underlying restricted stock units each vests annually, commencing on March 26, 2025, until fully vested, subject to the Reporting Person's continued service to the Issuer on each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underlying restricted stock units each vests annually, commencing on March 15, 2026, until fully vested, subject to the Reporting Person's continued service to the Issuer on each vesting date.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03/17/2025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816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161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6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2025-03-17T20:53:38Z</dcterms:created>
  <dcterms:modified xsi:type="dcterms:W3CDTF">2025-03-17T20:53:38Z</dcterms:modified>
</cp:coreProperties>
</file>