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CURRENT REPORT</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Pursuant to Section 13 OR 15(d) of The Securities Exchange Act of 1934</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January 2, 2025</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001-39482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88265</wp:posOffset>
            </wp:positionV>
            <wp:extent cx="1440180" cy="497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0180"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GeneDx Holdings Corp.</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20"/>
          </w:cols>
          <w:pgMar w:left="320" w:top="1262" w:right="359" w:bottom="1440" w:gutter="0" w:footer="0" w:header="0"/>
        </w:sectPr>
      </w:pPr>
    </w:p>
    <w:p>
      <w:pPr>
        <w:spacing w:after="0" w:line="154"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85-1966622</w:t>
      </w:r>
    </w:p>
    <w:p>
      <w:pPr>
        <w:spacing w:after="0" w:line="54" w:lineRule="exact"/>
        <w:rPr>
          <w:sz w:val="24"/>
          <w:szCs w:val="24"/>
          <w:color w:val="auto"/>
        </w:rPr>
      </w:pPr>
    </w:p>
    <w:p>
      <w:pPr>
        <w:sectPr>
          <w:pgSz w:w="11900" w:h="16838" w:orient="portrait"/>
          <w:cols w:equalWidth="0" w:num="2">
            <w:col w:w="7260" w:space="720"/>
            <w:col w:w="3240"/>
          </w:cols>
          <w:pgMar w:left="320" w:top="1262" w:right="359" w:bottom="1440" w:gutter="0" w:footer="0" w:header="0"/>
          <w:type w:val="continuous"/>
        </w:sectPr>
      </w:pPr>
    </w:p>
    <w:p>
      <w:pPr>
        <w:ind w:left="68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11" w:lineRule="exact"/>
        <w:rPr>
          <w:sz w:val="24"/>
          <w:szCs w:val="24"/>
          <w:color w:val="auto"/>
        </w:rPr>
      </w:pPr>
    </w:p>
    <w:p>
      <w:pPr>
        <w:sectPr>
          <w:pgSz w:w="11900" w:h="16838" w:orient="portrait"/>
          <w:cols w:equalWidth="0" w:num="2">
            <w:col w:w="6400" w:space="720"/>
            <w:col w:w="4100"/>
          </w:cols>
          <w:pgMar w:left="320" w:top="1262" w:right="359" w:bottom="1440" w:gutter="0" w:footer="0" w:header="0"/>
          <w:type w:val="continuous"/>
        </w:sect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333 Ludlow Street, North Tower; 6th Floor</w:t>
      </w:r>
    </w:p>
    <w:p>
      <w:pPr>
        <w:spacing w:after="0" w:line="2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Stamford, Connecticut 06902</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(888) 729-1206</w:t>
      </w:r>
    </w:p>
    <w:p>
      <w:pPr>
        <w:spacing w:after="0" w:line="337"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08"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329"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522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8"/>
        </w:trPr>
        <w:tc>
          <w:tcPr>
            <w:tcW w:w="20" w:type="dxa"/>
            <w:vAlign w:val="bottom"/>
          </w:tcPr>
          <w:p>
            <w:pPr>
              <w:spacing w:after="0"/>
              <w:rPr>
                <w:sz w:val="18"/>
                <w:szCs w:val="18"/>
                <w:color w:val="auto"/>
              </w:rPr>
            </w:pPr>
          </w:p>
        </w:tc>
        <w:tc>
          <w:tcPr>
            <w:tcW w:w="5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100" w:type="dxa"/>
            <w:vAlign w:val="bottom"/>
          </w:tcPr>
          <w:p>
            <w:pPr>
              <w:spacing w:after="0"/>
              <w:rPr>
                <w:sz w:val="18"/>
                <w:szCs w:val="18"/>
                <w:color w:val="auto"/>
              </w:rPr>
            </w:pPr>
          </w:p>
        </w:tc>
        <w:tc>
          <w:tcPr>
            <w:tcW w:w="1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WGS</w:t>
            </w:r>
          </w:p>
        </w:tc>
        <w:tc>
          <w:tcPr>
            <w:tcW w:w="80" w:type="dxa"/>
            <w:vAlign w:val="bottom"/>
          </w:tcPr>
          <w:p>
            <w:pPr>
              <w:spacing w:after="0"/>
              <w:rPr>
                <w:sz w:val="18"/>
                <w:szCs w:val="18"/>
                <w:color w:val="auto"/>
              </w:rPr>
            </w:pPr>
          </w:p>
        </w:tc>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80"/>
        </w:trPr>
        <w:tc>
          <w:tcPr>
            <w:tcW w:w="20" w:type="dxa"/>
            <w:vAlign w:val="bottom"/>
          </w:tcPr>
          <w:p>
            <w:pPr>
              <w:spacing w:after="0"/>
              <w:rPr>
                <w:sz w:val="15"/>
                <w:szCs w:val="15"/>
                <w:color w:val="auto"/>
              </w:rPr>
            </w:pPr>
          </w:p>
        </w:tc>
        <w:tc>
          <w:tcPr>
            <w:tcW w:w="52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Warrants to purchase one share of Class A common stock, each at an</w:t>
            </w:r>
          </w:p>
        </w:tc>
        <w:tc>
          <w:tcPr>
            <w:tcW w:w="1700" w:type="dxa"/>
            <w:vAlign w:val="bottom"/>
            <w:gridSpan w:val="2"/>
          </w:tcPr>
          <w:p>
            <w:pPr>
              <w:jc w:val="center"/>
              <w:ind w:right="80"/>
              <w:spacing w:after="0" w:line="181" w:lineRule="exact"/>
              <w:rPr>
                <w:sz w:val="20"/>
                <w:szCs w:val="20"/>
                <w:color w:val="auto"/>
              </w:rPr>
            </w:pPr>
            <w:r>
              <w:rPr>
                <w:rFonts w:ascii="Times New Roman" w:cs="Times New Roman" w:eastAsia="Times New Roman" w:hAnsi="Times New Roman"/>
                <w:sz w:val="18"/>
                <w:szCs w:val="18"/>
                <w:color w:val="auto"/>
                <w:w w:val="99"/>
              </w:rPr>
              <w:t>WGSWW</w:t>
            </w:r>
          </w:p>
        </w:tc>
        <w:tc>
          <w:tcPr>
            <w:tcW w:w="428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20" w:type="dxa"/>
            <w:vAlign w:val="bottom"/>
          </w:tcPr>
          <w:p>
            <w:pPr>
              <w:spacing w:after="0"/>
              <w:rPr>
                <w:sz w:val="20"/>
                <w:szCs w:val="20"/>
                <w:color w:val="auto"/>
              </w:rPr>
            </w:pPr>
          </w:p>
        </w:tc>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exercise price of $379.50 per share</w:t>
            </w: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80" w:type="dxa"/>
            <w:vAlign w:val="bottom"/>
          </w:tcPr>
          <w:p>
            <w:pPr>
              <w:spacing w:after="0"/>
              <w:rPr>
                <w:sz w:val="20"/>
                <w:szCs w:val="20"/>
                <w:color w:val="auto"/>
              </w:rPr>
            </w:pPr>
          </w:p>
        </w:tc>
      </w:tr>
    </w:tbl>
    <w:p>
      <w:pPr>
        <w:spacing w:after="0" w:line="193"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15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775970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2" w:right="359" w:bottom="1440" w:gutter="0" w:footer="0" w:header="0"/>
          <w:type w:val="continuous"/>
        </w:sectPr>
      </w:pPr>
    </w:p>
    <w:bookmarkStart w:id="1" w:name="page2"/>
    <w:bookmarkEnd w:id="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 2025, GeneDx Holdings Corp. (the “Company”) announced the appointment of Bryan Dechairo, Ph.D., age 52, in the newly created role of Chief Operating Officer, effective immediately. As Chief Operating Officer, Dr. Dechairo will oversee Product &amp; Technology, Operations, Medical Affairs, Innovation and the Program Management teams at the Company. In addition, Dr. Dechairo will report to Katherine Stueland, Chief Executive Officer and President of the Company, and will serve on the Company’s executive leadership team.</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joining the Company, Dr. Dechairo served as President and Chief Executive Officer of Sherlock Biosciences, Inc., from July 2021 to December 2024. Dr. Dechairo also held executive leadership roles at prominent diagnostic and pharmaceutical companies, including at Myriad Genetics, Inc., where he was executive vice president of clinical development, and at Assurex Health, Inc., where he was chief medical officer, chief scientific officer and senior vice president of research and development. Dr. Dechairo holds a Ph.D. in Human Genetics from the University College of London and a B.A. in Integrative Biology from the University of California Berkeley.</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appointment, GeneDx, LLC, a Delaware limited liability company and a wholly-owned subsidiary of the Company, and Dr. Dechairo entered into an employment agreement providing for (i) a total annual base salary of $450,000, (ii) a target annual bonus of 50% of Dr. Dechairo’s total annual base salary, (iii) a one-time sign-on bonus of $75,000 payable in a single lump-sum within 30 days after July 2, 2025, subject to Dr. Dechairo’s continued employment through July 2, 2025, (iv) a one-time sign-on bonus of $75,000 payable in a single-lump sum within 30 days after July 2, 2026, subject to Dr. Dechairo’s continued employment through July 2, 2026 and (v) a grant of restricted stock units with an aggregate grant-date value of $2,700,000, which will vest in equal annual installments over a four-year period, subject to Dr Dechair’s continued service with the Company on each applicable vesting date. The employment agreement provides for an initial term of three years and automatically renews for successive one-year terms unless earlier terminated.</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his employment agreement, if Dr. Dechairo is terminated without “cause” or resigns for “good reason” (as such terms are defined in his employment agreement) or the Company fails to renew the term other than in connection with a change in control, he will be entitled to receive 9 months of base salary continuation and 12 months of continued coverage under the Company’s group health benefit plans, subject to his execution of a release of claims. If instead such termination occurs within the 12-month period following a change in control, he will be entitled to receive 12 months of base salary continuation, a lump sum payment equal to one times his target annual bonus, 12 months of continued coverage under the Company’s group health benefit plans, and accelerated vesting of his outstanding equity-based compensation awards, subject to his execution of a release of claims.</w:t>
      </w:r>
    </w:p>
    <w:p>
      <w:pPr>
        <w:spacing w:after="0" w:line="1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of Dr. Dechairo’s employment agreement does not purport to be complete and is qualified in its entirety by reference to the full text of such employment agreement, a copy of which is attached as Exhibit 10.1 and is incorporated herein by reference.</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Dr. Dechairo will also enter into the Company’s standard indemnification agreement, a form of which was previously filed with the Securities and Exchange Commission as Exhibit 10.4 to the Company’s Form 8-K (File No. 001-39482) on July 28, 2021.</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Dr. Dechairo has no family relationships that require disclosure pursuant to Item 401(d) of Regulation S-K and has not been involved in any transactions that require disclosure pursuant to Item 404(a) of Regulation S-K. There is no arrangement or understanding between Dr. Dechairo and any other person pursuant to which Dr. Dechairo was named Chief Operating Officer of the Company.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2, 2025, the Company issued a press release announcing Dr. Dechairo’s appointment as Chief Operating Officer, a copy of which is attached hereto as Exhibit 99.1 and is incorporated by reference into this Item 7.01. The information in this Item 7.01 and Exhibit 99.1 attached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 w:type="dxa"/>
            <w:vAlign w:val="bottom"/>
          </w:tcPr>
          <w:p>
            <w:pPr>
              <w:spacing w:after="0"/>
              <w:rPr>
                <w:sz w:val="18"/>
                <w:szCs w:val="18"/>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 No</w:t>
            </w:r>
          </w:p>
        </w:tc>
        <w:tc>
          <w:tcPr>
            <w:tcW w:w="220" w:type="dxa"/>
            <w:vAlign w:val="bottom"/>
          </w:tcPr>
          <w:p>
            <w:pPr>
              <w:spacing w:after="0"/>
              <w:rPr>
                <w:sz w:val="18"/>
                <w:szCs w:val="18"/>
                <w:color w:val="auto"/>
              </w:rPr>
            </w:pPr>
          </w:p>
        </w:tc>
        <w:tc>
          <w:tcPr>
            <w:tcW w:w="99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66"/>
        </w:trPr>
        <w:tc>
          <w:tcPr>
            <w:tcW w:w="220" w:type="dxa"/>
            <w:vAlign w:val="bottom"/>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7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0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5"/>
              </w:rPr>
              <w:t>10.1</w:t>
            </w:r>
          </w:p>
        </w:tc>
        <w:tc>
          <w:tcPr>
            <w:tcW w:w="220" w:type="dxa"/>
            <w:vAlign w:val="bottom"/>
          </w:tcPr>
          <w:p>
            <w:pPr>
              <w:spacing w:after="0"/>
              <w:rPr>
                <w:sz w:val="24"/>
                <w:szCs w:val="24"/>
                <w:color w:val="auto"/>
              </w:rPr>
            </w:pPr>
          </w:p>
        </w:tc>
        <w:tc>
          <w:tcPr>
            <w:tcW w:w="99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Employment Agreement by and between Dr. Bryan Dechairo and GeneDx, LLC, dated as of October 10, 2024.</w:t>
            </w:r>
          </w:p>
        </w:tc>
        <w:tc>
          <w:tcPr>
            <w:tcW w:w="0" w:type="dxa"/>
            <w:vAlign w:val="bottom"/>
          </w:tcPr>
          <w:p>
            <w:pPr>
              <w:spacing w:after="0"/>
              <w:rPr>
                <w:sz w:val="1"/>
                <w:szCs w:val="1"/>
                <w:color w:val="auto"/>
              </w:rPr>
            </w:pPr>
          </w:p>
        </w:tc>
      </w:tr>
      <w:tr>
        <w:trPr>
          <w:trHeight w:val="20"/>
        </w:trPr>
        <w:tc>
          <w:tcPr>
            <w:tcW w:w="1040" w:type="dxa"/>
            <w:vAlign w:val="bottom"/>
            <w:gridSpan w:val="2"/>
            <w:vMerge w:val="restart"/>
          </w:tcPr>
          <w:p>
            <w:pPr>
              <w:jc w:val="center"/>
              <w:ind w:left="130"/>
              <w:spacing w:after="0"/>
              <w:rPr>
                <w:sz w:val="20"/>
                <w:szCs w:val="20"/>
                <w:color w:val="auto"/>
              </w:rPr>
            </w:pPr>
            <w:r>
              <w:rPr>
                <w:rFonts w:ascii="Times New Roman" w:cs="Times New Roman" w:eastAsia="Times New Roman" w:hAnsi="Times New Roman"/>
                <w:sz w:val="18"/>
                <w:szCs w:val="18"/>
                <w:color w:val="auto"/>
                <w:w w:val="95"/>
              </w:rPr>
              <w:t>99.1</w:t>
            </w:r>
          </w:p>
        </w:tc>
        <w:tc>
          <w:tcPr>
            <w:tcW w:w="220" w:type="dxa"/>
            <w:vAlign w:val="bottom"/>
          </w:tcPr>
          <w:p>
            <w:pPr>
              <w:spacing w:after="0" w:line="20" w:lineRule="exact"/>
              <w:rPr>
                <w:sz w:val="1"/>
                <w:szCs w:val="1"/>
                <w:color w:val="auto"/>
              </w:rPr>
            </w:pPr>
          </w:p>
        </w:tc>
        <w:tc>
          <w:tcPr>
            <w:tcW w:w="80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99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Press Release, dated January 2, 2025, regarding the registrant's appointment of its new Chief Operating Officer.</w:t>
            </w:r>
          </w:p>
        </w:tc>
        <w:tc>
          <w:tcPr>
            <w:tcW w:w="0" w:type="dxa"/>
            <w:vAlign w:val="bottom"/>
          </w:tcPr>
          <w:p>
            <w:pPr>
              <w:spacing w:after="0"/>
              <w:rPr>
                <w:sz w:val="1"/>
                <w:szCs w:val="1"/>
                <w:color w:val="auto"/>
              </w:rPr>
            </w:pPr>
          </w:p>
        </w:tc>
      </w:tr>
      <w:tr>
        <w:trPr>
          <w:trHeight w:val="1215"/>
        </w:trPr>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00" w:type="dxa"/>
            <w:vAlign w:val="bottom"/>
            <w:tcBorders>
              <w:top w:val="single" w:sz="8" w:color="0000FF"/>
              <w:bottom w:val="single" w:sz="8" w:color="9A9A9A"/>
            </w:tcBorders>
          </w:tcPr>
          <w:p>
            <w:pPr>
              <w:spacing w:after="0"/>
              <w:rPr>
                <w:sz w:val="24"/>
                <w:szCs w:val="24"/>
                <w:color w:val="auto"/>
              </w:rPr>
            </w:pPr>
          </w:p>
        </w:tc>
        <w:tc>
          <w:tcPr>
            <w:tcW w:w="7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6480" w:type="dxa"/>
            <w:vAlign w:val="bottom"/>
            <w:gridSpan w:val="2"/>
          </w:tcPr>
          <w:p>
            <w:pPr>
              <w:ind w:left="1520"/>
              <w:spacing w:after="0"/>
              <w:rPr>
                <w:sz w:val="20"/>
                <w:szCs w:val="20"/>
                <w:color w:val="auto"/>
              </w:rPr>
            </w:pPr>
            <w:r>
              <w:rPr>
                <w:rFonts w:ascii="Times New Roman" w:cs="Times New Roman" w:eastAsia="Times New Roman" w:hAnsi="Times New Roman"/>
                <w:sz w:val="18"/>
                <w:szCs w:val="18"/>
                <w:b w:val="1"/>
                <w:bCs w:val="1"/>
                <w:color w:val="auto"/>
              </w:rPr>
              <w:t>GENEDX HOLDINGS CORP.</w:t>
            </w:r>
          </w:p>
        </w:tc>
      </w:tr>
      <w:tr>
        <w:trPr>
          <w:trHeight w:val="48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January 2, 2025</w:t>
            </w:r>
          </w:p>
        </w:tc>
        <w:tc>
          <w:tcPr>
            <w:tcW w:w="23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Katherine Stueland</w:t>
            </w:r>
          </w:p>
        </w:tc>
      </w:tr>
      <w:tr>
        <w:trPr>
          <w:trHeight w:val="218"/>
        </w:trPr>
        <w:tc>
          <w:tcPr>
            <w:tcW w:w="6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3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Name:</w:t>
            </w: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Katherine Stueland</w:t>
            </w:r>
          </w:p>
        </w:tc>
      </w:tr>
      <w:tr>
        <w:trPr>
          <w:trHeight w:val="234"/>
        </w:trPr>
        <w:tc>
          <w:tcPr>
            <w:tcW w:w="6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3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Title:</w:t>
            </w: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88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17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THIS EMPLOYMENT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dated as of October 10, 2024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by and between GeneDx, LLC, a Delaware limited liability company (the “</w:t>
      </w:r>
      <w:r>
        <w:rPr>
          <w:rFonts w:ascii="Times New Roman" w:cs="Times New Roman" w:eastAsia="Times New Roman" w:hAnsi="Times New Roman"/>
          <w:sz w:val="18"/>
          <w:szCs w:val="18"/>
          <w:b w:val="1"/>
          <w:bCs w:val="1"/>
          <w:i w:val="1"/>
          <w:iCs w:val="1"/>
          <w:color w:val="auto"/>
        </w:rPr>
        <w:t>Employer</w:t>
      </w:r>
      <w:r>
        <w:rPr>
          <w:rFonts w:ascii="Times New Roman" w:cs="Times New Roman" w:eastAsia="Times New Roman" w:hAnsi="Times New Roman"/>
          <w:sz w:val="18"/>
          <w:szCs w:val="18"/>
          <w:color w:val="auto"/>
        </w:rPr>
        <w:t>”), and Bryan Dechairo (the “</w:t>
      </w:r>
      <w:r>
        <w:rPr>
          <w:rFonts w:ascii="Times New Roman" w:cs="Times New Roman" w:eastAsia="Times New Roman" w:hAnsi="Times New Roman"/>
          <w:sz w:val="18"/>
          <w:szCs w:val="18"/>
          <w:b w:val="1"/>
          <w:bCs w:val="1"/>
          <w:i w:val="1"/>
          <w:iCs w:val="1"/>
          <w:color w:val="auto"/>
        </w:rPr>
        <w:t>Executive</w:t>
      </w:r>
      <w:r>
        <w:rPr>
          <w:rFonts w:ascii="Times New Roman" w:cs="Times New Roman" w:eastAsia="Times New Roman" w:hAnsi="Times New Roman"/>
          <w:sz w:val="18"/>
          <w:szCs w:val="18"/>
          <w:color w:val="auto"/>
        </w:rPr>
        <w:t>”).</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 I T N E S S E T H :</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WHEREAS, the Employer is a wholly-owned subsidiary of GeneDx Holdings Corp. (together with the Employer and any other direct or indirect subsidiaries of GeneDx Holdings Corp., “</w:t>
      </w:r>
      <w:r>
        <w:rPr>
          <w:rFonts w:ascii="Times New Roman" w:cs="Times New Roman" w:eastAsia="Times New Roman" w:hAnsi="Times New Roman"/>
          <w:sz w:val="18"/>
          <w:szCs w:val="18"/>
          <w:b w:val="1"/>
          <w:bCs w:val="1"/>
          <w:i w:val="1"/>
          <w:iCs w:val="1"/>
          <w:color w:val="auto"/>
        </w:rPr>
        <w:t>GeneDx</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WHEREAS, the Employer wishes to set forth the terms and conditions of the Executive’s employment with the Employer, on terms and conditions mutually agreeable and beneficial to the Employer and the Executive; and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the Executive is willing to render services to GeneDx pursuant to the terms and conditions hereof.</w:t>
      </w:r>
    </w:p>
    <w:p>
      <w:pPr>
        <w:spacing w:after="0" w:line="17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covenants and agreements of the parties herein contained, the parties, intending to be legally bound, hereby agree as follows:</w:t>
      </w:r>
    </w:p>
    <w:p>
      <w:pPr>
        <w:spacing w:after="0" w:line="104"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POSITION AND DUTIES.</w:t>
      </w:r>
    </w:p>
    <w:p>
      <w:pPr>
        <w:spacing w:after="0" w:line="175" w:lineRule="exact"/>
        <w:rPr>
          <w:rFonts w:ascii="Times New Roman" w:cs="Times New Roman" w:eastAsia="Times New Roman" w:hAnsi="Times New Roman"/>
          <w:sz w:val="18"/>
          <w:szCs w:val="18"/>
          <w:b w:val="1"/>
          <w:bCs w:val="1"/>
          <w:color w:val="auto"/>
        </w:rPr>
      </w:pPr>
    </w:p>
    <w:p>
      <w:pPr>
        <w:jc w:val="both"/>
        <w:ind w:left="980" w:hanging="324"/>
        <w:spacing w:after="0" w:line="254" w:lineRule="auto"/>
        <w:tabs>
          <w:tab w:leader="none" w:pos="979"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shall be employed as the Chief Operating Officer of GeneDx, and the Executive hereby accepts such employment, effective as of the later of the Effective Date and the date the Executive’s employment commences. It is anticipated that the Executive’s employment shall commence on or before January 1, 2025, or as otherwise mutually determined by the Executive and the Employer (the “</w:t>
      </w:r>
      <w:r>
        <w:rPr>
          <w:rFonts w:ascii="Times New Roman" w:cs="Times New Roman" w:eastAsia="Times New Roman" w:hAnsi="Times New Roman"/>
          <w:sz w:val="18"/>
          <w:szCs w:val="18"/>
          <w:b w:val="1"/>
          <w:bCs w:val="1"/>
          <w:i w:val="1"/>
          <w:iCs w:val="1"/>
          <w:color w:val="auto"/>
        </w:rPr>
        <w:t>Start Date</w:t>
      </w:r>
      <w:r>
        <w:rPr>
          <w:rFonts w:ascii="Times New Roman" w:cs="Times New Roman" w:eastAsia="Times New Roman" w:hAnsi="Times New Roman"/>
          <w:sz w:val="18"/>
          <w:szCs w:val="18"/>
          <w:color w:val="auto"/>
        </w:rPr>
        <w:t>”). The Executive shall be subject to the direction of and shall report directly to the Chief Executive Officer of GeneDx (the “</w:t>
      </w:r>
      <w:r>
        <w:rPr>
          <w:rFonts w:ascii="Times New Roman" w:cs="Times New Roman" w:eastAsia="Times New Roman" w:hAnsi="Times New Roman"/>
          <w:sz w:val="18"/>
          <w:szCs w:val="18"/>
          <w:b w:val="1"/>
          <w:bCs w:val="1"/>
          <w:i w:val="1"/>
          <w:iCs w:val="1"/>
          <w:color w:val="auto"/>
        </w:rPr>
        <w:t>CEO</w:t>
      </w:r>
      <w:r>
        <w:rPr>
          <w:rFonts w:ascii="Times New Roman" w:cs="Times New Roman" w:eastAsia="Times New Roman" w:hAnsi="Times New Roman"/>
          <w:sz w:val="18"/>
          <w:szCs w:val="18"/>
          <w:color w:val="auto"/>
        </w:rPr>
        <w:t>”) or another officer of GeneDx (the CEO or such other officer, the “</w:t>
      </w:r>
      <w:r>
        <w:rPr>
          <w:rFonts w:ascii="Times New Roman" w:cs="Times New Roman" w:eastAsia="Times New Roman" w:hAnsi="Times New Roman"/>
          <w:sz w:val="18"/>
          <w:szCs w:val="18"/>
          <w:b w:val="1"/>
          <w:bCs w:val="1"/>
          <w:i w:val="1"/>
          <w:iCs w:val="1"/>
          <w:color w:val="auto"/>
        </w:rPr>
        <w:t>Direct Report</w:t>
      </w:r>
      <w:r>
        <w:rPr>
          <w:rFonts w:ascii="Times New Roman" w:cs="Times New Roman" w:eastAsia="Times New Roman" w:hAnsi="Times New Roman"/>
          <w:sz w:val="18"/>
          <w:szCs w:val="18"/>
          <w:color w:val="auto"/>
        </w:rPr>
        <w:t>”), as determined by the Board of Directors of GeneDx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xml:space="preserve">”) or the CEO. Subject to such reporting relationship, the Executive shall perform the duties as determined from time to time by the Board or the CEO, including without limitation those listed on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i w:val="1"/>
          <w:iCs w:val="1"/>
          <w:color w:val="auto"/>
        </w:rPr>
        <w:t>Duties</w:t>
      </w:r>
      <w:r>
        <w:rPr>
          <w:rFonts w:ascii="Times New Roman" w:cs="Times New Roman" w:eastAsia="Times New Roman" w:hAnsi="Times New Roman"/>
          <w:sz w:val="18"/>
          <w:szCs w:val="18"/>
          <w:color w:val="auto"/>
        </w:rPr>
        <w:t>”). The Executive shall perform his Duties with fidelity and to the best his ability. The Executive shall deal at all times in good faith with GeneDx.</w:t>
      </w:r>
    </w:p>
    <w:p>
      <w:pPr>
        <w:spacing w:after="0" w:line="137"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69"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Term (as defined below), the Executive shall devote one hundred percent (100%) of the Executive’s business time to the performance of his Duties;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Executive shall be permitted to (i) devote attention during non-business hours to voluntary service or as a board member or an advisor with non-competitive not-for-profit charitable organizations, and (ii) with the approval of the Board, serve as a board member or as an advisor for for-profit entities, in each case so long as such services do not create a conflict of interest with respect to Executive’s obligations to GeneDx and do not materially interfere with Executive’s performance of his Duties.</w:t>
      </w:r>
    </w:p>
    <w:p>
      <w:pPr>
        <w:spacing w:after="0" w:line="129"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69"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services shall be performed remotely, subject to regular travel to GeneDx’s business locations, as well as other travel from time to time as reasonably required in connection with the Executive’s Duties.</w:t>
      </w:r>
    </w:p>
    <w:p>
      <w:pPr>
        <w:spacing w:after="0" w:line="10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Agreement shall commence as of the Start Date and shall continue thereafter for a term of three (3) years and shall automatically renew for successive one (1) year terms unless earlier terminated in accordance with the terms hereof (such period from the date hereof until the termination date hereof, the “</w:t>
      </w:r>
      <w:r>
        <w:rPr>
          <w:rFonts w:ascii="Times New Roman" w:cs="Times New Roman" w:eastAsia="Times New Roman" w:hAnsi="Times New Roman"/>
          <w:sz w:val="18"/>
          <w:szCs w:val="18"/>
          <w:b w:val="1"/>
          <w:bCs w:val="1"/>
          <w:i w:val="1"/>
          <w:iCs w:val="1"/>
          <w:color w:val="auto"/>
        </w:rPr>
        <w:t>Term</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consideration for the Executive’s services hereunder, the Executive shall receive the following compensation:</w:t>
      </w:r>
    </w:p>
    <w:p>
      <w:pPr>
        <w:spacing w:after="0" w:line="169" w:lineRule="exact"/>
        <w:rPr>
          <w:sz w:val="20"/>
          <w:szCs w:val="20"/>
          <w:color w:val="auto"/>
        </w:rPr>
      </w:pPr>
    </w:p>
    <w:p>
      <w:pPr>
        <w:jc w:val="both"/>
        <w:ind w:left="980" w:hanging="324"/>
        <w:spacing w:after="0" w:line="258" w:lineRule="auto"/>
        <w:tabs>
          <w:tab w:leader="none" w:pos="97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Base Salary</w:t>
      </w:r>
      <w:r>
        <w:rPr>
          <w:rFonts w:ascii="Times New Roman" w:cs="Times New Roman" w:eastAsia="Times New Roman" w:hAnsi="Times New Roman"/>
          <w:sz w:val="18"/>
          <w:szCs w:val="18"/>
          <w:color w:val="auto"/>
        </w:rPr>
        <w:t>. The Employer shall pay the Executive a base salary at a rate equal to $450,000 per annum (as adjusted from time to time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this Section 3.A, the “</w:t>
      </w:r>
      <w:r>
        <w:rPr>
          <w:rFonts w:ascii="Times New Roman" w:cs="Times New Roman" w:eastAsia="Times New Roman" w:hAnsi="Times New Roman"/>
          <w:sz w:val="18"/>
          <w:szCs w:val="18"/>
          <w:b w:val="1"/>
          <w:bCs w:val="1"/>
          <w:i w:val="1"/>
          <w:iCs w:val="1"/>
          <w:color w:val="auto"/>
        </w:rPr>
        <w:t>Base Salary</w:t>
      </w:r>
      <w:r>
        <w:rPr>
          <w:rFonts w:ascii="Times New Roman" w:cs="Times New Roman" w:eastAsia="Times New Roman" w:hAnsi="Times New Roman"/>
          <w:sz w:val="18"/>
          <w:szCs w:val="18"/>
          <w:color w:val="auto"/>
        </w:rPr>
        <w:t>”). The Executive’s Base Salary shall be subject to annual review and increase (but not decrease) in the discretion of the Board. The Executive’s Base Salary shall be subject to customary federal, state and local withholdings for income taxes, F.I.C.A. and similar charges. Throughout the Term, the Base Salary shall be payable in bi-weekly installments in arrears or in such other manner as the Employer adopts as its payroll process generally.</w:t>
      </w:r>
    </w:p>
    <w:p>
      <w:pPr>
        <w:spacing w:after="0" w:line="129"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6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 Bonus</w:t>
      </w:r>
      <w:r>
        <w:rPr>
          <w:rFonts w:ascii="Times New Roman" w:cs="Times New Roman" w:eastAsia="Times New Roman" w:hAnsi="Times New Roman"/>
          <w:sz w:val="18"/>
          <w:szCs w:val="18"/>
          <w:color w:val="auto"/>
        </w:rPr>
        <w:t>. In addition to the Base Salary, the Executive shall be eligible to receive an annual performance bonus for each calendar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during the Term (the “</w:t>
      </w:r>
      <w:r>
        <w:rPr>
          <w:rFonts w:ascii="Times New Roman" w:cs="Times New Roman" w:eastAsia="Times New Roman" w:hAnsi="Times New Roman"/>
          <w:sz w:val="18"/>
          <w:szCs w:val="18"/>
          <w:b w:val="1"/>
          <w:bCs w:val="1"/>
          <w:i w:val="1"/>
          <w:iCs w:val="1"/>
          <w:color w:val="auto"/>
        </w:rPr>
        <w:t>Performance Bonus</w:t>
      </w:r>
      <w:r>
        <w:rPr>
          <w:rFonts w:ascii="Times New Roman" w:cs="Times New Roman" w:eastAsia="Times New Roman" w:hAnsi="Times New Roman"/>
          <w:sz w:val="18"/>
          <w:szCs w:val="18"/>
          <w:color w:val="auto"/>
        </w:rPr>
        <w:t>”) commencing in calendar year 2025, with a target amount equal to fifty percent (50%) of the Base Salary. The Performance Bonus for a calendar year shall be paid within the first ninety (90) days of the immediately following calendar year (subject to applicable federal, state</w:t>
      </w:r>
    </w:p>
    <w:p>
      <w:pPr>
        <w:sectPr>
          <w:pgSz w:w="11900" w:h="16838" w:orient="portrait"/>
          <w:cols w:equalWidth="0" w:num="1">
            <w:col w:w="11240"/>
          </w:cols>
          <w:pgMar w:left="320" w:top="117" w:right="339" w:bottom="1440" w:gutter="0" w:footer="0" w:header="0"/>
        </w:sectPr>
      </w:pPr>
    </w:p>
    <w:bookmarkStart w:id="4" w:name="page5"/>
    <w:bookmarkEnd w:id="4"/>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and local tax withholdings). The amount of the Performance Bonus for any given calendar year (which may be greater than or less than the target amount, if actual performance is greater than or less than the performance goals) shall be determined by the Board based on the Board’s determination of the extent of the achievement of performance goals for GeneDx and/or the Executive for such calendar year. In the case of any such performance metric and other criteria that is subjective, the determination of whether such performance metric or other criteria has been met shall lie in the reasonable discretion of the Board.</w:t>
      </w:r>
    </w:p>
    <w:p>
      <w:pPr>
        <w:spacing w:after="0" w:line="127" w:lineRule="exact"/>
        <w:rPr>
          <w:sz w:val="20"/>
          <w:szCs w:val="20"/>
          <w:color w:val="auto"/>
        </w:rPr>
      </w:pPr>
    </w:p>
    <w:p>
      <w:pPr>
        <w:jc w:val="both"/>
        <w:ind w:left="980" w:hanging="324"/>
        <w:spacing w:after="0" w:line="258" w:lineRule="auto"/>
        <w:tabs>
          <w:tab w:leader="none" w:pos="96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Sign-On Bonuses</w:t>
      </w:r>
      <w:r>
        <w:rPr>
          <w:rFonts w:ascii="Times New Roman" w:cs="Times New Roman" w:eastAsia="Times New Roman" w:hAnsi="Times New Roman"/>
          <w:sz w:val="18"/>
          <w:szCs w:val="18"/>
          <w:color w:val="auto"/>
        </w:rPr>
        <w:t>. In addition, the Executive will be entitled to receive (i) a one-time sign-on bonus of $75,000, payable in a single lump-sum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within thirty days following the six-month anniversary of the Start Date, subject to Executive’s continued employment through such six-month anniversary of the Start Date, and (ii) a one-time sign-on bonus of $75,000, payable in a single lump-sum within thirty days following the eighteen-month anniversary of the Start Date, subject to Executive’s continued employment through such eighteen-month anniversary of the Start Date, in each case subject to customary federal, state and local withholdings for income taxes, F.I.C.A. and similar charges.</w:t>
      </w:r>
    </w:p>
    <w:p>
      <w:pPr>
        <w:spacing w:after="0" w:line="129"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7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Benefits</w:t>
      </w:r>
      <w:r>
        <w:rPr>
          <w:rFonts w:ascii="Times New Roman" w:cs="Times New Roman" w:eastAsia="Times New Roman" w:hAnsi="Times New Roman"/>
          <w:sz w:val="18"/>
          <w:szCs w:val="18"/>
          <w:color w:val="auto"/>
        </w:rPr>
        <w:t>. During the Term, the Executive shall receive the package of employee benefits that GeneDx elects to make available to its officers.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addition, the Executive shall be entitled to no less than four (4) weeks of vacation annually (prorated for periods less than a full calendar year) in accordance with GeneDx’s vacation policies in effect from time to time. The Executive’s benefit package and the Executive’s use of the Executive’s vacation time shall be subject to GeneDx’s policies.</w:t>
      </w:r>
    </w:p>
    <w:p>
      <w:pPr>
        <w:spacing w:after="0" w:line="125" w:lineRule="exact"/>
        <w:rPr>
          <w:rFonts w:ascii="Times New Roman" w:cs="Times New Roman" w:eastAsia="Times New Roman" w:hAnsi="Times New Roman"/>
          <w:sz w:val="18"/>
          <w:szCs w:val="18"/>
          <w:color w:val="auto"/>
        </w:rPr>
      </w:pPr>
    </w:p>
    <w:p>
      <w:pPr>
        <w:ind w:left="980" w:hanging="324"/>
        <w:spacing w:after="0" w:line="284" w:lineRule="auto"/>
        <w:tabs>
          <w:tab w:leader="none" w:pos="97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Business Expenses</w:t>
      </w:r>
      <w:r>
        <w:rPr>
          <w:rFonts w:ascii="Times New Roman" w:cs="Times New Roman" w:eastAsia="Times New Roman" w:hAnsi="Times New Roman"/>
          <w:sz w:val="18"/>
          <w:szCs w:val="18"/>
          <w:color w:val="auto"/>
        </w:rPr>
        <w:t>. Subject to Section 3.F, the Executive shall be reimbursed for all reasonable and necessary business expenses that he incurs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Term in connection with his employment.</w:t>
      </w:r>
    </w:p>
    <w:p>
      <w:pPr>
        <w:spacing w:after="0" w:line="104" w:lineRule="exact"/>
        <w:rPr>
          <w:rFonts w:ascii="Times New Roman" w:cs="Times New Roman" w:eastAsia="Times New Roman" w:hAnsi="Times New Roman"/>
          <w:sz w:val="18"/>
          <w:szCs w:val="18"/>
          <w:color w:val="auto"/>
        </w:rPr>
      </w:pPr>
    </w:p>
    <w:p>
      <w:pPr>
        <w:ind w:left="980" w:hanging="324"/>
        <w:spacing w:after="0" w:line="284" w:lineRule="auto"/>
        <w:tabs>
          <w:tab w:leader="none" w:pos="96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Conditions to Reimbursement of Expenses</w:t>
      </w:r>
      <w:r>
        <w:rPr>
          <w:rFonts w:ascii="Times New Roman" w:cs="Times New Roman" w:eastAsia="Times New Roman" w:hAnsi="Times New Roman"/>
          <w:sz w:val="18"/>
          <w:szCs w:val="18"/>
          <w:color w:val="auto"/>
        </w:rPr>
        <w:t>. Reimbursement shall be based upon adherence to and submission by the Executive of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and other documentation thereof required in accordance with GeneDx’s expense reimbursement policies.</w:t>
      </w:r>
    </w:p>
    <w:p>
      <w:pPr>
        <w:spacing w:after="0" w:line="102"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EQUITY-BASED COMPENSATION AWARD.</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soon as practicable following the Effective Date and subject to the approval of the Board, GeneDx shall grant the Executive a number of restricted stock units (the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under GeneDx’s applicable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with such number determined by dividing $2,700,000 by the closing price of GeneDx’s Class A common stock on the date of grant, rounded down to the nearest whole share. The terms of such RSUs shall be governed in all respects by the terms of the notice of grant and award agreement to be entered into in connection with such grant and the terms and conditions of the Plan, except as otherwise expressly set forth in this Agreement. The RSUs shall vest in equal annual installments over a four-year period, subject to the Executive’s continued service with GeneDx on each applicable vesting date. The Executive hereby acknowledges that the RSUs constitute an “inducement award” within the meaning of NASDAQ Listing Rule 5635(c)(4).</w:t>
      </w:r>
    </w:p>
    <w:p>
      <w:pPr>
        <w:spacing w:after="0" w:line="131"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AND SEVERANCE.</w:t>
      </w:r>
    </w:p>
    <w:p>
      <w:pPr>
        <w:spacing w:after="0" w:line="17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Section 5:</w:t>
      </w:r>
    </w:p>
    <w:p>
      <w:pPr>
        <w:spacing w:after="0" w:line="167" w:lineRule="exact"/>
        <w:rPr>
          <w:rFonts w:ascii="Times New Roman" w:cs="Times New Roman" w:eastAsia="Times New Roman" w:hAnsi="Times New Roman"/>
          <w:sz w:val="18"/>
          <w:szCs w:val="18"/>
          <w:color w:val="auto"/>
        </w:rPr>
      </w:pPr>
    </w:p>
    <w:p>
      <w:pPr>
        <w:jc w:val="both"/>
        <w:ind w:left="9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shall mean: (1) any willful failure (except as result of sickness, illness or injury) or refusal by the Executive to perform any of the Executive’s material Duties or to carry out the instructions of the Direct Report after GeneDx shall have provided written notice and a reasonable opportunity to cure such failure or refusal; (2) material breach by the Executive of the Proprietary Rights Agreement (as defined below) after GeneDx shall have provided written notice and a reasonable opportunity to cure such material breach; (3) material breach by the Executive of any written corporate policy of GeneDx after GeneDx shall have provided written notice and a reasonable opportunity to cure such material breach; (4) breach by the Executive of the Executive’s fiduciary duty to GeneDx or of Section 8 of this Agreement; (5) gross negligence or willful misconduct of the Executive in connection with GeneDx’s business or the performance of Executive’s Duties</w:t>
      </w:r>
      <w:r>
        <w:rPr>
          <w:rFonts w:ascii="Times New Roman" w:cs="Times New Roman" w:eastAsia="Times New Roman" w:hAnsi="Times New Roman"/>
          <w:sz w:val="18"/>
          <w:szCs w:val="18"/>
          <w:i w:val="1"/>
          <w:iCs w:val="1"/>
          <w:color w:val="auto"/>
        </w:rPr>
        <w:t>; provided</w:t>
      </w:r>
      <w:r>
        <w:rPr>
          <w:rFonts w:ascii="Times New Roman" w:cs="Times New Roman" w:eastAsia="Times New Roman" w:hAnsi="Times New Roman"/>
          <w:sz w:val="18"/>
          <w:szCs w:val="18"/>
          <w:color w:val="auto"/>
        </w:rPr>
        <w:t xml:space="preserve"> that in the case of gross negligence, such gross negligence results in demonstrable harm to GeneDx; (6) the Executive’s conviction of or plea of nolo contendere to any crime that would materially impair the reputation of GeneDx, any crime involving theft, embezzlement or other misappropriation of money or other property, or any crime which constitutes a felony in the jurisdiction involved; or (7) the Executive’s habitual absence or habitual abuse of alcohol or controlled or illegal substances during working hours, after GeneDx shall have provided written notice to the Executive and given the Executive thirty (30) days within which to commence rehabilitation with respect thereto, and the Executive shall have failed to commence such rehabilitation or continued to perform under the influence after such rehabilitation.</w:t>
      </w:r>
    </w:p>
    <w:p>
      <w:pPr>
        <w:sectPr>
          <w:pgSz w:w="11900" w:h="16838" w:orient="portrait"/>
          <w:cols w:equalWidth="0" w:num="1">
            <w:col w:w="11240"/>
          </w:cols>
          <w:pgMar w:left="320" w:top="931" w:right="339" w:bottom="1440" w:gutter="0" w:footer="0" w:header="0"/>
        </w:sectPr>
      </w:pPr>
    </w:p>
    <w:bookmarkStart w:id="5" w:name="page6"/>
    <w:bookmarkEnd w:id="5"/>
    <w:p>
      <w:pPr>
        <w:jc w:val="both"/>
        <w:ind w:left="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 Period</w:t>
      </w:r>
      <w:r>
        <w:rPr>
          <w:rFonts w:ascii="Times New Roman" w:cs="Times New Roman" w:eastAsia="Times New Roman" w:hAnsi="Times New Roman"/>
          <w:sz w:val="18"/>
          <w:szCs w:val="18"/>
          <w:color w:val="auto"/>
        </w:rPr>
        <w:t>” means the period commencing on the date of a Change of Control and ending on the date that is twelve (12) months following a Change in Control.</w:t>
      </w:r>
    </w:p>
    <w:p>
      <w:pPr>
        <w:spacing w:after="0" w:line="101"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means a Corporate Transaction as defined in the Plan.</w:t>
      </w:r>
    </w:p>
    <w:p>
      <w:pPr>
        <w:spacing w:after="0" w:line="171" w:lineRule="exact"/>
        <w:rPr>
          <w:sz w:val="20"/>
          <w:szCs w:val="20"/>
          <w:color w:val="auto"/>
        </w:rPr>
      </w:pPr>
    </w:p>
    <w:p>
      <w:pPr>
        <w:jc w:val="both"/>
        <w:ind w:left="324"/>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shall mean the Executive’s inability to perform his essential Duties with reasonable accommodation by reason of any medically determined physical or mental impairment that has lasted a period of not less than one- hundred-eighty (180) days (whether or not consecutive) in any consecutive three-hundred-sixty- five (365) day period as determined by a physician that is mutually acceptable to the Company and the Executive. If the Company and the Executive cannot agree on a physician, each party shall select a physician and the two physicians shall select a third who shall be the approved physician for this purpose.</w:t>
      </w:r>
    </w:p>
    <w:p>
      <w:pPr>
        <w:spacing w:after="0" w:line="125" w:lineRule="exact"/>
        <w:rPr>
          <w:sz w:val="20"/>
          <w:szCs w:val="20"/>
          <w:color w:val="auto"/>
        </w:rPr>
      </w:pPr>
    </w:p>
    <w:p>
      <w:pPr>
        <w:jc w:val="both"/>
        <w:ind w:left="324"/>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color w:val="auto"/>
        </w:rPr>
        <w:t xml:space="preserve">” shall mean any of the following, without the Executive’s express written consent: (1) any material breach by GeneDx of its obligations to the Executive pursuant to this Agreement (including, without limitation, a failure to pay Base Salary in accordance with Section 3.A); (2) a reduction in the Executive’s authority or responsibility, which represents a material diminution in the Executive’s authority or responsibility; or (3) GeneDx requiring the Executive to relocate the Executive’s place of employment to more than seventy-five (75) miles from one of GeneDx’s business locations as of the date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none of these events shall constitute Good Reason unless (i) the Executive has notified GeneDx in writing of the event(s) constituting Good Reason within sixty (60) days after the Executive first becomes aware of the occurrence of such event(s); (ii) GeneDx has failed to cure such event(s) within thirty (30) days after the notice, and (iii) the Executive resigns from all positions then held by the Executive no later than thirty (30) days after the expiration of such cure period.</w:t>
      </w:r>
    </w:p>
    <w:p>
      <w:pPr>
        <w:spacing w:after="0" w:line="136" w:lineRule="exact"/>
        <w:rPr>
          <w:sz w:val="20"/>
          <w:szCs w:val="20"/>
          <w:color w:val="auto"/>
        </w:rPr>
      </w:pPr>
    </w:p>
    <w:p>
      <w:pPr>
        <w:ind w:left="304" w:hanging="304"/>
        <w:spacing w:after="0"/>
        <w:tabs>
          <w:tab w:leader="none" w:pos="30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This Agreement, the Term and the Executive’s employment hereunder shall terminate upon any of the following:</w:t>
      </w:r>
    </w:p>
    <w:p>
      <w:pPr>
        <w:spacing w:after="0" w:line="173" w:lineRule="exact"/>
        <w:rPr>
          <w:rFonts w:ascii="Times New Roman" w:cs="Times New Roman" w:eastAsia="Times New Roman" w:hAnsi="Times New Roman"/>
          <w:sz w:val="18"/>
          <w:szCs w:val="18"/>
          <w:color w:val="auto"/>
        </w:rPr>
      </w:pPr>
    </w:p>
    <w:p>
      <w:pPr>
        <w:ind w:left="964" w:hanging="486"/>
        <w:spacing w:after="0" w:line="282" w:lineRule="auto"/>
        <w:tabs>
          <w:tab w:leader="none" w:pos="9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determination by the Board that there is Cause for such termination, upon written notice of termination from GeneDx to the Executive (following the expiration of a cure period, as applicable);</w:t>
      </w:r>
    </w:p>
    <w:p>
      <w:pPr>
        <w:spacing w:after="0" w:line="107" w:lineRule="exact"/>
        <w:rPr>
          <w:rFonts w:ascii="Times New Roman" w:cs="Times New Roman" w:eastAsia="Times New Roman" w:hAnsi="Times New Roman"/>
          <w:sz w:val="18"/>
          <w:szCs w:val="18"/>
          <w:color w:val="auto"/>
        </w:rPr>
      </w:pPr>
    </w:p>
    <w:p>
      <w:pPr>
        <w:ind w:left="964" w:hanging="536"/>
        <w:spacing w:after="0"/>
        <w:tabs>
          <w:tab w:leader="none" w:pos="9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the death or Disability of the Executive;</w:t>
      </w:r>
    </w:p>
    <w:p>
      <w:pPr>
        <w:spacing w:after="0" w:line="171" w:lineRule="exact"/>
        <w:rPr>
          <w:rFonts w:ascii="Times New Roman" w:cs="Times New Roman" w:eastAsia="Times New Roman" w:hAnsi="Times New Roman"/>
          <w:sz w:val="18"/>
          <w:szCs w:val="18"/>
          <w:color w:val="auto"/>
        </w:rPr>
      </w:pPr>
    </w:p>
    <w:p>
      <w:pPr>
        <w:ind w:left="964" w:hanging="585"/>
        <w:spacing w:after="0" w:line="282" w:lineRule="auto"/>
        <w:tabs>
          <w:tab w:leader="none" w:pos="9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determination by the Executive that there is Good Reason for such termination, upon written notice of termination from the Executive to GeneDx (following the expiration of the cure period);</w:t>
      </w:r>
    </w:p>
    <w:p>
      <w:pPr>
        <w:spacing w:after="0" w:line="107" w:lineRule="exact"/>
        <w:rPr>
          <w:rFonts w:ascii="Times New Roman" w:cs="Times New Roman" w:eastAsia="Times New Roman" w:hAnsi="Times New Roman"/>
          <w:sz w:val="18"/>
          <w:szCs w:val="18"/>
          <w:color w:val="auto"/>
        </w:rPr>
      </w:pPr>
    </w:p>
    <w:p>
      <w:pPr>
        <w:ind w:left="964" w:hanging="576"/>
        <w:spacing w:after="0"/>
        <w:tabs>
          <w:tab w:leader="none" w:pos="9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election of GeneDx to terminate this Agreement without Cause, upon sixty (60) days’ written notice to the Executive; or</w:t>
      </w:r>
    </w:p>
    <w:p>
      <w:pPr>
        <w:spacing w:after="0" w:line="171" w:lineRule="exact"/>
        <w:rPr>
          <w:rFonts w:ascii="Times New Roman" w:cs="Times New Roman" w:eastAsia="Times New Roman" w:hAnsi="Times New Roman"/>
          <w:sz w:val="18"/>
          <w:szCs w:val="18"/>
          <w:color w:val="auto"/>
        </w:rPr>
      </w:pPr>
    </w:p>
    <w:p>
      <w:pPr>
        <w:ind w:left="964" w:hanging="526"/>
        <w:spacing w:after="0"/>
        <w:tabs>
          <w:tab w:leader="none" w:pos="9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election of the Executive to terminate this Agreement without Good Reason, upon thirty (30) days’ written notice to GeneDx.</w:t>
      </w:r>
    </w:p>
    <w:p>
      <w:pPr>
        <w:spacing w:after="0" w:line="169" w:lineRule="exact"/>
        <w:rPr>
          <w:rFonts w:ascii="Times New Roman" w:cs="Times New Roman" w:eastAsia="Times New Roman" w:hAnsi="Times New Roman"/>
          <w:sz w:val="18"/>
          <w:szCs w:val="18"/>
          <w:color w:val="auto"/>
        </w:rPr>
      </w:pPr>
    </w:p>
    <w:p>
      <w:pPr>
        <w:jc w:val="both"/>
        <w:ind w:left="324" w:hanging="324"/>
        <w:spacing w:after="0" w:line="257" w:lineRule="auto"/>
        <w:tabs>
          <w:tab w:leader="none" w:pos="31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Upon the termination of the Executive’s employment for any reason, the Executive (or Executive’s estate, as the case may be)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entitled to receive (i) any Base Salary hereunder accrued prior to the date of such termination, (ii) any amount payable to the Executive under GeneDx’s policies and procedures with respect to payments to officers for accrued vacation and unreimbursed business expenses for which proper documentation is provided and (iii) if the Executive’s employment ends for any reason other than GeneDx’s termination of the Executive’s employment for Cause, any earned but unpaid Performance Bonus for the most recently completed calendar year in the discretion of the Board (collectively, the “</w:t>
      </w:r>
      <w:r>
        <w:rPr>
          <w:rFonts w:ascii="Times New Roman" w:cs="Times New Roman" w:eastAsia="Times New Roman" w:hAnsi="Times New Roman"/>
          <w:sz w:val="18"/>
          <w:szCs w:val="18"/>
          <w:b w:val="1"/>
          <w:bCs w:val="1"/>
          <w:i w:val="1"/>
          <w:iCs w:val="1"/>
          <w:color w:val="auto"/>
        </w:rPr>
        <w:t>Accrued Compensation</w:t>
      </w:r>
      <w:r>
        <w:rPr>
          <w:rFonts w:ascii="Times New Roman" w:cs="Times New Roman" w:eastAsia="Times New Roman" w:hAnsi="Times New Roman"/>
          <w:sz w:val="18"/>
          <w:szCs w:val="18"/>
          <w:color w:val="auto"/>
        </w:rPr>
        <w:t>”).</w:t>
      </w:r>
    </w:p>
    <w:p>
      <w:pPr>
        <w:spacing w:after="0" w:line="128" w:lineRule="exact"/>
        <w:rPr>
          <w:rFonts w:ascii="Times New Roman" w:cs="Times New Roman" w:eastAsia="Times New Roman" w:hAnsi="Times New Roman"/>
          <w:sz w:val="18"/>
          <w:szCs w:val="18"/>
          <w:color w:val="auto"/>
        </w:rPr>
      </w:pPr>
    </w:p>
    <w:p>
      <w:pPr>
        <w:jc w:val="both"/>
        <w:ind w:left="324" w:hanging="324"/>
        <w:spacing w:after="0" w:line="258" w:lineRule="auto"/>
        <w:tabs>
          <w:tab w:leader="none" w:pos="32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Severance Benefits Upon Termination by GeneDx Without Cause or by the Executive for Good Reason Outside of the Change in Control Period</w:t>
      </w:r>
      <w:r>
        <w:rPr>
          <w:rFonts w:ascii="Times New Roman" w:cs="Times New Roman" w:eastAsia="Times New Roman" w:hAnsi="Times New Roman"/>
          <w:sz w:val="18"/>
          <w:szCs w:val="18"/>
          <w:color w:val="auto"/>
        </w:rPr>
        <w:t>. Upon the termination of the Executive’s employment by GeneDx without Cause or by the Executive for Good Reason or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GeneDx’s failure to renew the Term outside of the Change in Control Period, the Executive will be entitled to receive the Accrued Compensation and, subject to the requirements of Section 5.F, will be entitled to receive the following payments and benefits, in each case, less required deductions and withholdings:</w:t>
      </w:r>
    </w:p>
    <w:p>
      <w:pPr>
        <w:spacing w:after="0" w:line="129" w:lineRule="exact"/>
        <w:rPr>
          <w:rFonts w:ascii="Times New Roman" w:cs="Times New Roman" w:eastAsia="Times New Roman" w:hAnsi="Times New Roman"/>
          <w:sz w:val="18"/>
          <w:szCs w:val="18"/>
          <w:color w:val="auto"/>
        </w:rPr>
      </w:pPr>
    </w:p>
    <w:p>
      <w:pPr>
        <w:jc w:val="both"/>
        <w:ind w:left="964" w:hanging="486"/>
        <w:spacing w:after="0" w:line="239" w:lineRule="auto"/>
        <w:tabs>
          <w:tab w:leader="none" w:pos="9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Severance. </w:t>
      </w:r>
      <w:r>
        <w:rPr>
          <w:rFonts w:ascii="Times New Roman" w:cs="Times New Roman" w:eastAsia="Times New Roman" w:hAnsi="Times New Roman"/>
          <w:sz w:val="18"/>
          <w:szCs w:val="18"/>
          <w:color w:val="auto"/>
        </w:rPr>
        <w:t>The Employer shall pay the Executive, as severance, the equivalent of nine (9) months of the Executive’s Base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Salary as in effect as of the date of such termination, payable in the form of salary continuation, on the Employer’s regular payroll dates, subject to standard payroll deductions and withholdings, starting on the 60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after the Executive’s termination date, with the first payment to include those payments that would have occurred earlier but for the 60-day delay.</w:t>
      </w:r>
    </w:p>
    <w:p>
      <w:pPr>
        <w:sectPr>
          <w:pgSz w:w="11900" w:h="16838" w:orient="portrait"/>
          <w:cols w:equalWidth="0" w:num="1">
            <w:col w:w="10584"/>
          </w:cols>
          <w:pgMar w:left="976" w:top="927" w:right="339" w:bottom="1440" w:gutter="0" w:footer="0" w:header="0"/>
        </w:sectPr>
      </w:pPr>
    </w:p>
    <w:bookmarkStart w:id="6" w:name="page7"/>
    <w:bookmarkEnd w:id="6"/>
    <w:p>
      <w:pPr>
        <w:jc w:val="both"/>
        <w:ind w:left="964" w:hanging="536"/>
        <w:spacing w:after="0" w:line="253" w:lineRule="auto"/>
        <w:tabs>
          <w:tab w:leader="none" w:pos="96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Benefits Continuation</w:t>
      </w:r>
      <w:r>
        <w:rPr>
          <w:rFonts w:ascii="Times New Roman" w:cs="Times New Roman" w:eastAsia="Times New Roman" w:hAnsi="Times New Roman"/>
          <w:sz w:val="18"/>
          <w:szCs w:val="18"/>
          <w:color w:val="auto"/>
        </w:rPr>
        <w:t>. Provided that the Executive is then eligible for and timely elects continued coverage under COBRA,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Employer shall directly pay, or reimburse the Executive for, the monthly COBRA premiums to continue the Executive’s coverage (including coverage for eligible dependents, if applicable) through the period starting on the Executive’s termination date and ending on the earliest to occur of: (a) twelve (12) months following the Executive’s termination date; (b) the date Executive becomes eligible for group health insurance coverage through a new employer; and (c) the date Executive ceases to be eligible for COBRA continuation coverage for any reason, including plan termination. In the event Executive becomes covered under another employer’s group health plan or otherwise ceases to be eligible for COBRA during this time period, the Executive must immediately notify the Employer of such event. Notwithstanding the foregoing, if the Employer determines, in its sole discretion, that it cannot pay the COBRA premiums without a substantial risk of violating applicable law, the Employer instead shall pay to the Executive, on the first day of each calendar month, a fully taxable cash payment equal to the applicable COBRA premiums for that month, subject to applicable tax withholdings, for the remainder of the COBRA premium period. The Executive may, but is not obligated to, use such payments toward the cost of COBRA premiums.</w:t>
      </w:r>
    </w:p>
    <w:p>
      <w:pPr>
        <w:spacing w:after="0" w:line="135" w:lineRule="exact"/>
        <w:rPr>
          <w:rFonts w:ascii="Times New Roman" w:cs="Times New Roman" w:eastAsia="Times New Roman" w:hAnsi="Times New Roman"/>
          <w:sz w:val="18"/>
          <w:szCs w:val="18"/>
          <w:color w:val="auto"/>
        </w:rPr>
      </w:pPr>
    </w:p>
    <w:p>
      <w:pPr>
        <w:jc w:val="both"/>
        <w:ind w:left="324" w:hanging="324"/>
        <w:spacing w:after="0" w:line="258" w:lineRule="auto"/>
        <w:tabs>
          <w:tab w:leader="none" w:pos="31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Severance Benefits Upon Termination by GeneDx Without Cause or by the Executive for Good Reason During the Change in Control Period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the termination of the Executive’s employment by GeneDx without Cause or by the Executive for Good Reason or upon GeneDx’s failure to renew the Term during a Change in Control Period, the Executive will be entitled to receive the Executive’s Accrued Compensation and, subject to the requirements of Section 5.F, will be entitled to receive the following payments and benefits, in each case, less required deductions and withholdings:</w:t>
      </w:r>
    </w:p>
    <w:p>
      <w:pPr>
        <w:spacing w:after="0" w:line="129" w:lineRule="exact"/>
        <w:rPr>
          <w:rFonts w:ascii="Times New Roman" w:cs="Times New Roman" w:eastAsia="Times New Roman" w:hAnsi="Times New Roman"/>
          <w:sz w:val="18"/>
          <w:szCs w:val="18"/>
          <w:color w:val="auto"/>
        </w:rPr>
      </w:pPr>
    </w:p>
    <w:p>
      <w:pPr>
        <w:ind w:left="964" w:hanging="486"/>
        <w:spacing w:after="0"/>
        <w:tabs>
          <w:tab w:leader="none" w:pos="9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Severance. </w:t>
      </w:r>
      <w:r>
        <w:rPr>
          <w:rFonts w:ascii="Times New Roman" w:cs="Times New Roman" w:eastAsia="Times New Roman" w:hAnsi="Times New Roman"/>
          <w:sz w:val="18"/>
          <w:szCs w:val="18"/>
          <w:color w:val="auto"/>
        </w:rPr>
        <w:t>The Employer shall pay the Executive, as severance:</w:t>
      </w:r>
    </w:p>
    <w:p>
      <w:pPr>
        <w:spacing w:after="0" w:line="173" w:lineRule="exact"/>
        <w:rPr>
          <w:rFonts w:ascii="Times New Roman" w:cs="Times New Roman" w:eastAsia="Times New Roman" w:hAnsi="Times New Roman"/>
          <w:sz w:val="18"/>
          <w:szCs w:val="18"/>
          <w:color w:val="auto"/>
        </w:rPr>
      </w:pPr>
    </w:p>
    <w:p>
      <w:pPr>
        <w:jc w:val="both"/>
        <w:ind w:left="1624" w:hanging="490"/>
        <w:spacing w:after="0" w:line="239" w:lineRule="auto"/>
        <w:tabs>
          <w:tab w:leader="none" w:pos="1617"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equivalent of twelve (12) months of the Executive’s Base Salary as in effect as of the date of such termination, payable in the form of salary continuation, on the Employer’s regular payroll dates, subject to standard payroll deductions and withholdings, starting on the 60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after Executive’s termination date, with the first payment to include those payments that would have occurred earlier but for the 60-day delay; and</w:t>
      </w:r>
    </w:p>
    <w:p>
      <w:pPr>
        <w:spacing w:after="0" w:line="144" w:lineRule="exact"/>
        <w:rPr>
          <w:rFonts w:ascii="Times New Roman" w:cs="Times New Roman" w:eastAsia="Times New Roman" w:hAnsi="Times New Roman"/>
          <w:sz w:val="18"/>
          <w:szCs w:val="18"/>
          <w:color w:val="auto"/>
        </w:rPr>
      </w:pPr>
    </w:p>
    <w:p>
      <w:pPr>
        <w:jc w:val="both"/>
        <w:ind w:left="1624" w:hanging="490"/>
        <w:spacing w:after="0" w:line="258" w:lineRule="auto"/>
        <w:tabs>
          <w:tab w:leader="none" w:pos="1621"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one hundred percent (100%) of the Executive’s target Performance Bonus for the calendar year in which the Executive’s employment termination occurs (disregarding any change to the Executive’s Base Salary giving rise to Good Reason), payable in a lump sum, less deductions and withholdings, at the same time as the first severance payment described in Section 5.E(i)(A) above. For the avoidance of doubt, the amount payable pursuant to this Section 5.E(i)(B) shall not be subject to proration based on the portion of the year elapsed as of the date of termination.</w:t>
      </w:r>
    </w:p>
    <w:p>
      <w:pPr>
        <w:spacing w:after="0" w:line="127" w:lineRule="exact"/>
        <w:rPr>
          <w:rFonts w:ascii="Times New Roman" w:cs="Times New Roman" w:eastAsia="Times New Roman" w:hAnsi="Times New Roman"/>
          <w:sz w:val="18"/>
          <w:szCs w:val="18"/>
          <w:color w:val="auto"/>
        </w:rPr>
      </w:pPr>
    </w:p>
    <w:p>
      <w:pPr>
        <w:jc w:val="both"/>
        <w:ind w:left="964" w:hanging="536"/>
        <w:spacing w:after="0" w:line="253" w:lineRule="auto"/>
        <w:tabs>
          <w:tab w:leader="none" w:pos="9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Benefits Continuation</w:t>
      </w:r>
      <w:r>
        <w:rPr>
          <w:rFonts w:ascii="Times New Roman" w:cs="Times New Roman" w:eastAsia="Times New Roman" w:hAnsi="Times New Roman"/>
          <w:sz w:val="18"/>
          <w:szCs w:val="18"/>
          <w:color w:val="auto"/>
        </w:rPr>
        <w:t>. Provided that the Executive is then eligible for and timely elects continued coverage under COBRA,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Employer shall directly pay, or reimburse the Executive for, the monthly COBRA premiums to continue the Executive’s coverage (including coverage for eligible dependents, if applicable) through the period starting on the Executive’s termination date and ending on the earliest to occur of: (a) twelve (12) months following Executive’s termination date; (b) the date the Executive becomes eligible for group health insurance coverage through a new employer; and (c) the date Executive ceases to be eligible for COBRA continuation coverage for any reason, including plan termination. In the event the Executive becomes covered under another employer's group health plan or otherwise ceases to be eligible for COBRA during this time period, the Executive must immediately notify the Employer of such event. Notwithstanding the foregoing, if the Employer determines, in its sole discretion, that it cannot pay the COBRA premiums without a substantial risk of violating applicable law, the Employer instead shall pay to the Executive, on the first day of each calendar month, a fully taxable cash payment equal to the applicable COBRA premiums for that month, subject to applicable tax withholdings, for the remainder of the COBRA premium period. The Executive may, but is not obligated to, use such payments toward the cost of COBRA premiums.</w:t>
      </w:r>
    </w:p>
    <w:p>
      <w:pPr>
        <w:spacing w:after="0" w:line="135" w:lineRule="exact"/>
        <w:rPr>
          <w:rFonts w:ascii="Times New Roman" w:cs="Times New Roman" w:eastAsia="Times New Roman" w:hAnsi="Times New Roman"/>
          <w:sz w:val="18"/>
          <w:szCs w:val="18"/>
          <w:color w:val="auto"/>
        </w:rPr>
      </w:pPr>
    </w:p>
    <w:p>
      <w:pPr>
        <w:jc w:val="both"/>
        <w:ind w:left="964" w:hanging="585"/>
        <w:spacing w:after="0" w:line="261" w:lineRule="auto"/>
        <w:tabs>
          <w:tab w:leader="none" w:pos="9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Equity Award Acceleration</w:t>
      </w:r>
      <w:r>
        <w:rPr>
          <w:rFonts w:ascii="Times New Roman" w:cs="Times New Roman" w:eastAsia="Times New Roman" w:hAnsi="Times New Roman"/>
          <w:sz w:val="18"/>
          <w:szCs w:val="18"/>
          <w:color w:val="auto"/>
        </w:rPr>
        <w:t>. The vesting of all unvested equity-based incentive compensation awards outstanding as of the date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such Change in Control and held by the Executive as of the date of such termination shall be accelerated such that 100% of the shares underlying such awards shall be deemed immediately vested and, if applicable, exercisable;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any unvested equity-based incentive compensation awards that are subject to performance-based vesting terms as of the date of such</w:t>
      </w:r>
    </w:p>
    <w:p>
      <w:pPr>
        <w:sectPr>
          <w:pgSz w:w="11900" w:h="16838" w:orient="portrait"/>
          <w:cols w:equalWidth="0" w:num="1">
            <w:col w:w="10584"/>
          </w:cols>
          <w:pgMar w:left="976" w:top="929" w:right="339" w:bottom="1440" w:gutter="0" w:footer="0" w:header="0"/>
        </w:sectPr>
      </w:pPr>
    </w:p>
    <w:bookmarkStart w:id="7" w:name="page8"/>
    <w:bookmarkEnd w:id="7"/>
    <w:p>
      <w:pPr>
        <w:ind w:left="1620"/>
        <w:spacing w:after="0" w:line="282" w:lineRule="auto"/>
        <w:rPr>
          <w:sz w:val="20"/>
          <w:szCs w:val="20"/>
          <w:color w:val="auto"/>
        </w:rPr>
      </w:pPr>
      <w:r>
        <w:rPr>
          <w:rFonts w:ascii="Times New Roman" w:cs="Times New Roman" w:eastAsia="Times New Roman" w:hAnsi="Times New Roman"/>
          <w:sz w:val="18"/>
          <w:szCs w:val="18"/>
          <w:color w:val="auto"/>
        </w:rPr>
        <w:t>termination, the treatment of such performance-based vesting conditions shall be governed by the applicable equity plan and award agreement.</w:t>
      </w:r>
    </w:p>
    <w:p>
      <w:pPr>
        <w:spacing w:after="0" w:line="106" w:lineRule="exact"/>
        <w:rPr>
          <w:sz w:val="20"/>
          <w:szCs w:val="20"/>
          <w:color w:val="auto"/>
        </w:rPr>
      </w:pPr>
    </w:p>
    <w:p>
      <w:pPr>
        <w:jc w:val="both"/>
        <w:ind w:left="980" w:hanging="324"/>
        <w:spacing w:after="0" w:line="253" w:lineRule="auto"/>
        <w:tabs>
          <w:tab w:leader="none" w:pos="96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Conditions to Receipt of Severance Benefits</w:t>
      </w:r>
      <w:r>
        <w:rPr>
          <w:rFonts w:ascii="Times New Roman" w:cs="Times New Roman" w:eastAsia="Times New Roman" w:hAnsi="Times New Roman"/>
          <w:sz w:val="18"/>
          <w:szCs w:val="18"/>
          <w:color w:val="auto"/>
        </w:rPr>
        <w:t>. As a condition to receiving the payments and benefits set forth in Section 5.D and Section 5.E, (i)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Executive must execute and deliver to GeneDx a release of claims in a form reasonably acceptable to GeneDx (the “</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and the Release must have become effective and the revocation period provided therein must have expired without the Executive having revoked the Release within the 60-day period following the date of termination, and (ii) the Executive must not have revoked or breached the provisions of such Release or breached Section 9 or the Proprietary Rights Agreement. GeneDx shall provide the Release to the Executive within 21 days following the date of termination. In the event GeneDx does not provide the Release to the Executive within 21 days following the date of termination, the Release shall no longer be required and the Executive shall nonetheless be entitled to the payments and benefits set forth in Section 5.D and Section 5.E. However, in the event that the Executive is provided the Release within the 21-day period following the date of termination, but the Executive does not execute and deliver the Release, the Release does not become effective and irrevocable within such period or the Executive revokes or breaches the provisions of the Release or breaches Section 9 of this Agreement or the provisions of the Proprietary Rights Agreement, the Executive (A) will be deemed to have voluntarily resigned the Executive’s employment hereunder without Good Reason, (B) will not be entitled to the payments, benefits or accelerated vesting described in Section 5.D or Section 5.E and (C) will be required to reimburse GeneDx, in cash within five business days after written demand is made by GeneDx therefore, for an amount equal to the value of any payments or benefits the Executive received pursuant to Section 5.D or Section 5.E.</w:t>
      </w:r>
    </w:p>
    <w:p>
      <w:pPr>
        <w:spacing w:after="0" w:line="12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PROPRIETARY RIGHTS AGREEMENT.</w:t>
      </w:r>
    </w:p>
    <w:p>
      <w:pPr>
        <w:spacing w:after="0" w:line="17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The Executive agrees to execute and abide by the Proprietary Information and Inventions Agreement (the “</w:t>
      </w:r>
      <w:r>
        <w:rPr>
          <w:rFonts w:ascii="Times New Roman" w:cs="Times New Roman" w:eastAsia="Times New Roman" w:hAnsi="Times New Roman"/>
          <w:sz w:val="18"/>
          <w:szCs w:val="18"/>
          <w:b w:val="1"/>
          <w:bCs w:val="1"/>
          <w:color w:val="auto"/>
        </w:rPr>
        <w:t>Proprietary Rights Agreement</w:t>
      </w:r>
      <w:r>
        <w:rPr>
          <w:rFonts w:ascii="Times New Roman" w:cs="Times New Roman" w:eastAsia="Times New Roman" w:hAnsi="Times New Roman"/>
          <w:sz w:val="18"/>
          <w:szCs w:val="18"/>
          <w:color w:val="auto"/>
        </w:rPr>
        <w:t xml:space="preserve">”) which GeneDx requires each employee to execute, which is attached hereto as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 xml:space="preserve"> and which is incorporated and made part of this Agreement.</w:t>
      </w:r>
    </w:p>
    <w:p>
      <w:pPr>
        <w:spacing w:after="0" w:line="101"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AGREEMENT ASSIGNMENT.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is agreed that this is a personal contract between the parties and that the rights and interests of the Executive hereunder may not be sold, transferred, assigned, pledged or hypothecated otherwise than by will or the laws of descent or distribution. GeneDx may assign this Agreement to a successor to all or substantially all of the business of GeneDx, and GeneDx shall be released from any further liability pursuant hereto upon such assignment and the assumption of the obligations of GeneDx hereunder by such successor.</w:t>
      </w:r>
    </w:p>
    <w:p>
      <w:pPr>
        <w:spacing w:after="0" w:line="122"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EXCLUSIVE EMPLOYMENT.</w:t>
      </w:r>
    </w:p>
    <w:p>
      <w:pPr>
        <w:spacing w:after="0" w:line="175" w:lineRule="exact"/>
        <w:rPr>
          <w:rFonts w:ascii="Times New Roman" w:cs="Times New Roman" w:eastAsia="Times New Roman" w:hAnsi="Times New Roman"/>
          <w:sz w:val="18"/>
          <w:szCs w:val="18"/>
          <w:b w:val="1"/>
          <w:bCs w:val="1"/>
          <w:color w:val="auto"/>
        </w:rPr>
      </w:pPr>
    </w:p>
    <w:p>
      <w:pPr>
        <w:jc w:val="both"/>
        <w:ind w:left="980" w:hanging="324"/>
        <w:spacing w:after="0" w:line="255" w:lineRule="auto"/>
        <w:tabs>
          <w:tab w:leader="none" w:pos="97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by GeneDx, during Executive’s employment the Executive will not do anything to compete with the present or contemplated business of GeneDx, suffer to exist any conflict of interest in respect of Executive’s relationship with GeneDx, or plan or organize any competitive business activity (with the understanding that the ownership by the Executive of less than one percent (1%) of the outstanding shares of common stock of a publicly traded corporation shall not be deemed to violate the requirements of this sentence). The Executive is not a party to, and during Executive’s employment Executive will not enter into, any agreement or directly or indirectly acquire, assume, or participate in any position, investment or interest that conflicts with Executive’s duties or obligations to GeneDx or that is known by Executive to be adverse to GeneDx.</w:t>
      </w:r>
    </w:p>
    <w:p>
      <w:pPr>
        <w:spacing w:after="0" w:line="134"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6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corporate opportunities which are consistent with the business and purpose of GeneDx are to be the property of GeneDx, as applicable, and cannot be used or disclosed by Executive for any purpose other than performing Executive’s Duties and Executive shall present to GeneDx, as applicable, any such opportunities of which Executive becomes aware. Executive shall at all times strictly comply with GeneDx’s conflicts of interest policy and any other policies adopted by the Board.</w:t>
      </w:r>
    </w:p>
    <w:p>
      <w:pPr>
        <w:spacing w:after="0" w:line="12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RESTRICTIVE COVENANTS.</w:t>
      </w:r>
    </w:p>
    <w:p>
      <w:pPr>
        <w:spacing w:after="0" w:line="175" w:lineRule="exact"/>
        <w:rPr>
          <w:rFonts w:ascii="Times New Roman" w:cs="Times New Roman" w:eastAsia="Times New Roman" w:hAnsi="Times New Roman"/>
          <w:sz w:val="18"/>
          <w:szCs w:val="18"/>
          <w:b w:val="1"/>
          <w:bCs w:val="1"/>
          <w:color w:val="auto"/>
        </w:rPr>
      </w:pPr>
    </w:p>
    <w:p>
      <w:pPr>
        <w:jc w:val="both"/>
        <w:ind w:left="980" w:hanging="324"/>
        <w:spacing w:after="0" w:line="261" w:lineRule="auto"/>
        <w:tabs>
          <w:tab w:leader="none" w:pos="97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Executive’s employment and the provisions of this Employment Agreement, Executive agrees that during Executive’s employment, and for a period of twelve (12) months following the termination of Executive’s employment for any reason, Executive will not solicit on behalf of himself or any organization (other than GeneDx) any person or entity who is then or within the last twelve (12) months was a customer or vendor of GeneDx or render services directly or indirectly anywhere within the United States of America for himself or on</w:t>
      </w:r>
    </w:p>
    <w:p>
      <w:pPr>
        <w:sectPr>
          <w:pgSz w:w="11900" w:h="16838" w:orient="portrait"/>
          <w:cols w:equalWidth="0" w:num="1">
            <w:col w:w="11240"/>
          </w:cols>
          <w:pgMar w:left="320" w:top="931" w:right="339" w:bottom="1440" w:gutter="0" w:footer="0" w:header="0"/>
        </w:sectPr>
      </w:pPr>
    </w:p>
    <w:bookmarkStart w:id="8" w:name="page9"/>
    <w:bookmarkEnd w:id="8"/>
    <w:p>
      <w:pPr>
        <w:ind w:left="980"/>
        <w:spacing w:after="0" w:line="282" w:lineRule="auto"/>
        <w:rPr>
          <w:sz w:val="20"/>
          <w:szCs w:val="20"/>
          <w:color w:val="auto"/>
        </w:rPr>
      </w:pPr>
      <w:r>
        <w:rPr>
          <w:rFonts w:ascii="Times New Roman" w:cs="Times New Roman" w:eastAsia="Times New Roman" w:hAnsi="Times New Roman"/>
          <w:sz w:val="18"/>
          <w:szCs w:val="18"/>
          <w:color w:val="auto"/>
        </w:rPr>
        <w:t>behalf of any third-party to any organization that is a competitor of GeneDx or any of their subsidiaries or affiliates as of the date of such termination.</w:t>
      </w:r>
    </w:p>
    <w:p>
      <w:pPr>
        <w:spacing w:after="0" w:line="108" w:lineRule="exact"/>
        <w:rPr>
          <w:sz w:val="20"/>
          <w:szCs w:val="20"/>
          <w:color w:val="auto"/>
        </w:rPr>
      </w:pPr>
    </w:p>
    <w:p>
      <w:pPr>
        <w:jc w:val="both"/>
        <w:ind w:left="980" w:hanging="324"/>
        <w:spacing w:after="0" w:line="256" w:lineRule="auto"/>
        <w:tabs>
          <w:tab w:leader="none" w:pos="96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agrees that for twelve (12) following the termination of Executive’s employment for any reason, Executive will not hire, solicit, recruit, encourage to leave or entice away, or endeavor to hire, solicit, recruit, encourage to leave or entice away from GeneDx any employee or exclusive consultant of GeneDx. GeneDx agrees that this Section 9.B shall not be breached if following termination of Executive’s employment by the Employer, Executive is associated with an organization that places general solicitations for employment and an employee or exclusive consultant of GeneDx is hired by such organization as a result of such general solicitation and without any specific solicitation of such employee or exclusive consultant.</w:t>
      </w:r>
    </w:p>
    <w:p>
      <w:pPr>
        <w:spacing w:after="0" w:line="133"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6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agrees that the restrictions and agreements contained in this Agreement (including the Proprietary Rights Agreement) are reasonable and necessary to protect the legitimate interests of GeneDx and that any violation of the restrictive covenants contained herein will cause substantial and irreparable harm to GeneDx that would not be quantifiable and for which no adequate remedy would exist at law. Accordingly, Executive authorizes the issuance of injunctive relief against him without the requirement of posting bond, for any violation of the restrictive covenants contained herein. In addition, the parties agree that the prevailing party in any legal action to enforce this Agreement shall be entitled to recover its reasonable attorneys’ fees incurred in enforcing this Agreement from the non-prevailing party.</w:t>
      </w:r>
    </w:p>
    <w:p>
      <w:pPr>
        <w:spacing w:after="0" w:line="12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409A COMPLIANCE.</w:t>
      </w:r>
    </w:p>
    <w:p>
      <w:pPr>
        <w:spacing w:after="0" w:line="1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Notwithstanding any other provision of this Agreement, the Employer and the Executive intend that any payments, benefits or other provisions applicable to this Agreement comply with the payout and other limitations and restrictions imposed under Section 409A of the Internal Revenue Code of 1986, as amended (“</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and the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as clarified or modified by guidance from the U.S. Department of Treasury or the Internal Revenue Service, in each case if and to the extent Section 409A is otherwise applicable to this Agreement and such compliance is necessary to avoid the penalties otherwise imposed under Section 409A. In this connection, the Employer and the Executive agree that the payments, benefits and other provisions applicable to this Agreement, and the terms of any deferral and other rights regarding this Agreement, shall be deemed modified if and to the extent necessary to comply with the payout and other limitations and restrictions imposed under Section 409A, as clarified or supplemented by guidance from the U.S. Department of Treasury or the Internal Revenue Service, in each case if and to the extent Section 409A is otherwise applicable to this Agreement and such compliance is necessary to avoid the penalties otherwise imposed under Section 409A. Any payments and benefits under this Agreement that qualify for the “short-term deferral” exemption or another exemption under Section 409A shall be paid under the applicable exemption. For purposes of the Section 409A, each payment of compensation under this Agreement shall be treated as a separate payment of compensation. Notwithstanding anything in this Agreement to the contrary, if any amounts or benefits payable under this Agreement in the event of Executive’s termination of employment constitute “nonqualified deferred compensation” within the meaning of Section 409A, payment of such amounts and benefits shall commence when the Executive incurs a “separation from service” within the meaning of Treasury Regulation 1.409A-1(h) (“</w:t>
      </w:r>
      <w:r>
        <w:rPr>
          <w:rFonts w:ascii="Times New Roman" w:cs="Times New Roman" w:eastAsia="Times New Roman" w:hAnsi="Times New Roman"/>
          <w:sz w:val="18"/>
          <w:szCs w:val="18"/>
          <w:b w:val="1"/>
          <w:bCs w:val="1"/>
          <w:i w:val="1"/>
          <w:iCs w:val="1"/>
          <w:color w:val="auto"/>
        </w:rPr>
        <w:t>Separation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from Service</w:t>
      </w:r>
      <w:r>
        <w:rPr>
          <w:rFonts w:ascii="Times New Roman" w:cs="Times New Roman" w:eastAsia="Times New Roman" w:hAnsi="Times New Roman"/>
          <w:sz w:val="18"/>
          <w:szCs w:val="18"/>
          <w:color w:val="auto"/>
        </w:rPr>
        <w:t>”). Such payments or benefits shall be provided in accordance with the timing provisions of this Agreement by substituting the Agreement’s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references to “termination of employment” or “termination” with Separation from Service. In addition, if at the time of Executive’s Separation from Service the Executive is a “specified employee” within the meaning of Section 409A(a)(2)(B)(i) of the Code, any amount or benefits that the constitutes “nonqualified deferred compensation” within the meaning of Section 409A that becomes payable to Executive on account of the Executive’s Separation from Service will not be paid until after the earlier of (i) first business day of the seventh month following Executive’s Separation from Service, or (ii) the date of the Executive’s death (the “</w:t>
      </w:r>
      <w:r>
        <w:rPr>
          <w:rFonts w:ascii="Times New Roman" w:cs="Times New Roman" w:eastAsia="Times New Roman" w:hAnsi="Times New Roman"/>
          <w:sz w:val="18"/>
          <w:szCs w:val="18"/>
          <w:b w:val="1"/>
          <w:bCs w:val="1"/>
          <w:i w:val="1"/>
          <w:iCs w:val="1"/>
          <w:color w:val="auto"/>
        </w:rPr>
        <w:t>409A Suspension Period</w:t>
      </w:r>
      <w:r>
        <w:rPr>
          <w:rFonts w:ascii="Times New Roman" w:cs="Times New Roman" w:eastAsia="Times New Roman" w:hAnsi="Times New Roman"/>
          <w:sz w:val="18"/>
          <w:szCs w:val="18"/>
          <w:color w:val="auto"/>
        </w:rPr>
        <w:t>”). Within 14 calendar days after the end of the 409A Suspension Period, the Executive shall be paid a cash lump sum payment equal to any payments and benefits that the Employer would otherwise have been required to provide under this Agreement but for the imposition of the 409A Suspension Period delayed because of the preceding sentence. Thereafter, the Executive shall receive any remaining payments and benefits due under this Agreement in accordance with the terms of this Section (as if there had not been any Suspension Period beforehand). To the extent not otherwise specified in this Agreement, all (A) reimbursements and (B) in-kind benefits provided under this Agreement shall be made or provided in accordance with the requirements of Section 409A, including, where applicable, the requirement that (1) any reimbursement is for expenses incurred during the Executive’s lifetime (or during a shorter period of time specified in this Agreement); (2) the amount of expenses eligible for reimbursement, or in kind benefits provided, during a calendar year may not affect the expenses eligible for reimbursement, or in kind benefits to be provided, in any other calendar year; (3) the reimbursement of an eligible expense will be made no later than the last day of the calendar year following the year in which the expense is incurred; and (4) the right to reimbursement or in kind benefits is not subject to liquidation or exchange for another benefit.</w:t>
      </w:r>
    </w:p>
    <w:p>
      <w:pPr>
        <w:sectPr>
          <w:pgSz w:w="11900" w:h="16838" w:orient="portrait"/>
          <w:cols w:equalWidth="0" w:num="1">
            <w:col w:w="11240"/>
          </w:cols>
          <w:pgMar w:left="320" w:top="93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11. SECTION 280G.</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event that the severance and other benefits provided for in this Agreement or otherwise payable to the Executive (i) constitute “parachute payments” within the meaning of Section 280G of the Code and (ii) but for this Section 11, would be subject to the excise tax imposed by Section 4999 of the Code, then, the Executive’s severance and other benefits under this Agreement shall be payable either (i) in full, or (ii) as to such lesser amount which would result in no portion of such severance and other benefits being subject to the excise tax under Section 4999 of the Code, whichever of the foregoing amounts, taking into account the applicable federal, state and local income taxes and the excise tax imposed by Section 4999 of the Code, results in the receipt by the Executive on an after-tax basis of the greatest amount of severance benefits under this Agreement, notwithstanding that all or some portion of such severance benefits may be taxable under Section 4999 of the Code. Any reduction shall be made in the following order: (i) reduction of cash payments, (ii) cancellation of accelerated vesting of equity awards, and (iii) reduction of other benefits payable to the Executive. Unless GeneDx and the Executive otherwise agree in writing, any determination required under this Section 11 shall be made in writing by GeneDx’s independent public accountants (the “</w:t>
      </w:r>
      <w:r>
        <w:rPr>
          <w:rFonts w:ascii="Times New Roman" w:cs="Times New Roman" w:eastAsia="Times New Roman" w:hAnsi="Times New Roman"/>
          <w:sz w:val="18"/>
          <w:szCs w:val="18"/>
          <w:b w:val="1"/>
          <w:bCs w:val="1"/>
          <w:i w:val="1"/>
          <w:iCs w:val="1"/>
          <w:color w:val="auto"/>
        </w:rPr>
        <w:t>Accountants</w:t>
      </w:r>
      <w:r>
        <w:rPr>
          <w:rFonts w:ascii="Times New Roman" w:cs="Times New Roman" w:eastAsia="Times New Roman" w:hAnsi="Times New Roman"/>
          <w:sz w:val="18"/>
          <w:szCs w:val="18"/>
          <w:color w:val="auto"/>
        </w:rPr>
        <w:t>”), whose determination shall be conclusive and binding upon the Executive and GeneDx for all purposes. For purposes of making the calculations required by this Section 11, the Accountants may make reasonable assumptions and approximations concerning applicable taxes and may rely on reasonable, good faith interpretations concerning the application of Sections 280G and 4999 of the Code. GeneDx and the Executive shall furnish to the Accountants such information and documents as the Accountants may reasonably request in order to make a determination under this Section</w:t>
      </w:r>
    </w:p>
    <w:p>
      <w:pPr>
        <w:spacing w:after="0" w:line="1" w:lineRule="exact"/>
        <w:rPr>
          <w:sz w:val="20"/>
          <w:szCs w:val="20"/>
          <w:color w:val="auto"/>
        </w:rPr>
      </w:pPr>
    </w:p>
    <w:p>
      <w:pPr>
        <w:ind w:left="280" w:hanging="272"/>
        <w:spacing w:after="0"/>
        <w:tabs>
          <w:tab w:leader="none" w:pos="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GeneDx shall bear all costs the Accountants may reasonably incur in connection with any calculations contemplated by this Section 11.</w:t>
      </w:r>
    </w:p>
    <w:p>
      <w:pPr>
        <w:spacing w:after="0" w:line="14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GeneDx shall indemnify the Executive, to the maximum extent permitted by applicable law, and in the same or better manner and to the same or better extent with respect to each aspect of the indemnification as provided to any other officer of GeneDx (including without limitation any Directors and Officers insurance coverage), against all costs, charges and expenses incurred or sustained by the Executive in connection with any action, suit or proceeding to which the Executive may be made a party, brought by any shareholder of GeneDx directly or derivatively or by any third party by reason of any act or omission of the Executive as an officer, director or employee of GeneDx.</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NO DUTY TO MITIGATE.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no event shall the Executive be obligated to seek other employment or take any other action by way of mitigation of the amounts payable to the Executive under any provisions of this Agreement.</w:t>
      </w:r>
    </w:p>
    <w:p>
      <w:pPr>
        <w:spacing w:after="0" w:line="104"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PROVISIONS.</w:t>
      </w:r>
    </w:p>
    <w:p>
      <w:pPr>
        <w:spacing w:after="0" w:line="175" w:lineRule="exact"/>
        <w:rPr>
          <w:rFonts w:ascii="Times New Roman" w:cs="Times New Roman" w:eastAsia="Times New Roman" w:hAnsi="Times New Roman"/>
          <w:sz w:val="18"/>
          <w:szCs w:val="18"/>
          <w:b w:val="1"/>
          <w:bCs w:val="1"/>
          <w:color w:val="auto"/>
        </w:rPr>
      </w:pPr>
    </w:p>
    <w:p>
      <w:pPr>
        <w:jc w:val="both"/>
        <w:ind w:left="980" w:hanging="324"/>
        <w:spacing w:after="0" w:line="261" w:lineRule="auto"/>
        <w:tabs>
          <w:tab w:leader="none" w:pos="97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construed in accordance with and governed by the laws of the State of New York, without reference to the principles thereof respecting conflicts of laws. Each party to this Agreement, by his or its execution hereof, hereby irrevocably submits to the exclusive jurisdiction of the federal and state courts sitting in the County of New York, State of New York for the purpose of any and all actions, suits or proceedings arising in whole or in part out of, related to, based upon or in connection with this Agreement.</w:t>
      </w:r>
    </w:p>
    <w:p>
      <w:pPr>
        <w:spacing w:after="0" w:line="1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notices provided hereunder must be in writing and shall be deemed effective upon the earlier of personal delivery or the third day after mailing by U.S. registered or certified mail, return receipt requested and postage prepaid, to GeneDx at its primary office location and to Executive at Executive’s address as listed on the Employer’s payroll.</w:t>
      </w:r>
    </w:p>
    <w:p>
      <w:pPr>
        <w:spacing w:after="0" w:line="121" w:lineRule="exact"/>
        <w:rPr>
          <w:rFonts w:ascii="Times New Roman" w:cs="Times New Roman" w:eastAsia="Times New Roman" w:hAnsi="Times New Roman"/>
          <w:sz w:val="18"/>
          <w:szCs w:val="18"/>
          <w:color w:val="auto"/>
        </w:rPr>
      </w:pPr>
    </w:p>
    <w:p>
      <w:pPr>
        <w:ind w:left="980" w:hanging="324"/>
        <w:spacing w:after="0" w:line="282" w:lineRule="auto"/>
        <w:tabs>
          <w:tab w:leader="none" w:pos="96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inure to the benefit of and be binding upon GeneDx, its permitted successors and assigns and the Executive, Executive’s heirs, executors, administrators and legal representatives.</w:t>
      </w:r>
    </w:p>
    <w:p>
      <w:pPr>
        <w:spacing w:after="0" w:line="10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Proprietary Rights Agreement set forth the entire understanding of the parties hereto with respect to the employment of the Executive by the Employer. Any and all other previous agreements and understandings between or among the parties regarding the subject matter hereof, whether written or oral, are hereby released, merged herein and superseded by this Agreement.</w:t>
      </w:r>
    </w:p>
    <w:p>
      <w:pPr>
        <w:spacing w:after="0" w:line="121" w:lineRule="exact"/>
        <w:rPr>
          <w:rFonts w:ascii="Times New Roman" w:cs="Times New Roman" w:eastAsia="Times New Roman" w:hAnsi="Times New Roman"/>
          <w:sz w:val="18"/>
          <w:szCs w:val="18"/>
          <w:color w:val="auto"/>
        </w:rPr>
      </w:pPr>
    </w:p>
    <w:p>
      <w:pPr>
        <w:ind w:left="980" w:hanging="324"/>
        <w:spacing w:after="0" w:line="282" w:lineRule="auto"/>
        <w:tabs>
          <w:tab w:leader="none" w:pos="973"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statement, representation, warranty, covenant or agreement not expressly set forth in this Agreement shall affect or be used to interpret, change or restrict the express terms and provisions of this Agreement.</w:t>
      </w:r>
    </w:p>
    <w:p>
      <w:pPr>
        <w:spacing w:after="0" w:line="10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not be amended or modified without a writing signed by each of the Executive and the Employer. The terms and provisions of this Agreement may be waived, or consent for the departure therefrom granted, only by written document executed by the party entitled to the benefits of such terms or provisions. No such</w:t>
      </w:r>
    </w:p>
    <w:p>
      <w:pPr>
        <w:sectPr>
          <w:pgSz w:w="11900" w:h="16838" w:orient="portrait"/>
          <w:cols w:equalWidth="0" w:num="1">
            <w:col w:w="11240"/>
          </w:cols>
          <w:pgMar w:left="320" w:top="927" w:right="339" w:bottom="1440" w:gutter="0" w:footer="0" w:header="0"/>
        </w:sectPr>
      </w:pPr>
    </w:p>
    <w:bookmarkStart w:id="10" w:name="page11"/>
    <w:bookmarkEnd w:id="10"/>
    <w:p>
      <w:pPr>
        <w:jc w:val="both"/>
        <w:ind w:left="324"/>
        <w:spacing w:after="0" w:line="266" w:lineRule="auto"/>
        <w:rPr>
          <w:sz w:val="20"/>
          <w:szCs w:val="20"/>
          <w:color w:val="auto"/>
        </w:rPr>
      </w:pPr>
      <w:r>
        <w:rPr>
          <w:rFonts w:ascii="Times New Roman" w:cs="Times New Roman" w:eastAsia="Times New Roman" w:hAnsi="Times New Roman"/>
          <w:sz w:val="18"/>
          <w:szCs w:val="18"/>
          <w:color w:val="auto"/>
        </w:rPr>
        <w:t>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122" w:lineRule="exact"/>
        <w:rPr>
          <w:sz w:val="20"/>
          <w:szCs w:val="20"/>
          <w:color w:val="auto"/>
        </w:rPr>
      </w:pPr>
    </w:p>
    <w:p>
      <w:pPr>
        <w:jc w:val="both"/>
        <w:ind w:left="324" w:hanging="324"/>
        <w:spacing w:after="0" w:line="266" w:lineRule="auto"/>
        <w:tabs>
          <w:tab w:leader="none" w:pos="32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two counterparts, each of which shall be an original, and which together shall constitute one and the same instrument. A facsimile transmission by a party of a signed signature page hereof shall have the same effect as delivery by such party of a manually executed original counterpart hereof.</w:t>
      </w:r>
    </w:p>
    <w:p>
      <w:pPr>
        <w:spacing w:after="0" w:line="121" w:lineRule="exact"/>
        <w:rPr>
          <w:rFonts w:ascii="Times New Roman" w:cs="Times New Roman" w:eastAsia="Times New Roman" w:hAnsi="Times New Roman"/>
          <w:sz w:val="18"/>
          <w:szCs w:val="18"/>
          <w:color w:val="auto"/>
        </w:rPr>
      </w:pPr>
    </w:p>
    <w:p>
      <w:pPr>
        <w:jc w:val="both"/>
        <w:ind w:left="324" w:hanging="324"/>
        <w:spacing w:after="0" w:line="261" w:lineRule="auto"/>
        <w:tabs>
          <w:tab w:leader="none" w:pos="32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 any reason any provision of this Agreement is held invalid, such invalidity shall not affect any other provision of this Agreement not held invalid, and each such other provision shall, to the full extent consistent with law, continue in full force and effect. If any provision of this Agreement shall be held invalid in part, such invalidity shall not affect the rest of such provision not held invalid, and the rest of such provision, and the rest of this Agreement, shall, to the full extent consistent with law, continue in full force and effect.</w:t>
      </w:r>
    </w:p>
    <w:p>
      <w:pPr>
        <w:spacing w:after="0" w:line="124" w:lineRule="exact"/>
        <w:rPr>
          <w:sz w:val="20"/>
          <w:szCs w:val="20"/>
          <w:color w:val="auto"/>
        </w:rPr>
      </w:pPr>
    </w:p>
    <w:p>
      <w:pPr>
        <w:ind w:left="40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0584"/>
          </w:cols>
          <w:pgMar w:left="976" w:top="93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IN WITNESS WHEREOF, the parties hereto have duly executed this Agreement as of the date first above written.</w:t>
      </w:r>
    </w:p>
    <w:p>
      <w:pPr>
        <w:spacing w:after="0" w:line="21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THE EMPLOYER:</w:t>
      </w:r>
    </w:p>
    <w:p>
      <w:pPr>
        <w:spacing w:after="0" w:line="117" w:lineRule="exact"/>
        <w:rPr>
          <w:sz w:val="20"/>
          <w:szCs w:val="20"/>
          <w:color w:val="auto"/>
        </w:rPr>
      </w:pPr>
    </w:p>
    <w:tbl>
      <w:tblPr>
        <w:tblLayout w:type="fixed"/>
        <w:tblInd w:w="518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Katherine Stueland</w:t>
            </w:r>
          </w:p>
        </w:tc>
      </w:tr>
      <w:tr>
        <w:trPr>
          <w:trHeight w:val="218"/>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Katherine Stueland</w:t>
            </w:r>
          </w:p>
        </w:tc>
      </w:t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8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EXECUTIVE:</w:t>
            </w:r>
          </w:p>
        </w:tc>
      </w:tr>
      <w:tr>
        <w:trPr>
          <w:trHeight w:val="32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Bryan Dechairo</w:t>
            </w:r>
          </w:p>
        </w:tc>
      </w:tr>
      <w:tr>
        <w:trPr>
          <w:trHeight w:val="228"/>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Bryan Dechairo</w:t>
            </w:r>
          </w:p>
        </w:tc>
      </w:tr>
    </w:tbl>
    <w:p>
      <w:pPr>
        <w:sectPr>
          <w:pgSz w:w="11900" w:h="16838" w:orient="portrait"/>
          <w:cols w:equalWidth="0" w:num="1">
            <w:col w:w="10340"/>
          </w:cols>
          <w:pgMar w:left="320" w:top="769" w:right="1239" w:bottom="1440" w:gutter="0" w:footer="0" w:header="0"/>
        </w:sectPr>
      </w:pPr>
    </w:p>
    <w:bookmarkStart w:id="12" w:name="page13"/>
    <w:bookmarkEnd w:id="12"/>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DUTIES</w:t>
      </w:r>
    </w:p>
    <w:p>
      <w:pPr>
        <w:spacing w:after="0" w:line="149" w:lineRule="exact"/>
        <w:rPr>
          <w:sz w:val="20"/>
          <w:szCs w:val="20"/>
          <w:color w:val="auto"/>
        </w:rPr>
      </w:pPr>
    </w:p>
    <w:p>
      <w:pPr>
        <w:ind w:left="312" w:hanging="312"/>
        <w:spacing w:after="0"/>
        <w:tabs>
          <w:tab w:leader="none" w:pos="31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Portfolio: </w:t>
      </w:r>
      <w:r>
        <w:rPr>
          <w:rFonts w:ascii="Times New Roman" w:cs="Times New Roman" w:eastAsia="Times New Roman" w:hAnsi="Times New Roman"/>
          <w:sz w:val="18"/>
          <w:szCs w:val="18"/>
          <w:color w:val="auto"/>
        </w:rPr>
        <w:t>Operations, Product, AI/Technology, Regulatory, &amp; PMO</w:t>
      </w:r>
    </w:p>
    <w:p>
      <w:pPr>
        <w:spacing w:after="0" w:line="171" w:lineRule="exact"/>
        <w:rPr>
          <w:rFonts w:ascii="Times New Roman" w:cs="Times New Roman" w:eastAsia="Times New Roman" w:hAnsi="Times New Roman"/>
          <w:sz w:val="18"/>
          <w:szCs w:val="18"/>
          <w:color w:val="auto"/>
        </w:rPr>
      </w:pPr>
    </w:p>
    <w:p>
      <w:pPr>
        <w:ind w:left="312" w:hanging="312"/>
        <w:spacing w:after="0"/>
        <w:tabs>
          <w:tab w:leader="none" w:pos="31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Business Transformation:</w:t>
      </w:r>
    </w:p>
    <w:p>
      <w:pPr>
        <w:spacing w:after="0" w:line="175"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Champion business transformation efforts by leveraging a data-driven approach to assess and implement new tools, systems, and processes.</w:t>
      </w:r>
    </w:p>
    <w:p>
      <w:pPr>
        <w:spacing w:after="0" w:line="171"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efficiency and effectiveness through the adoption of best practices and innovative solutions.</w:t>
      </w:r>
    </w:p>
    <w:p>
      <w:pPr>
        <w:spacing w:after="0" w:line="167" w:lineRule="exact"/>
        <w:rPr>
          <w:rFonts w:ascii="Times New Roman" w:cs="Times New Roman" w:eastAsia="Times New Roman" w:hAnsi="Times New Roman"/>
          <w:sz w:val="18"/>
          <w:szCs w:val="18"/>
          <w:color w:val="auto"/>
        </w:rPr>
      </w:pPr>
    </w:p>
    <w:p>
      <w:pPr>
        <w:ind w:left="312" w:hanging="312"/>
        <w:spacing w:after="0"/>
        <w:tabs>
          <w:tab w:leader="none" w:pos="31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Innovation and Technology Leadership:</w:t>
      </w:r>
    </w:p>
    <w:p>
      <w:pPr>
        <w:spacing w:after="0" w:line="175" w:lineRule="exact"/>
        <w:rPr>
          <w:rFonts w:ascii="Times New Roman" w:cs="Times New Roman" w:eastAsia="Times New Roman" w:hAnsi="Times New Roman"/>
          <w:sz w:val="18"/>
          <w:szCs w:val="18"/>
          <w:color w:val="auto"/>
        </w:rPr>
      </w:pPr>
    </w:p>
    <w:p>
      <w:pPr>
        <w:ind w:left="972" w:hanging="324"/>
        <w:spacing w:after="0" w:line="282" w:lineRule="auto"/>
        <w:tabs>
          <w:tab w:leader="none" w:pos="96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digital transformation in leveraging emerging technologies to build a competitive advantage. Deploy tech at scale to improve the patient experience and reach, lower costs, and improve GeneDx’s tech capabilities and ways of working.</w:t>
      </w:r>
    </w:p>
    <w:p>
      <w:pPr>
        <w:spacing w:after="0" w:line="107"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Foster a culture of innovation, encouraging teams to explore and adopt cutting-edge solutions to stay ahead of industry trends.</w:t>
      </w:r>
    </w:p>
    <w:p>
      <w:pPr>
        <w:spacing w:after="0" w:line="167" w:lineRule="exact"/>
        <w:rPr>
          <w:rFonts w:ascii="Times New Roman" w:cs="Times New Roman" w:eastAsia="Times New Roman" w:hAnsi="Times New Roman"/>
          <w:sz w:val="18"/>
          <w:szCs w:val="18"/>
          <w:color w:val="auto"/>
        </w:rPr>
      </w:pPr>
    </w:p>
    <w:p>
      <w:pPr>
        <w:ind w:left="312" w:hanging="312"/>
        <w:spacing w:after="0"/>
        <w:tabs>
          <w:tab w:leader="none" w:pos="31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Strategic Mobilization:</w:t>
      </w:r>
    </w:p>
    <w:p>
      <w:pPr>
        <w:spacing w:after="0" w:line="175"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teams across all levels in a new way of working, fostering a unified approach to achieving our strategic goals.</w:t>
      </w:r>
    </w:p>
    <w:p>
      <w:pPr>
        <w:spacing w:after="0" w:line="171"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Promote a culture of collaboration and continuous improvement to drive the organization forward.</w:t>
      </w:r>
    </w:p>
    <w:p>
      <w:pPr>
        <w:spacing w:after="0" w:line="167" w:lineRule="exact"/>
        <w:rPr>
          <w:rFonts w:ascii="Times New Roman" w:cs="Times New Roman" w:eastAsia="Times New Roman" w:hAnsi="Times New Roman"/>
          <w:sz w:val="18"/>
          <w:szCs w:val="18"/>
          <w:color w:val="auto"/>
        </w:rPr>
      </w:pPr>
    </w:p>
    <w:p>
      <w:pPr>
        <w:ind w:left="312" w:hanging="312"/>
        <w:spacing w:after="0"/>
        <w:tabs>
          <w:tab w:leader="none" w:pos="31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Business Strategy Assessment:</w:t>
      </w:r>
    </w:p>
    <w:p>
      <w:pPr>
        <w:spacing w:after="0" w:line="175"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implement strategic plans that align with our long-term objectives and market dynamics.</w:t>
      </w:r>
    </w:p>
    <w:p>
      <w:pPr>
        <w:spacing w:after="0" w:line="171"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our current business strategy and priorities to identify opportunities for growth and potential threats.</w:t>
      </w:r>
    </w:p>
    <w:p>
      <w:pPr>
        <w:spacing w:after="0" w:line="167" w:lineRule="exact"/>
        <w:rPr>
          <w:rFonts w:ascii="Times New Roman" w:cs="Times New Roman" w:eastAsia="Times New Roman" w:hAnsi="Times New Roman"/>
          <w:sz w:val="18"/>
          <w:szCs w:val="18"/>
          <w:color w:val="auto"/>
        </w:rPr>
      </w:pPr>
    </w:p>
    <w:p>
      <w:pPr>
        <w:ind w:left="312" w:hanging="312"/>
        <w:spacing w:after="0"/>
        <w:tabs>
          <w:tab w:leader="none" w:pos="31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Organizational Change Management:</w:t>
      </w:r>
    </w:p>
    <w:p>
      <w:pPr>
        <w:spacing w:after="0" w:line="175"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change management initiatives to align and execute programs that support our organization’s goals.</w:t>
      </w:r>
    </w:p>
    <w:p>
      <w:pPr>
        <w:spacing w:after="0" w:line="171"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seamless implementation of new initiatives, minimizing disruption while maximizing engagement and adoption.</w:t>
      </w:r>
    </w:p>
    <w:p>
      <w:pPr>
        <w:spacing w:after="0" w:line="167" w:lineRule="exact"/>
        <w:rPr>
          <w:rFonts w:ascii="Times New Roman" w:cs="Times New Roman" w:eastAsia="Times New Roman" w:hAnsi="Times New Roman"/>
          <w:sz w:val="18"/>
          <w:szCs w:val="18"/>
          <w:color w:val="auto"/>
        </w:rPr>
      </w:pPr>
    </w:p>
    <w:p>
      <w:pPr>
        <w:ind w:left="312" w:hanging="312"/>
        <w:spacing w:after="0"/>
        <w:tabs>
          <w:tab w:leader="none" w:pos="31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Cultural Development:</w:t>
      </w:r>
    </w:p>
    <w:p>
      <w:pPr>
        <w:spacing w:after="0" w:line="175"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and nurture a supportive organizational culture that encourages high performance and cross-functional collaboration.</w:t>
      </w:r>
    </w:p>
    <w:p>
      <w:pPr>
        <w:spacing w:after="0" w:line="171"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initiatives that promote employee engagement, satisfaction, and professional development</w:t>
      </w:r>
    </w:p>
    <w:p>
      <w:pPr>
        <w:sectPr>
          <w:pgSz w:w="11900" w:h="16838" w:orient="portrait"/>
          <w:cols w:equalWidth="0" w:num="1">
            <w:col w:w="11212"/>
          </w:cols>
          <w:pgMar w:left="328" w:top="765" w:right="35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93345</wp:posOffset>
            </wp:positionV>
            <wp:extent cx="1440180" cy="497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018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GeneDx Strengthens Executive Leadership Team with Bryan Dechairo Named Chief Operating Officer</w:t>
      </w:r>
    </w:p>
    <w:p>
      <w:pPr>
        <w:spacing w:after="0" w:line="178" w:lineRule="exact"/>
        <w:rPr>
          <w:sz w:val="20"/>
          <w:szCs w:val="20"/>
          <w:color w:val="auto"/>
        </w:rPr>
      </w:pPr>
    </w:p>
    <w:p>
      <w:pPr>
        <w:jc w:val="center"/>
        <w:ind w:left="340" w:right="300"/>
        <w:spacing w:after="0" w:line="286" w:lineRule="auto"/>
        <w:rPr>
          <w:sz w:val="20"/>
          <w:szCs w:val="20"/>
          <w:color w:val="auto"/>
        </w:rPr>
      </w:pPr>
      <w:r>
        <w:rPr>
          <w:rFonts w:ascii="Times New Roman" w:cs="Times New Roman" w:eastAsia="Times New Roman" w:hAnsi="Times New Roman"/>
          <w:sz w:val="18"/>
          <w:szCs w:val="18"/>
          <w:b w:val="1"/>
          <w:bCs w:val="1"/>
          <w:color w:val="auto"/>
        </w:rPr>
        <w:t>Experienced Diagnostics Executive with a Proven Record of Driving Business Growth to Lead Product &amp; Technology, Operations, Medical Affairs, Innovation and More</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Executive Leadership Positions Company for Growth and Scale</w:t>
      </w:r>
    </w:p>
    <w:p>
      <w:pPr>
        <w:spacing w:after="0" w:line="200" w:lineRule="exact"/>
        <w:rPr>
          <w:sz w:val="20"/>
          <w:szCs w:val="20"/>
          <w:color w:val="auto"/>
        </w:rPr>
      </w:pPr>
    </w:p>
    <w:p>
      <w:pPr>
        <w:spacing w:after="0" w:line="3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STAMFORD, Conn., January 2, 2025 -- </w:t>
      </w:r>
      <w:r>
        <w:rPr>
          <w:rFonts w:ascii="Times New Roman" w:cs="Times New Roman" w:eastAsia="Times New Roman" w:hAnsi="Times New Roman"/>
          <w:sz w:val="18"/>
          <w:szCs w:val="18"/>
          <w:color w:val="auto"/>
        </w:rPr>
        <w:t>GeneDx (Nasdaq: WGS), a leader in delivering improved health outcomes through genomic insights,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the appointment of Bryan Dechairo as Chief Operating Officer, effective immediately. In the newly created role, Bryan will report to Katherine Stueland, CEO and President, and will serve on the company’s executive leadership team.</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Chief Operating Officer, Bryan will oversee Product &amp; Technology, Operations, Medical Affairs, Innovation, and the Program Management teams at GeneDx. He will be pivotal in driving operational excellence as the company enters the next phase of commercial growth.</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“Bryan’s extensive clinical, technical and operational experience and proven ability to lead scalable transformations will play a pivotal role in helping us execute our strategic vision and accelerate the adoption of genomic insights across healthcare,” said Stueland. “As we embark on the next phase of our growth and scale, I am confident Bryan’s leadership will be critical in helping us deliver impactful genomic insights and improve health outcomes for an ever-growing number of patients and families.”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Bryan brings over 30 years of experience in exploratory and commercial diagnostic businesses, driving the development of revenue-generating clinical innovations that enhance patient outcomes. He most recently served as President and CEO of Sherlock Biosciences, where he successfully transformed the company from a research-stage start-up into a commercial operation. Bryan has also held executive leadership roles at prominent diagnostic and pharmaceutical companies, including Pfizer, Myriad Genetics, Assurex, Medco Health and others. Bryan holds a PhD in Human Genetics from the University College of London and a BA in Integrative Biology from the University of California Berkeley.</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“GeneDx has built a market-leading position in pediatric genetics and has an incredible opportunity to pave the way for the genomics revolution in healthcare today,” said Dechairo. “With world-class products, advanced AI and the most dynamic minds in the industry, I’m looking forward to supercharging operational excellence to accelerate profitable growth.”</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GeneDx</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GeneDx (Nasdaq: WGS), we believe that everyone deserves personalized, targeted medical care—and that it all begins with a genetic diagnosis. Fueled by one of the world’s largest rare disease data sets, our industry-leading exome and genome tests translate complex genomic data into clinical answers that unlock personalized health plans, accelerate drug discovery, and improve health system efficiencies. For more information, please visit genedx.com and connect with us on LinkedIn, X, Facebook, and Instagram.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Investors@GeneDx.com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Press@GeneDx.com</w:t>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decimal"/>
      <w:start w:val="1"/>
    </w:lvl>
    <w:lvl w:ilvl="1">
      <w:lvlJc w:val="left"/>
      <w:lvlText w:val="%2."/>
      <w:numFmt w:val="upperLetter"/>
      <w:start w:val="1"/>
    </w:lvl>
  </w:abstractNum>
  <w:abstractNum w:abstractNumId="2">
    <w:nsid w:val="1190CDE7"/>
    <w:multiLevelType w:val="hybridMultilevel"/>
    <w:lvl w:ilvl="0">
      <w:lvlJc w:val="left"/>
      <w:lvlText w:val="%1."/>
      <w:numFmt w:val="decimal"/>
      <w:start w:val="3"/>
    </w:lvl>
  </w:abstractNum>
  <w:abstractNum w:abstractNumId="3">
    <w:nsid w:val="66EF438D"/>
    <w:multiLevelType w:val="hybridMultilevel"/>
    <w:lvl w:ilvl="0">
      <w:lvlJc w:val="left"/>
      <w:lvlText w:val="%1."/>
      <w:numFmt w:val="upperLetter"/>
      <w:start w:val="1"/>
    </w:lvl>
  </w:abstractNum>
  <w:abstractNum w:abstractNumId="4">
    <w:nsid w:val="140E0F76"/>
    <w:multiLevelType w:val="hybridMultilevel"/>
    <w:lvl w:ilvl="0">
      <w:lvlJc w:val="left"/>
      <w:lvlText w:val="%1."/>
      <w:numFmt w:val="upperLetter"/>
      <w:start w:val="3"/>
    </w:lvl>
  </w:abstractNum>
  <w:abstractNum w:abstractNumId="5">
    <w:nsid w:val="3352255A"/>
    <w:multiLevelType w:val="hybridMultilevel"/>
    <w:lvl w:ilvl="0">
      <w:lvlJc w:val="left"/>
      <w:lvlText w:val="%1."/>
      <w:numFmt w:val="decimal"/>
      <w:start w:val="4"/>
    </w:lvl>
  </w:abstractNum>
  <w:abstractNum w:abstractNumId="6">
    <w:nsid w:val="109CF92E"/>
    <w:multiLevelType w:val="hybridMultilevel"/>
    <w:lvl w:ilvl="0">
      <w:lvlJc w:val="left"/>
      <w:lvlText w:val="%1."/>
      <w:numFmt w:val="decimal"/>
      <w:start w:val="5"/>
    </w:lvl>
    <w:lvl w:ilvl="1">
      <w:lvlJc w:val="left"/>
      <w:lvlText w:val="%2."/>
      <w:numFmt w:val="upperLetter"/>
      <w:start w:val="1"/>
    </w:lvl>
  </w:abstractNum>
  <w:abstractNum w:abstractNumId="7">
    <w:nsid w:val="DED7263"/>
    <w:multiLevelType w:val="hybridMultilevel"/>
    <w:lvl w:ilvl="0">
      <w:lvlJc w:val="left"/>
      <w:lvlText w:val="%1."/>
      <w:numFmt w:val="upperLetter"/>
      <w:start w:val="2"/>
    </w:lvl>
    <w:lvl w:ilvl="1">
      <w:lvlJc w:val="left"/>
      <w:lvlText w:val="(%2)"/>
      <w:numFmt w:val="lowerRoman"/>
      <w:start w:val="1"/>
    </w:lvl>
  </w:abstractNum>
  <w:abstractNum w:abstractNumId="8">
    <w:nsid w:val="7FDCC233"/>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abstractNum>
  <w:abstractNum w:abstractNumId="9">
    <w:nsid w:val="1BEFD79F"/>
    <w:multiLevelType w:val="hybridMultilevel"/>
    <w:lvl w:ilvl="0">
      <w:lvlJc w:val="left"/>
      <w:lvlText w:val="%1."/>
      <w:numFmt w:val="upperLetter"/>
      <w:start w:val="5"/>
    </w:lvl>
    <w:lvl w:ilvl="1">
      <w:lvlJc w:val="left"/>
      <w:lvlText w:val="(%2)"/>
      <w:numFmt w:val="lowerRoman"/>
      <w:start w:val="1"/>
    </w:lvl>
    <w:lvl w:ilvl="2">
      <w:lvlJc w:val="left"/>
      <w:lvlText w:val="(%3)"/>
      <w:numFmt w:val="upperLetter"/>
      <w:start w:val="1"/>
    </w:lvl>
  </w:abstractNum>
  <w:abstractNum w:abstractNumId="10">
    <w:nsid w:val="41A7C4C9"/>
    <w:multiLevelType w:val="hybridMultilevel"/>
    <w:lvl w:ilvl="0">
      <w:lvlJc w:val="left"/>
      <w:lvlText w:val="%1"/>
      <w:numFmt w:val="decimal"/>
      <w:start w:val="1"/>
    </w:lvl>
    <w:lvl w:ilvl="1">
      <w:lvlJc w:val="left"/>
      <w:lvlText w:val="%2."/>
      <w:numFmt w:val="upperLetter"/>
      <w:start w:val="6"/>
    </w:lvl>
  </w:abstractNum>
  <w:abstractNum w:abstractNumId="11">
    <w:nsid w:val="6B68079A"/>
    <w:multiLevelType w:val="hybridMultilevel"/>
    <w:lvl w:ilvl="0">
      <w:lvlJc w:val="left"/>
      <w:lvlText w:val="%1."/>
      <w:numFmt w:val="decimal"/>
      <w:start w:val="6"/>
    </w:lvl>
    <w:lvl w:ilvl="1">
      <w:lvlJc w:val="left"/>
      <w:lvlText w:val="%2"/>
      <w:numFmt w:val="upperLetter"/>
      <w:start w:val="1"/>
    </w:lvl>
  </w:abstractNum>
  <w:abstractNum w:abstractNumId="12">
    <w:nsid w:val="4E6AFB66"/>
    <w:multiLevelType w:val="hybridMultilevel"/>
    <w:lvl w:ilvl="0">
      <w:lvlJc w:val="left"/>
      <w:lvlText w:val="%1."/>
      <w:numFmt w:val="decimal"/>
      <w:start w:val="7"/>
    </w:lvl>
  </w:abstractNum>
  <w:abstractNum w:abstractNumId="13">
    <w:nsid w:val="25E45D32"/>
    <w:multiLevelType w:val="hybridMultilevel"/>
    <w:lvl w:ilvl="0">
      <w:lvlJc w:val="left"/>
      <w:lvlText w:val="%1."/>
      <w:numFmt w:val="decimal"/>
      <w:start w:val="8"/>
    </w:lvl>
    <w:lvl w:ilvl="1">
      <w:lvlJc w:val="left"/>
      <w:lvlText w:val="%2."/>
      <w:numFmt w:val="upperLetter"/>
      <w:start w:val="1"/>
    </w:lvl>
  </w:abstractNum>
  <w:abstractNum w:abstractNumId="14">
    <w:nsid w:val="519B500D"/>
    <w:multiLevelType w:val="hybridMultilevel"/>
    <w:lvl w:ilvl="0">
      <w:lvlJc w:val="left"/>
      <w:lvlText w:val="%1"/>
      <w:numFmt w:val="decimal"/>
      <w:start w:val="1"/>
    </w:lvl>
    <w:lvl w:ilvl="1">
      <w:lvlJc w:val="left"/>
      <w:lvlText w:val="%2."/>
      <w:numFmt w:val="upperLetter"/>
      <w:start w:val="2"/>
    </w:lvl>
  </w:abstractNum>
  <w:abstractNum w:abstractNumId="15">
    <w:nsid w:val="431BD7B7"/>
    <w:multiLevelType w:val="hybridMultilevel"/>
    <w:lvl w:ilvl="0">
      <w:lvlJc w:val="left"/>
      <w:lvlText w:val="%1."/>
      <w:numFmt w:val="decimal"/>
      <w:start w:val="10"/>
    </w:lvl>
    <w:lvl w:ilvl="1">
      <w:lvlJc w:val="left"/>
      <w:lvlText w:val="%2"/>
      <w:numFmt w:val="upperLetter"/>
      <w:start w:val="1"/>
    </w:lvl>
  </w:abstractNum>
  <w:abstractNum w:abstractNumId="16">
    <w:nsid w:val="3F2DBA31"/>
    <w:multiLevelType w:val="hybridMultilevel"/>
    <w:lvl w:ilvl="0">
      <w:lvlJc w:val="left"/>
      <w:lvlText w:val="%1."/>
      <w:numFmt w:val="decimal"/>
      <w:start w:val="11"/>
    </w:lvl>
  </w:abstractNum>
  <w:abstractNum w:abstractNumId="17">
    <w:nsid w:val="7C83E458"/>
    <w:multiLevelType w:val="hybridMultilevel"/>
    <w:lvl w:ilvl="0">
      <w:lvlJc w:val="left"/>
      <w:lvlText w:val="%1."/>
      <w:numFmt w:val="decimal"/>
      <w:start w:val="14"/>
    </w:lvl>
    <w:lvl w:ilvl="1">
      <w:lvlJc w:val="left"/>
      <w:lvlText w:val="%2."/>
      <w:numFmt w:val="upperLetter"/>
      <w:start w:val="1"/>
    </w:lvl>
  </w:abstractNum>
  <w:abstractNum w:abstractNumId="18">
    <w:nsid w:val="257130A3"/>
    <w:multiLevelType w:val="hybridMultilevel"/>
    <w:lvl w:ilvl="0">
      <w:lvlJc w:val="left"/>
      <w:lvlText w:val="%1."/>
      <w:numFmt w:val="upperLetter"/>
      <w:start w:val="7"/>
    </w:lvl>
  </w:abstractNum>
  <w:abstractNum w:abstractNumId="19">
    <w:nsid w:val="62BBD95A"/>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2025-01-02T16:22:55Z</dcterms:created>
  <dcterms:modified xsi:type="dcterms:W3CDTF">2025-01-02T16:22:55Z</dcterms:modified>
</cp:coreProperties>
</file>