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ind w:left="0" w:right="0" w:firstLine="36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12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lineRule="auto" w:line="288" w:before="0" w:after="12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Commission file number 001-39482</w:t>
      </w:r>
    </w:p>
    <w:p>
      <w:pPr>
        <w:pStyle w:val="TextBody"/>
        <w:bidi w:val="0"/>
        <w:spacing w:before="0" w:after="0"/>
        <w:ind w:left="0" w:right="0" w:firstLine="360"/>
        <w:jc w:val="center"/>
        <w:rPr/>
      </w:pPr>
      <w:r>
        <w:rPr/>
        <w:drawing>
          <wp:inline distT="0" distB="0" distL="0" distR="0">
            <wp:extent cx="16002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5524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GeneDx Holdings Corp.</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center"/>
        <w:rPr/>
      </w:pPr>
      <w:r>
        <w:rPr/>
      </w:r>
    </w:p>
    <w:tbl>
      <w:tblPr>
        <w:tblW w:w="8055" w:type="dxa"/>
        <w:jc w:val="left"/>
        <w:tblInd w:w="0" w:type="dxa"/>
        <w:tblLayout w:type="fixed"/>
        <w:tblCellMar>
          <w:top w:w="28" w:type="dxa"/>
          <w:left w:w="28" w:type="dxa"/>
          <w:bottom w:w="28" w:type="dxa"/>
          <w:right w:w="28" w:type="dxa"/>
        </w:tblCellMar>
      </w:tblPr>
      <w:tblGrid>
        <w:gridCol w:w="1818"/>
        <w:gridCol w:w="1596"/>
        <w:gridCol w:w="1611"/>
        <w:gridCol w:w="805"/>
        <w:gridCol w:w="805"/>
        <w:gridCol w:w="1420"/>
      </w:tblGrid>
      <w:tr>
        <w:trPr/>
        <w:tc>
          <w:tcPr>
            <w:tcW w:w="1818"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ind w:left="0" w:right="0" w:firstLine="60"/>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3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85-1966622</w:t>
            </w:r>
          </w:p>
        </w:tc>
      </w:tr>
      <w:tr>
        <w:trPr/>
        <w:tc>
          <w:tcPr>
            <w:tcW w:w="502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 xml:space="preserve">333 Ludlow Street, North Tower; 6th Floor </w:t>
            </w:r>
          </w:p>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tc>
      </w:tr>
      <w:tr>
        <w:trPr/>
        <w:tc>
          <w:tcPr>
            <w:tcW w:w="805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tc>
      </w:tr>
    </w:tbl>
    <w:p>
      <w:pPr>
        <w:pStyle w:val="TextBody"/>
        <w:bidi w:val="0"/>
        <w:spacing w:lineRule="auto" w:line="288" w:before="0" w:after="120"/>
        <w:ind w:left="0" w:right="0" w:firstLine="360"/>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(888) 729-1206</w:t>
      </w: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080"/>
        <w:gridCol w:w="1721"/>
        <w:gridCol w:w="1742"/>
        <w:gridCol w:w="109"/>
        <w:gridCol w:w="109"/>
        <w:gridCol w:w="109"/>
        <w:gridCol w:w="439"/>
        <w:gridCol w:w="411"/>
        <w:gridCol w:w="412"/>
        <w:gridCol w:w="109"/>
        <w:gridCol w:w="109"/>
        <w:gridCol w:w="109"/>
        <w:gridCol w:w="801"/>
        <w:gridCol w:w="801"/>
        <w:gridCol w:w="1144"/>
      </w:tblGrid>
      <w:tr>
        <w:trPr/>
        <w:tc>
          <w:tcPr>
            <w:tcW w:w="2080"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554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55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one share of Class A common stock, each at an exercise price of $379.50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20" w:after="18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007" w:type="dxa"/>
        <w:jc w:val="left"/>
        <w:tblInd w:w="0" w:type="dxa"/>
        <w:tblLayout w:type="fixed"/>
        <w:tblCellMar>
          <w:top w:w="28" w:type="dxa"/>
          <w:left w:w="28" w:type="dxa"/>
          <w:bottom w:w="28" w:type="dxa"/>
          <w:right w:w="28" w:type="dxa"/>
        </w:tblCellMar>
      </w:tblPr>
      <w:tblGrid>
        <w:gridCol w:w="717"/>
        <w:gridCol w:w="630"/>
        <w:gridCol w:w="632"/>
        <w:gridCol w:w="115"/>
        <w:gridCol w:w="115"/>
        <w:gridCol w:w="116"/>
        <w:gridCol w:w="769"/>
        <w:gridCol w:w="769"/>
        <w:gridCol w:w="772"/>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4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7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4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18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80"/>
        <w:jc w:val="both"/>
        <w:rPr/>
      </w:pPr>
      <w:r>
        <w:rPr>
          <w:rFonts w:ascii="Times New Roman;sans-serif" w:hAnsi="Times New Roman;sans-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had 26,935,897 shares of Class A common stock, par value $0.0001, outstanding at July 22,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21"/>
        <w:gridCol w:w="714"/>
        <w:gridCol w:w="714"/>
        <w:gridCol w:w="2481"/>
        <w:gridCol w:w="2426"/>
        <w:gridCol w:w="2474"/>
        <w:gridCol w:w="167"/>
        <w:gridCol w:w="167"/>
        <w:gridCol w:w="241"/>
      </w:tblGrid>
      <w:tr>
        <w:trPr/>
        <w:tc>
          <w:tcPr>
            <w:tcW w:w="82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Cautionary Note Regarding Forward Looking Statements</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3e61f193dda41f8a7bdc4927778df77_10">
              <w:r>
                <w:rPr>
                  <w:rStyle w:val="InternetLink"/>
                  <w:rFonts w:ascii="Times New Roman;sans-serif" w:hAnsi="Times New Roman;sans-serif"/>
                  <w:b w:val="false"/>
                  <w:strike w:val="false"/>
                  <w:dstrike w:val="false"/>
                  <w:color w:val="000000"/>
                  <w:sz w:val="20"/>
                  <w:u w:val="none"/>
                  <w:effect w:val="none"/>
                </w:rPr>
                <w:t>3</w:t>
              </w:r>
            </w:hyperlink>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3">
              <w:r>
                <w:rPr>
                  <w:rStyle w:val="InternetLink"/>
                  <w:rFonts w:ascii="Times New Roman;sans-serif" w:hAnsi="Times New Roman;sans-serif"/>
                  <w:b w:val="false"/>
                  <w:color w:val="0000FF"/>
                  <w:sz w:val="20"/>
                  <w:u w:val="single"/>
                </w:rPr>
                <w:t>Part I. Financial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6">
              <w:r>
                <w:rPr>
                  <w:rStyle w:val="InternetLink"/>
                  <w:rFonts w:ascii="Times New Roman;sans-serif" w:hAnsi="Times New Roman;sans-serif"/>
                  <w:b w:val="false"/>
                  <w:color w:val="0000FF"/>
                  <w:sz w:val="20"/>
                  <w:u w:val="single"/>
                </w:rPr>
                <w:t>Item 1.</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6">
              <w:r>
                <w:rPr>
                  <w:rStyle w:val="InternetLink"/>
                  <w:rFonts w:ascii="Times New Roman;sans-serif" w:hAnsi="Times New Roman;sans-serif"/>
                  <w:b w:val="false"/>
                  <w:color w:val="0000FF"/>
                  <w:sz w:val="20"/>
                  <w:u w:val="single"/>
                </w:rPr>
                <w:t>Condensed Consolidated Financial Statements (Unaudited)</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3e61f193dda41f8a7bdc4927778df77_16">
              <w:r>
                <w:rPr>
                  <w:rStyle w:val="InternetLink"/>
                  <w:rFonts w:ascii="Times New Roman;sans-serif" w:hAnsi="Times New Roman;sans-serif"/>
                  <w:b w:val="false"/>
                  <w:strike w:val="false"/>
                  <w:dstrike w:val="false"/>
                  <w:color w:val="000000"/>
                  <w:sz w:val="20"/>
                  <w:u w:val="none"/>
                  <w:effect w:val="none"/>
                </w:rPr>
                <w:t>4</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88">
              <w:r>
                <w:rPr>
                  <w:rStyle w:val="InternetLink"/>
                  <w:rFonts w:ascii="Times New Roman;sans-serif" w:hAnsi="Times New Roman;sans-serif"/>
                  <w:b w:val="false"/>
                  <w:color w:val="0000FF"/>
                  <w:sz w:val="20"/>
                  <w:u w:val="single"/>
                </w:rPr>
                <w:t>Item 2.</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3e61f193dda41f8a7bdc4927778df77_88">
              <w:r>
                <w:rPr>
                  <w:rStyle w:val="InternetLink"/>
                  <w:rFonts w:ascii="Times New Roman;sans-serif" w:hAnsi="Times New Roman;sans-serif"/>
                  <w:b w:val="false"/>
                  <w:strike w:val="false"/>
                  <w:dstrike w:val="false"/>
                  <w:color w:val="000000"/>
                  <w:sz w:val="20"/>
                  <w:u w:val="none"/>
                  <w:effect w:val="none"/>
                </w:rPr>
                <w:t>23</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30">
              <w:r>
                <w:rPr>
                  <w:rStyle w:val="InternetLink"/>
                  <w:rFonts w:ascii="Times New Roman;sans-serif" w:hAnsi="Times New Roman;sans-serif"/>
                  <w:b w:val="false"/>
                  <w:color w:val="0000FF"/>
                  <w:sz w:val="20"/>
                  <w:u w:val="single"/>
                </w:rPr>
                <w:t>Item 3.</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30">
              <w:r>
                <w:rPr>
                  <w:rStyle w:val="InternetLink"/>
                  <w:rFonts w:ascii="Times New Roman;sans-serif" w:hAnsi="Times New Roman;sans-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3e61f193dda41f8a7bdc4927778df77_130">
              <w:r>
                <w:rPr>
                  <w:rStyle w:val="InternetLink"/>
                  <w:rFonts w:ascii="Times New Roman;sans-serif" w:hAnsi="Times New Roman;sans-serif"/>
                  <w:b w:val="false"/>
                  <w:strike w:val="false"/>
                  <w:dstrike w:val="false"/>
                  <w:color w:val="000000"/>
                  <w:sz w:val="20"/>
                  <w:u w:val="none"/>
                  <w:effect w:val="none"/>
                </w:rPr>
                <w:t>33</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33">
              <w:r>
                <w:rPr>
                  <w:rStyle w:val="InternetLink"/>
                  <w:rFonts w:ascii="Times New Roman;sans-serif" w:hAnsi="Times New Roman;sans-serif"/>
                  <w:b w:val="false"/>
                  <w:color w:val="0000FF"/>
                  <w:sz w:val="20"/>
                  <w:u w:val="single"/>
                </w:rPr>
                <w:t>Item 4.</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33">
              <w:r>
                <w:rPr>
                  <w:rStyle w:val="InternetLink"/>
                  <w:rFonts w:ascii="Times New Roman;sans-serif" w:hAnsi="Times New Roman;sans-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3e61f193dda41f8a7bdc4927778df77_133">
              <w:r>
                <w:rPr>
                  <w:rStyle w:val="InternetLink"/>
                  <w:rFonts w:ascii="Times New Roman;sans-serif" w:hAnsi="Times New Roman;sans-serif"/>
                  <w:b w:val="false"/>
                  <w:strike w:val="false"/>
                  <w:dstrike w:val="false"/>
                  <w:color w:val="000000"/>
                  <w:sz w:val="20"/>
                  <w:u w:val="none"/>
                  <w:effect w:val="none"/>
                </w:rPr>
                <w:t>33</w:t>
              </w:r>
            </w:hyperlink>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36">
              <w:r>
                <w:rPr>
                  <w:rStyle w:val="InternetLink"/>
                  <w:rFonts w:ascii="Times New Roman;sans-serif" w:hAnsi="Times New Roman;sans-serif"/>
                  <w:b w:val="false"/>
                  <w:color w:val="0000FF"/>
                  <w:sz w:val="20"/>
                  <w:u w:val="single"/>
                </w:rPr>
                <w:t>Part II. 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39">
              <w:r>
                <w:rPr>
                  <w:rStyle w:val="InternetLink"/>
                  <w:rFonts w:ascii="Times New Roman;sans-serif" w:hAnsi="Times New Roman;sans-serif"/>
                  <w:b w:val="false"/>
                  <w:color w:val="0000FF"/>
                  <w:sz w:val="20"/>
                  <w:u w:val="single"/>
                </w:rPr>
                <w:t>Item 1.</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39">
              <w:r>
                <w:rPr>
                  <w:rStyle w:val="InternetLink"/>
                  <w:rFonts w:ascii="Times New Roman;sans-serif" w:hAnsi="Times New Roman;sans-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3e61f193dda41f8a7bdc4927778df77_139">
              <w:r>
                <w:rPr>
                  <w:rStyle w:val="InternetLink"/>
                  <w:rFonts w:ascii="Times New Roman;sans-serif" w:hAnsi="Times New Roman;sans-serif"/>
                  <w:b w:val="false"/>
                  <w:strike w:val="false"/>
                  <w:dstrike w:val="false"/>
                  <w:color w:val="000000"/>
                  <w:sz w:val="20"/>
                  <w:u w:val="none"/>
                  <w:effect w:val="none"/>
                </w:rPr>
                <w:t>35</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42">
              <w:r>
                <w:rPr>
                  <w:rStyle w:val="InternetLink"/>
                  <w:rFonts w:ascii="Times New Roman;sans-serif" w:hAnsi="Times New Roman;sans-serif"/>
                  <w:b w:val="false"/>
                  <w:color w:val="0000FF"/>
                  <w:sz w:val="20"/>
                  <w:u w:val="single"/>
                </w:rPr>
                <w:t>Item 1A.</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42">
              <w:r>
                <w:rPr>
                  <w:rStyle w:val="InternetLink"/>
                  <w:rFonts w:ascii="Times New Roman;sans-serif" w:hAnsi="Times New Roman;sans-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3e61f193dda41f8a7bdc4927778df77_142">
              <w:r>
                <w:rPr>
                  <w:rStyle w:val="InternetLink"/>
                  <w:rFonts w:ascii="Times New Roman;sans-serif" w:hAnsi="Times New Roman;sans-serif"/>
                  <w:b w:val="false"/>
                  <w:strike w:val="false"/>
                  <w:dstrike w:val="false"/>
                  <w:color w:val="000000"/>
                  <w:sz w:val="20"/>
                  <w:u w:val="none"/>
                  <w:effect w:val="none"/>
                </w:rPr>
                <w:t>35</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45">
              <w:r>
                <w:rPr>
                  <w:rStyle w:val="InternetLink"/>
                  <w:rFonts w:ascii="Times New Roman;sans-serif" w:hAnsi="Times New Roman;sans-serif"/>
                  <w:b w:val="false"/>
                  <w:color w:val="0000FF"/>
                  <w:sz w:val="20"/>
                  <w:u w:val="single"/>
                </w:rPr>
                <w:t>Item 2.</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45">
              <w:r>
                <w:rPr>
                  <w:rStyle w:val="InternetLink"/>
                  <w:rFonts w:ascii="Times New Roman;sans-serif" w:hAnsi="Times New Roman;sans-serif"/>
                  <w:b w:val="false"/>
                  <w:color w:val="0000FF"/>
                  <w:sz w:val="20"/>
                  <w:u w:val="single"/>
                </w:rPr>
                <w:t>Unregistered Sales of Equity Securities, Use of Proceeds, and Issuer Purchases of Equity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3e61f193dda41f8a7bdc4927778df77_145">
              <w:r>
                <w:rPr>
                  <w:rStyle w:val="InternetLink"/>
                  <w:rFonts w:ascii="Times New Roman;sans-serif" w:hAnsi="Times New Roman;sans-serif"/>
                  <w:b w:val="false"/>
                  <w:strike w:val="false"/>
                  <w:dstrike w:val="false"/>
                  <w:color w:val="000000"/>
                  <w:sz w:val="20"/>
                  <w:u w:val="none"/>
                  <w:effect w:val="none"/>
                </w:rPr>
                <w:t>36</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48">
              <w:r>
                <w:rPr>
                  <w:rStyle w:val="InternetLink"/>
                  <w:rFonts w:ascii="Times New Roman;sans-serif" w:hAnsi="Times New Roman;sans-serif"/>
                  <w:b w:val="false"/>
                  <w:color w:val="0000FF"/>
                  <w:sz w:val="20"/>
                  <w:u w:val="single"/>
                </w:rPr>
                <w:t>Item 3.</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48">
              <w:r>
                <w:rPr>
                  <w:rStyle w:val="InternetLink"/>
                  <w:rFonts w:ascii="Times New Roman;sans-serif" w:hAnsi="Times New Roman;sans-serif"/>
                  <w:b w:val="false"/>
                  <w:color w:val="0000FF"/>
                  <w:sz w:val="20"/>
                  <w:u w:val="single"/>
                </w:rPr>
                <w:t>Defaults Upon Senior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3e61f193dda41f8a7bdc4927778df77_148">
              <w:r>
                <w:rPr>
                  <w:rStyle w:val="InternetLink"/>
                  <w:rFonts w:ascii="Times New Roman;sans-serif" w:hAnsi="Times New Roman;sans-serif"/>
                  <w:b w:val="false"/>
                  <w:strike w:val="false"/>
                  <w:dstrike w:val="false"/>
                  <w:color w:val="000000"/>
                  <w:sz w:val="20"/>
                  <w:u w:val="none"/>
                  <w:effect w:val="none"/>
                </w:rPr>
                <w:t>36</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51">
              <w:r>
                <w:rPr>
                  <w:rStyle w:val="InternetLink"/>
                  <w:rFonts w:ascii="Times New Roman;sans-serif" w:hAnsi="Times New Roman;sans-serif"/>
                  <w:b w:val="false"/>
                  <w:color w:val="0000FF"/>
                  <w:sz w:val="20"/>
                  <w:u w:val="single"/>
                </w:rPr>
                <w:t>Item 4.</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51">
              <w:r>
                <w:rPr>
                  <w:rStyle w:val="InternetLink"/>
                  <w:rFonts w:ascii="Times New Roman;sans-serif" w:hAnsi="Times New Roman;sans-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3e61f193dda41f8a7bdc4927778df77_151">
              <w:r>
                <w:rPr>
                  <w:rStyle w:val="InternetLink"/>
                  <w:rFonts w:ascii="Times New Roman;sans-serif" w:hAnsi="Times New Roman;sans-serif"/>
                  <w:b w:val="false"/>
                  <w:strike w:val="false"/>
                  <w:dstrike w:val="false"/>
                  <w:color w:val="000000"/>
                  <w:sz w:val="20"/>
                  <w:u w:val="none"/>
                  <w:effect w:val="none"/>
                </w:rPr>
                <w:t>36</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54">
              <w:r>
                <w:rPr>
                  <w:rStyle w:val="InternetLink"/>
                  <w:rFonts w:ascii="Times New Roman;sans-serif" w:hAnsi="Times New Roman;sans-serif"/>
                  <w:b w:val="false"/>
                  <w:color w:val="0000FF"/>
                  <w:sz w:val="20"/>
                  <w:u w:val="single"/>
                </w:rPr>
                <w:t>Item 5.</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54">
              <w:r>
                <w:rPr>
                  <w:rStyle w:val="InternetLink"/>
                  <w:rFonts w:ascii="Times New Roman;sans-serif" w:hAnsi="Times New Roman;sans-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3e61f193dda41f8a7bdc4927778df77_154">
              <w:r>
                <w:rPr>
                  <w:rStyle w:val="InternetLink"/>
                  <w:rFonts w:ascii="Times New Roman;sans-serif" w:hAnsi="Times New Roman;sans-serif"/>
                  <w:b w:val="false"/>
                  <w:strike w:val="false"/>
                  <w:dstrike w:val="false"/>
                  <w:color w:val="000000"/>
                  <w:sz w:val="20"/>
                  <w:u w:val="none"/>
                  <w:effect w:val="none"/>
                </w:rPr>
                <w:t>36</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57">
              <w:r>
                <w:rPr>
                  <w:rStyle w:val="InternetLink"/>
                  <w:rFonts w:ascii="Times New Roman;sans-serif" w:hAnsi="Times New Roman;sans-serif"/>
                  <w:b w:val="false"/>
                  <w:color w:val="0000FF"/>
                  <w:sz w:val="20"/>
                  <w:u w:val="single"/>
                </w:rPr>
                <w:t>Item 6.</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57">
              <w:r>
                <w:rPr>
                  <w:rStyle w:val="InternetLink"/>
                  <w:rFonts w:ascii="Times New Roman;sans-serif" w:hAnsi="Times New Roman;sans-serif"/>
                  <w:b w:val="false"/>
                  <w:color w:val="0000FF"/>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3e61f193dda41f8a7bdc4927778df77_157">
              <w:r>
                <w:rPr>
                  <w:rStyle w:val="InternetLink"/>
                  <w:rFonts w:ascii="Times New Roman;sans-serif" w:hAnsi="Times New Roman;sans-serif"/>
                  <w:b w:val="false"/>
                  <w:strike w:val="false"/>
                  <w:dstrike w:val="false"/>
                  <w:color w:val="000000"/>
                  <w:sz w:val="20"/>
                  <w:u w:val="none"/>
                  <w:effect w:val="none"/>
                </w:rPr>
                <w:t>37</w:t>
              </w:r>
            </w:hyperlink>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e3e61f193dda41f8a7bdc4927778df77_160">
              <w:r>
                <w:rPr>
                  <w:rStyle w:val="InternetLink"/>
                  <w:rFonts w:ascii="Times New Roman;sans-serif" w:hAnsi="Times New Roman;sans-serif"/>
                  <w:b w:val="false"/>
                  <w:color w:val="0000FF"/>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3e61f193dda41f8a7bdc4927778df77_160">
              <w:r>
                <w:rPr>
                  <w:rStyle w:val="InternetLink"/>
                  <w:rFonts w:ascii="Times New Roman;sans-serif" w:hAnsi="Times New Roman;sans-serif"/>
                  <w:b w:val="false"/>
                  <w:strike w:val="false"/>
                  <w:dstrike w:val="false"/>
                  <w:color w:val="000000"/>
                  <w:sz w:val="20"/>
                  <w:u w:val="none"/>
                  <w:effect w:val="non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Certain matters discussed in this report, including matters discussed under the caption “Management’s Discussion and Analysis of Financial Condition and Results of Operations,” may constitute forward-looking statements for purposes of the Securities Act of 1933, as amended,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estimates of the sufficiency of our existing capital resources combined with future anticipated cash flows and future capital requirements to finance our operating requirements, and capital expenditures;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expectations for generating revenue, incurring losses, and becoming profitable on a sustained basis;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unforeseen circumstances or other disruptions to normal business operations arising from general economic and political conditions such as recessions, fluctuating inflation and interest rates, supply chain interruptions and manufacturing constraints, public health emergencies, natural disasters, acts of terrorism or other uncontrollable events;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expectations regarding our ability to scale to profitability, our plans to pursue a new strategic direction, and the cost savings and impact on our gross margins from exiting our reproductive and women’s business and our somatic tumor testing business;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successfully implement our business strategy;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expectations or ability to enter into service, collaboration and other partnership agreements;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expectations or ability to build our own commercial infrastructure to scale market and sell our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actions or authorizations by the U.S. Food and Drug Administration (“FDA”), or other regulatory authorities;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governmental regulation and other legal obligations, including privacy, data protection, information security, consumer protection, and anti-corruption and anti-bribery;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obtain and maintain intellectual property protection for our product candidates;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compete against existing and emerging technologies;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third-party payor reimbursement and coverage decisions, negotiations and settlements;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reliance on third-party service providers for our data programs;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accounting estimates and judgments, including our expectations regarding the adequacy of our reserves for third party payor claims and our conclusions regarding the appropriateness of the carrying value of intangible assets;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stock price and its volatility;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agreement in principle to resolve a pending class action lawsuit; and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attract and retain key personnel.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report reflect our views and assumptions only as of the date that this report is signed. Except as required by law, we assume no responsibility for updating any forward-looking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636"/>
        <w:gridCol w:w="2139"/>
        <w:gridCol w:w="2086"/>
        <w:gridCol w:w="294"/>
        <w:gridCol w:w="1152"/>
        <w:gridCol w:w="151"/>
        <w:gridCol w:w="109"/>
        <w:gridCol w:w="109"/>
        <w:gridCol w:w="109"/>
        <w:gridCol w:w="250"/>
        <w:gridCol w:w="982"/>
        <w:gridCol w:w="188"/>
      </w:tblGrid>
      <w:tr>
        <w:trPr/>
        <w:tc>
          <w:tcPr>
            <w:tcW w:w="2636"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6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162,167 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182,339 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172,625 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389,100 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418,756 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5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195,057 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190,739 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 shares authorized, 0 shares issued and outstanding at June 30, 2024 and December 31, 2023</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1,000,000,000 shares authorized, 26,926,383 and 25,978,863 shares issued and outstanding at June 30, 2024 and December 31, 2023, respectively</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1,543,182 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1,527,778 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(1,349,600)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(1,300,188)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194,043 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228,017 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389,100 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418,756 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 (Unaudited)</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57"/>
        <w:gridCol w:w="1362"/>
        <w:gridCol w:w="1376"/>
        <w:gridCol w:w="240"/>
        <w:gridCol w:w="841"/>
        <w:gridCol w:w="109"/>
        <w:gridCol w:w="109"/>
        <w:gridCol w:w="109"/>
        <w:gridCol w:w="109"/>
        <w:gridCol w:w="240"/>
        <w:gridCol w:w="841"/>
        <w:gridCol w:w="109"/>
        <w:gridCol w:w="109"/>
        <w:gridCol w:w="109"/>
        <w:gridCol w:w="109"/>
        <w:gridCol w:w="219"/>
        <w:gridCol w:w="862"/>
        <w:gridCol w:w="109"/>
        <w:gridCol w:w="109"/>
        <w:gridCol w:w="109"/>
        <w:gridCol w:w="109"/>
        <w:gridCol w:w="211"/>
        <w:gridCol w:w="892"/>
        <w:gridCol w:w="156"/>
      </w:tblGrid>
      <w:tr>
        <w:trPr/>
        <w:tc>
          <w:tcPr>
            <w:tcW w:w="165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(111,986)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(expenses),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warrants and earn-out contingent liabilities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related to available for sale securities,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of Class A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26,617,955 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25,418,358 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26,340,063 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22,754,948 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Class A common stock</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(Unaudited)</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tbl>
      <w:tblPr>
        <w:tblW w:w="10205" w:type="dxa"/>
        <w:jc w:val="center"/>
        <w:tblInd w:w="0" w:type="dxa"/>
        <w:tblLayout w:type="fixed"/>
        <w:tblCellMar>
          <w:top w:w="28" w:type="dxa"/>
          <w:left w:w="28" w:type="dxa"/>
          <w:bottom w:w="28" w:type="dxa"/>
          <w:right w:w="28" w:type="dxa"/>
        </w:tblCellMar>
      </w:tblPr>
      <w:tblGrid>
        <w:gridCol w:w="846"/>
        <w:gridCol w:w="379"/>
        <w:gridCol w:w="381"/>
        <w:gridCol w:w="488"/>
        <w:gridCol w:w="488"/>
        <w:gridCol w:w="196"/>
        <w:gridCol w:w="116"/>
        <w:gridCol w:w="116"/>
        <w:gridCol w:w="116"/>
        <w:gridCol w:w="208"/>
        <w:gridCol w:w="272"/>
        <w:gridCol w:w="116"/>
        <w:gridCol w:w="109"/>
        <w:gridCol w:w="109"/>
        <w:gridCol w:w="109"/>
        <w:gridCol w:w="213"/>
        <w:gridCol w:w="964"/>
        <w:gridCol w:w="118"/>
        <w:gridCol w:w="109"/>
        <w:gridCol w:w="109"/>
        <w:gridCol w:w="109"/>
        <w:gridCol w:w="196"/>
        <w:gridCol w:w="894"/>
        <w:gridCol w:w="109"/>
        <w:gridCol w:w="109"/>
        <w:gridCol w:w="109"/>
        <w:gridCol w:w="109"/>
        <w:gridCol w:w="379"/>
        <w:gridCol w:w="847"/>
        <w:gridCol w:w="212"/>
        <w:gridCol w:w="109"/>
        <w:gridCol w:w="109"/>
        <w:gridCol w:w="109"/>
        <w:gridCol w:w="219"/>
        <w:gridCol w:w="842"/>
        <w:gridCol w:w="182"/>
      </w:tblGrid>
      <w:tr>
        <w:trPr/>
        <w:tc>
          <w:tcPr>
            <w:tcW w:w="8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16" w:before="0" w:after="0"/>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16"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26,122,348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1,527,351</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(1,320,427)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291</w:t>
            </w: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207,217</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(29,173)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pursuant to stock option exercises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pursuant to Perceptive warrant exercise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645,414 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restricted stock units converted to common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2024</w:t>
            </w:r>
          </w:p>
        </w:tc>
        <w:tc>
          <w:tcPr>
            <w:tcW w:w="11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26,926,383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1,543,182</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(1,349,600)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459</w:t>
            </w:r>
            <w:r>
              <w:rPr>
                <w:color w:val="000000"/>
              </w:rPr>
              <w:t>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194,043</w:t>
            </w:r>
            <w:r>
              <w:rPr>
                <w:color w:val="000000"/>
              </w:rPr>
              <w:t>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79"/>
        <w:gridCol w:w="441"/>
        <w:gridCol w:w="442"/>
        <w:gridCol w:w="368"/>
        <w:gridCol w:w="368"/>
        <w:gridCol w:w="308"/>
        <w:gridCol w:w="116"/>
        <w:gridCol w:w="116"/>
        <w:gridCol w:w="116"/>
        <w:gridCol w:w="210"/>
        <w:gridCol w:w="274"/>
        <w:gridCol w:w="116"/>
        <w:gridCol w:w="109"/>
        <w:gridCol w:w="109"/>
        <w:gridCol w:w="109"/>
        <w:gridCol w:w="215"/>
        <w:gridCol w:w="974"/>
        <w:gridCol w:w="119"/>
        <w:gridCol w:w="109"/>
        <w:gridCol w:w="109"/>
        <w:gridCol w:w="109"/>
        <w:gridCol w:w="196"/>
        <w:gridCol w:w="895"/>
        <w:gridCol w:w="109"/>
        <w:gridCol w:w="109"/>
        <w:gridCol w:w="109"/>
        <w:gridCol w:w="109"/>
        <w:gridCol w:w="388"/>
        <w:gridCol w:w="867"/>
        <w:gridCol w:w="217"/>
        <w:gridCol w:w="109"/>
        <w:gridCol w:w="109"/>
        <w:gridCol w:w="109"/>
        <w:gridCol w:w="222"/>
        <w:gridCol w:w="853"/>
        <w:gridCol w:w="188"/>
      </w:tblGrid>
      <w:tr>
        <w:trPr/>
        <w:tc>
          <w:tcPr>
            <w:tcW w:w="77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25,978,863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1,527,778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(1,300,188)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425</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228,017</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(49,412)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pursuant to stock option exercises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31,946 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pursuant to Perceptive warrant exercise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645,414 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restricted stock units converted to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270,160 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2024</w:t>
            </w:r>
          </w:p>
        </w:tc>
        <w:tc>
          <w:tcPr>
            <w:tcW w:w="10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26,926,383</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1,543,182</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(1,349,600)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459</w:t>
            </w:r>
            <w:r>
              <w:rPr>
                <w:color w:val="000000"/>
              </w:rPr>
              <w:t>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194,043</w:t>
            </w: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45"/>
        <w:gridCol w:w="447"/>
        <w:gridCol w:w="449"/>
        <w:gridCol w:w="368"/>
        <w:gridCol w:w="368"/>
        <w:gridCol w:w="308"/>
        <w:gridCol w:w="115"/>
        <w:gridCol w:w="115"/>
        <w:gridCol w:w="115"/>
        <w:gridCol w:w="208"/>
        <w:gridCol w:w="272"/>
        <w:gridCol w:w="115"/>
        <w:gridCol w:w="109"/>
        <w:gridCol w:w="109"/>
        <w:gridCol w:w="109"/>
        <w:gridCol w:w="213"/>
        <w:gridCol w:w="963"/>
        <w:gridCol w:w="118"/>
        <w:gridCol w:w="109"/>
        <w:gridCol w:w="109"/>
        <w:gridCol w:w="109"/>
        <w:gridCol w:w="196"/>
        <w:gridCol w:w="894"/>
        <w:gridCol w:w="109"/>
        <w:gridCol w:w="109"/>
        <w:gridCol w:w="109"/>
        <w:gridCol w:w="109"/>
        <w:gridCol w:w="394"/>
        <w:gridCol w:w="819"/>
        <w:gridCol w:w="222"/>
        <w:gridCol w:w="109"/>
        <w:gridCol w:w="109"/>
        <w:gridCol w:w="109"/>
        <w:gridCol w:w="218"/>
        <w:gridCol w:w="841"/>
        <w:gridCol w:w="185"/>
      </w:tblGrid>
      <w:tr>
        <w:trPr/>
        <w:tc>
          <w:tcPr>
            <w:tcW w:w="8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24,193,436</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1,513,877</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(1,185,410)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328,469</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(46,719)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restricted stock units converted to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159,780 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shares in registered direct offering, net of issuance costs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676,868 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shares for first Milestone Payment</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701,460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Fractional shares issued upon Reverse Stock Split</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29,603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10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25,761,147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1,528,240</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(1,232,129)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296,113</w:t>
            </w:r>
            <w:r>
              <w:rPr>
                <w:color w:val="000000"/>
              </w:rPr>
              <w:t>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27"/>
        <w:gridCol w:w="452"/>
        <w:gridCol w:w="453"/>
        <w:gridCol w:w="480"/>
        <w:gridCol w:w="481"/>
        <w:gridCol w:w="308"/>
        <w:gridCol w:w="114"/>
        <w:gridCol w:w="114"/>
        <w:gridCol w:w="114"/>
        <w:gridCol w:w="206"/>
        <w:gridCol w:w="269"/>
        <w:gridCol w:w="114"/>
        <w:gridCol w:w="109"/>
        <w:gridCol w:w="109"/>
        <w:gridCol w:w="109"/>
        <w:gridCol w:w="209"/>
        <w:gridCol w:w="947"/>
        <w:gridCol w:w="116"/>
        <w:gridCol w:w="109"/>
        <w:gridCol w:w="109"/>
        <w:gridCol w:w="109"/>
        <w:gridCol w:w="196"/>
        <w:gridCol w:w="892"/>
        <w:gridCol w:w="109"/>
        <w:gridCol w:w="109"/>
        <w:gridCol w:w="109"/>
        <w:gridCol w:w="109"/>
        <w:gridCol w:w="379"/>
        <w:gridCol w:w="788"/>
        <w:gridCol w:w="213"/>
        <w:gridCol w:w="109"/>
        <w:gridCol w:w="109"/>
        <w:gridCol w:w="109"/>
        <w:gridCol w:w="214"/>
        <w:gridCol w:w="824"/>
        <w:gridCol w:w="178"/>
      </w:tblGrid>
      <w:tr>
        <w:trPr/>
        <w:tc>
          <w:tcPr>
            <w:tcW w:w="72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1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11,773,065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1,378,125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(1,124,421)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253,705</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(107,708)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pursuant to stock option exercises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50,444 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restricted stock units converted to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213,955 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shares in registered direct offering, net of issuance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676,868 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shares for first Milestone Payment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701,460 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Fractional shares issued upon Reverse Stock Split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29,603 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shares in underwritten public offering, net of issuance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12,315,752 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135,438 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135,439 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12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25,761,147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1,528,240</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(1,232,129)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296,113</w:t>
            </w: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294" w:type="dxa"/>
        <w:jc w:val="center"/>
        <w:tblInd w:w="0" w:type="dxa"/>
        <w:tblLayout w:type="fixed"/>
        <w:tblCellMar>
          <w:top w:w="28" w:type="dxa"/>
          <w:left w:w="28" w:type="dxa"/>
          <w:bottom w:w="28" w:type="dxa"/>
          <w:right w:w="28" w:type="dxa"/>
        </w:tblCellMar>
      </w:tblPr>
      <w:tblGrid>
        <w:gridCol w:w="2385"/>
        <w:gridCol w:w="2093"/>
        <w:gridCol w:w="2107"/>
        <w:gridCol w:w="211"/>
        <w:gridCol w:w="796"/>
        <w:gridCol w:w="109"/>
        <w:gridCol w:w="109"/>
        <w:gridCol w:w="109"/>
        <w:gridCol w:w="109"/>
        <w:gridCol w:w="211"/>
        <w:gridCol w:w="901"/>
        <w:gridCol w:w="154"/>
      </w:tblGrid>
      <w:tr>
        <w:trPr/>
        <w:tc>
          <w:tcPr>
            <w:tcW w:w="2385"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and contingent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benefit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excess and obsolete 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Legal reserves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Change in third party payor reserves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Gain on sale of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debt forgiveness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Impairment loss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on escrow paid for GeneDx acquisition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of internal-use software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offerings, net of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 payments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payoff and principal payments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increase in cash, cash equivalents and restricted cash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consideration paid for purchase of business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consideration paid pursuant to exercise of Perceptive warrant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in 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under capital leases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1. Organization and Description of Business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GeneDx Holdings Corp., through its subsidiary GeneDx, LLC, is a leading genomics company—one that sits at the intersection of diagnostics and data science, pairing decades of genomic expertise with an ability to interpret clinical data at scale. The Company is focused on delivering personalized and actionable health insights to inform diagnosis, direct treatment and improve drug discovery. The Company believes it is well-positioned to accelerate the use of genomics and leverage large-scale clinical data to enable precision medicine as the standard of care. With a focus in pediatric and rare diseases, the Company believes it has a competitive advantage in these two areas and can deliver on its vision today. GeneDx LLC serves healthcare professionals who work with their patients and bills third-party payors across the United States.</w:t>
      </w:r>
    </w:p>
    <w:p>
      <w:pPr>
        <w:pStyle w:val="TextBody"/>
        <w:bidi w:val="0"/>
        <w:spacing w:before="0" w:after="0"/>
        <w:jc w:val="both"/>
        <w:rPr/>
      </w:pPr>
      <w:r>
        <w:rPr/>
      </w:r>
    </w:p>
    <w:p>
      <w:pPr>
        <w:pStyle w:val="TextBody"/>
        <w:bidi w:val="0"/>
        <w:spacing w:lineRule="auto" w:line="288" w:before="0" w:after="180"/>
        <w:jc w:val="left"/>
        <w:rPr/>
      </w:pPr>
      <w:r>
        <w:rPr>
          <w:rFonts w:ascii="Times New Roman;sans-serif" w:hAnsi="Times New Roman;sans-serif"/>
          <w:b w:val="false"/>
          <w:color w:val="000000"/>
          <w:sz w:val="20"/>
          <w:shd w:fill="FFFFFF" w:val="clear"/>
        </w:rPr>
        <w:t xml:space="preserve">Unless otherwise stated </w:t>
      </w:r>
      <w:r>
        <w:rPr>
          <w:rFonts w:ascii="Times New Roman;sans-serif" w:hAnsi="Times New Roman;sans-serif"/>
          <w:b w:val="false"/>
          <w:color w:val="000000"/>
          <w:sz w:val="20"/>
        </w:rPr>
        <w:t>herein or unless the context otherwise requires, references in these notes to</w:t>
      </w:r>
      <w:r>
        <w:rPr>
          <w:rFonts w:ascii="Times New Roman;sans-serif" w:hAnsi="Times New Roman;sans-serif"/>
          <w:b w:val="false"/>
          <w:color w:val="000000"/>
          <w:sz w:val="20"/>
          <w:shd w:fill="FFFFFF" w:val="clear"/>
        </w:rPr>
        <w:t xml:space="preserve">: </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GeneDx Holdings” refers to GeneDx Holdings Corp., a Delaware corporation (f/k/a Sema4 Holdings Corp. (“Sema4 Holdings”));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Legacy GeneDx” refers to GeneDx, LLC, a Delaware limited liability company (formerly, GeneDx, Inc., a New Jersey corporation), which we acquired on April 29, 2022 (the “Acquisition”);</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Legacy Sema4” refers to Mount Sinai Genomics, Inc. d/b/a as Sema4, a Delaware corporation, which consummated the business combination with CM Life Sciences, Inc. (“CMLS”) on July 22, 2021 (the “Business Combination”); and</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we,” “us” and “our,” the “Company” and “GeneDx” refer, as the context requires, to:</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Legacy Sema4 prior to the Business Combination, and GeneDx Holdings and its consolidated subsidiaries following the consummation of the Business Combination; and</w:t>
      </w:r>
    </w:p>
    <w:p>
      <w:pPr>
        <w:pStyle w:val="TextBody"/>
        <w:bidi w:val="0"/>
        <w:spacing w:lineRule="auto" w:line="288" w:before="0" w:after="180"/>
        <w:ind w:left="0" w:right="0" w:hanging="360"/>
        <w:jc w:val="both"/>
        <w:rPr/>
      </w:pPr>
      <w:r>
        <w:rPr>
          <w:color w:val="000000"/>
          <w:shd w:fill="FFFFFF" w:val="clear"/>
        </w:rPr>
        <w:t>◦</w:t>
      </w:r>
      <w:r>
        <w:rPr>
          <w:rFonts w:ascii="Times New Roman;sans-serif" w:hAnsi="Times New Roman;sans-serif"/>
          <w:b w:val="false"/>
          <w:color w:val="000000"/>
          <w:sz w:val="20"/>
          <w:shd w:fill="FFFFFF" w:val="clear"/>
        </w:rPr>
        <w:t>Legacy GeneDx prior to the Acquisition, and GeneDx Holdings and its consolidated subsidiaries following the consummation of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in conformity with accounting principles generally accepted in the United States of America (“U.S. GAAP”) for interim financial information and pursuant to the accounting disclosure rules and regulations of the SEC regarding interim financial reporting. Accordingly, the condensed consolidated financial statements do not include all of the information and footnotes required by U.S. GAAP. These condensed financial statements consolidate the operations and accounts of the Company and its wholly-owned subsidiaries. All intercompany accounts and transactions have been eliminated. Unless otherwise noted, all tabular dollars are in thousands, except per share amounts. Certain reclassifications have been made to the prior year condensed consolidated financial statements in order to conform to the current year’s presentation.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condensed consolidated financial statements reflect all normal recurring adjustments considered necessary for a fair statement of the financial position and the results of operations of the Company for the interim periods presented. Interim results are not necessarily indicative of the results of operations or cash flows for a full year or any subsequent interim period. The accompanying condensed consolidated financial statements should be read in conjunction with the consolidated financial statements and notes thereto included in the Company’s Annual Report on Form 10-K for the year ended December 31, 2023 (the “2023 Form 10-K”).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Emerging Growth Company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an “emerging growth company” as defined in the Jumpstart Our Business Startups Act of 2012. In addition, the Company was previously a “smaller reporting company”, as defined in Item 10(f)(1) of the U.S. Securities and Exchange Commission’s Regulation S-K and currently takes advantage of certain of the scaled disclosures available to smaller reporting companies. As such, the Company is eligible for exemptions from various reporting requirements applicable to other public companies that are not emerging growth companies, including reduced reporting, including the reporting of two fiscal years of financial statements, not being required to provide an auditor attestation of internal control over financial reporting under Section 404 of the Sarbanes-Oxley Act,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condensed consolidated financial statements in conformity with U.S. GAAP requires management to make certain estimates, judgments and assumptions that affect the reported amounts of assets and liabilities and the related disclosures at the date of the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valuation of stock-based awards, the valuation of warrant liabilities, income taxes and intangible assets. Changes in estimates are recorded in the period in which they become known. Actual results could differ materially from those estimates, judgments and assumptions.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lineRule="auto" w:line="288" w:before="0" w:after="180"/>
        <w:jc w:val="both"/>
        <w:rPr/>
      </w:pPr>
      <w:r>
        <w:rPr>
          <w:rFonts w:ascii="Times New Roman;sans-serif" w:hAnsi="Times New Roman;sans-serif"/>
          <w:b w:val="false"/>
          <w:color w:val="000000"/>
          <w:sz w:val="20"/>
        </w:rPr>
        <w:t>The Company’s significant accounting policies are described in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to the consolidated financial statements included in the 2023 Form 10-K. There have been no material changes to the Company’s critical accounting policies and estimates in the current period.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 and Other Risks and Uncertainties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both the self-pay patient and, if applicable, the third-party payor that reimburses the Company on the patient’s behalf when evaluating concentration of credit risk. Significant patients and payors are those that represent more than 10% of the Company’s total revenues for the period or accounts receivable balance at each respective balance sheet date. The significant concentrations of accounts receivable as of June 30, 2024 and December 31, 2023 were primarily from large managed care insurance companies, institutional billed accounts, and data arrangements. The Company does not require collateral as a means to mitigate customer credit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each significant payor, revenue as a percentage of total revenues and accounts receivable as a percentage of total accounts receivable are as follows:</w:t>
      </w:r>
    </w:p>
    <w:tbl>
      <w:tblPr>
        <w:tblW w:w="9226" w:type="dxa"/>
        <w:jc w:val="left"/>
        <w:tblInd w:w="0" w:type="dxa"/>
        <w:tblLayout w:type="fixed"/>
        <w:tblCellMar>
          <w:top w:w="28" w:type="dxa"/>
          <w:left w:w="28" w:type="dxa"/>
          <w:bottom w:w="28" w:type="dxa"/>
          <w:right w:w="28" w:type="dxa"/>
        </w:tblCellMar>
      </w:tblPr>
      <w:tblGrid>
        <w:gridCol w:w="353"/>
        <w:gridCol w:w="309"/>
        <w:gridCol w:w="313"/>
        <w:gridCol w:w="285"/>
        <w:gridCol w:w="285"/>
        <w:gridCol w:w="285"/>
        <w:gridCol w:w="285"/>
        <w:gridCol w:w="285"/>
        <w:gridCol w:w="285"/>
        <w:gridCol w:w="285"/>
        <w:gridCol w:w="285"/>
        <w:gridCol w:w="285"/>
        <w:gridCol w:w="109"/>
        <w:gridCol w:w="109"/>
        <w:gridCol w:w="109"/>
        <w:gridCol w:w="258"/>
        <w:gridCol w:w="258"/>
        <w:gridCol w:w="258"/>
        <w:gridCol w:w="258"/>
        <w:gridCol w:w="258"/>
        <w:gridCol w:w="258"/>
        <w:gridCol w:w="258"/>
        <w:gridCol w:w="258"/>
        <w:gridCol w:w="258"/>
        <w:gridCol w:w="109"/>
        <w:gridCol w:w="109"/>
        <w:gridCol w:w="109"/>
        <w:gridCol w:w="269"/>
        <w:gridCol w:w="269"/>
        <w:gridCol w:w="271"/>
        <w:gridCol w:w="199"/>
        <w:gridCol w:w="199"/>
        <w:gridCol w:w="199"/>
        <w:gridCol w:w="374"/>
        <w:gridCol w:w="374"/>
        <w:gridCol w:w="556"/>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Accounts Receivable</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Payor A </w:t>
            </w:r>
            <w:r>
              <w:rPr>
                <w:rFonts w:ascii="Times New Roman;sans-serif" w:hAnsi="Times New Roman;sans-serif"/>
                <w:b w:val="false"/>
                <w:color w:val="000000"/>
                <w:sz w:val="13"/>
              </w:rPr>
              <w:t>(1)</w:t>
            </w:r>
          </w:p>
        </w:tc>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Payor B</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Less than 10%</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(1)This payor group includes multiple individual plans and the Company calculates and presents the aggregated value from all plans, which is consistent with the Company’s portfolio approach used in accounting for diagnostic test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concentration of risk from a limited number of suppliers for certain reagents and laboratory supplies. One supplier accounted for approximately 16% and 14% of purchases for the three months ended June 30, 2024 and 2023, respectively, and 12% and 14% for the six months ended June 30, 2024 and 2023, respectively. A second supplier accounted for approximately 13% and 13% of purchases for the three months ended June 30, 2024 and 2023, respectively, and 10% and 11% for the six months ended June 30, 2024 and 2023, respectively. This risk is managed by maintaining a target quantity of surplus stock. Alternative suppliers are available for some or all of these reagents and supplies.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88" w:before="0" w:after="180"/>
        <w:jc w:val="both"/>
        <w:rPr/>
      </w:pPr>
      <w:r>
        <w:rPr>
          <w:rFonts w:ascii="Times New Roman;sans-serif" w:hAnsi="Times New Roman;sans-serif"/>
          <w:b w:val="false"/>
          <w:color w:val="000000"/>
          <w:sz w:val="20"/>
        </w:rPr>
        <w:t xml:space="preserve">In December 2023, the Financial Accounting Standards Board (the “FASB”) issued ASU 2023-09, </w:t>
      </w:r>
      <w:r>
        <w:rPr>
          <w:rFonts w:ascii="Times New Roman;sans-serif" w:hAnsi="Times New Roman;sans-serif"/>
          <w:b w:val="false"/>
          <w:i/>
          <w:color w:val="000000"/>
          <w:sz w:val="20"/>
        </w:rPr>
        <w:t>Income Taxes – Improvements to Income Tax Disclosures</w:t>
      </w:r>
      <w:r>
        <w:rPr>
          <w:color w:val="000000"/>
        </w:rPr>
        <w:t xml:space="preserve"> </w:t>
      </w:r>
      <w:r>
        <w:rPr>
          <w:rFonts w:ascii="Times New Roman;sans-serif" w:hAnsi="Times New Roman;sans-serif"/>
          <w:b w:val="false"/>
          <w:color w:val="000000"/>
          <w:sz w:val="20"/>
        </w:rPr>
        <w:t>(“ASU 2023-09”). The standard requires additional disclosures around disaggregated information about a reporting entity’s effective tax rate reconciliation as well as information on income taxes paid. ASU 2023-09 will be effective for annual periods beginning after December 15, 2024, with early adoption permitted. The guidance will be applied on a prospective basis with the option to apply the standard retrospectively. The Company does not expect the adoption of ASU 2023-09 to have a material impact on its consolidated financial statements and related disclosures.</w:t>
      </w:r>
    </w:p>
    <w:p>
      <w:pPr>
        <w:pStyle w:val="TextBody"/>
        <w:bidi w:val="0"/>
        <w:spacing w:lineRule="auto" w:line="288" w:before="0" w:after="180"/>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Improvements to Reportable Segment Disclosures</w:t>
      </w:r>
      <w:r>
        <w:rPr>
          <w:color w:val="000000"/>
        </w:rPr>
        <w:t xml:space="preserve"> </w:t>
      </w:r>
      <w:r>
        <w:rPr>
          <w:rFonts w:ascii="Times New Roman;sans-serif" w:hAnsi="Times New Roman;sans-serif"/>
          <w:b w:val="false"/>
          <w:color w:val="000000"/>
          <w:sz w:val="20"/>
        </w:rPr>
        <w:t xml:space="preserve">(“ASU 2023-07”). The standard requires enhanced segment reporting disclosures, including significant segment expenses and other segment items. Additionally, the standard requires public entities to provide in interim periods all disclosures about a reportable segment’s profit or loss and assets that are currently required annually. ASU 2023-07 will be effective for annual periods beginning after December 15, 2023, and for interim periods beginning after December 15, 2024, with early adoption permitted. The guidance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 applied retrospectively to all periods presented in financial statements unless it is impractical to do so. The Company does not expect the adoption of ASU 2023-07 to have a material impact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3. Revenue Recognition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Disaggregated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disaggregated revenue by payor category:</w:t>
      </w:r>
    </w:p>
    <w:tbl>
      <w:tblPr>
        <w:tblW w:w="10205" w:type="dxa"/>
        <w:jc w:val="left"/>
        <w:tblInd w:w="0" w:type="dxa"/>
        <w:tblLayout w:type="fixed"/>
        <w:tblCellMar>
          <w:top w:w="28" w:type="dxa"/>
          <w:left w:w="28" w:type="dxa"/>
          <w:bottom w:w="28" w:type="dxa"/>
          <w:right w:w="28" w:type="dxa"/>
        </w:tblCellMar>
      </w:tblPr>
      <w:tblGrid>
        <w:gridCol w:w="828"/>
        <w:gridCol w:w="686"/>
        <w:gridCol w:w="690"/>
        <w:gridCol w:w="211"/>
        <w:gridCol w:w="721"/>
        <w:gridCol w:w="109"/>
        <w:gridCol w:w="109"/>
        <w:gridCol w:w="109"/>
        <w:gridCol w:w="109"/>
        <w:gridCol w:w="240"/>
        <w:gridCol w:w="703"/>
        <w:gridCol w:w="124"/>
        <w:gridCol w:w="109"/>
        <w:gridCol w:w="109"/>
        <w:gridCol w:w="109"/>
        <w:gridCol w:w="213"/>
        <w:gridCol w:w="727"/>
        <w:gridCol w:w="111"/>
        <w:gridCol w:w="109"/>
        <w:gridCol w:w="109"/>
        <w:gridCol w:w="109"/>
        <w:gridCol w:w="211"/>
        <w:gridCol w:w="721"/>
        <w:gridCol w:w="109"/>
        <w:gridCol w:w="109"/>
        <w:gridCol w:w="109"/>
        <w:gridCol w:w="109"/>
        <w:gridCol w:w="240"/>
        <w:gridCol w:w="703"/>
        <w:gridCol w:w="124"/>
        <w:gridCol w:w="109"/>
        <w:gridCol w:w="109"/>
        <w:gridCol w:w="109"/>
        <w:gridCol w:w="212"/>
        <w:gridCol w:w="727"/>
        <w:gridCol w:w="160"/>
      </w:tblGrid>
      <w:tr>
        <w:trPr/>
        <w:tc>
          <w:tcPr>
            <w:tcW w:w="82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Patients with third-party insurance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Self-pay patients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diagnostic test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6"/>
        <w:gridCol w:w="632"/>
        <w:gridCol w:w="635"/>
        <w:gridCol w:w="211"/>
        <w:gridCol w:w="826"/>
        <w:gridCol w:w="109"/>
        <w:gridCol w:w="109"/>
        <w:gridCol w:w="109"/>
        <w:gridCol w:w="109"/>
        <w:gridCol w:w="236"/>
        <w:gridCol w:w="690"/>
        <w:gridCol w:w="121"/>
        <w:gridCol w:w="109"/>
        <w:gridCol w:w="109"/>
        <w:gridCol w:w="109"/>
        <w:gridCol w:w="211"/>
        <w:gridCol w:w="826"/>
        <w:gridCol w:w="109"/>
        <w:gridCol w:w="109"/>
        <w:gridCol w:w="109"/>
        <w:gridCol w:w="109"/>
        <w:gridCol w:w="211"/>
        <w:gridCol w:w="721"/>
        <w:gridCol w:w="109"/>
        <w:gridCol w:w="109"/>
        <w:gridCol w:w="109"/>
        <w:gridCol w:w="109"/>
        <w:gridCol w:w="236"/>
        <w:gridCol w:w="690"/>
        <w:gridCol w:w="121"/>
        <w:gridCol w:w="109"/>
        <w:gridCol w:w="109"/>
        <w:gridCol w:w="109"/>
        <w:gridCol w:w="212"/>
        <w:gridCol w:w="727"/>
        <w:gridCol w:w="161"/>
      </w:tblGrid>
      <w:tr>
        <w:trPr/>
        <w:tc>
          <w:tcPr>
            <w:tcW w:w="77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Patients with third-party insurance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customers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Self-pay patients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diagnostic test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Reassessment of Variable Consideration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changes to the estimate of the transaction price, determined on a portfolio basis when applicable, are generally recorded as adjustments to revenue in the period of the change. The Company updates estimated variable consideration quarterly.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the total change in estimate resulted in a net increase to revenue of $7.2 million and $3.5 million, respectively, resulting from changes in the estimated transaction price due to contractual adjustments, obtaining updated information from payors and patients that was unknown at the time the performance obligation was met and potential and actual settlements with third party payors. The change in estimate also included an increase in revenue related to a partial release of a previously established payor reserve, as further disclosed in the “Certain Payor Matters” section below. The quarterly change in estimate did not result in material adjustments to the Company’s previously reported revenue or accounts receivable amounts.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Certain Payor Matters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 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have an obligation to reimburse Medicare, Medicaid, and third-party payors for overpayments regardless of fault. Settlements with third-party payors for retroactive adjustments due to audits, reviews,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2022, the Company entered into a settlement agreement with one of its third-party payors (the “Payor”) in order to settle the claims related to coverage and billing matters allegedly resulting in the overpayments by the Payor to Legacy Sema4 (the “Disputed Claims”). Under the settlement agreement, $42.0 million is to be paid by the Company to the Payor in a series of payments each year through June 30, 2026. As of June 30, 2024, $22.0 million in scheduled payments under the agreement remain with $10.0 million due December 2024, $10.0 million in December 2025 and $2.0 million in 2026. In consideration for these payments, the Payor provided releases of the Disputed Claims, effective March 31, 2023.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this matter, and in connection with a review of certain billing policies and procedures undertaken by management, the Company considered the need to establish reserves for potential recoupments of payments previously made by third-party payors. As of June 30, 2024 and December 31, 2023, $25.1 million and $27.0 million of liabilities were recorded in accounts payable and accrued expenses and other liabilities, respectively. The Company uses estimates, judgments, and assumptions to assess whether it is probable that a significant reversal in the amount of cumulative revenue may occur in future periods, based upon information presently available. These estimates are subject to change. In addition, as discussed above, the Company has made certain adjustments to its estimated variable consideration as result of this matter and other potential settlements with payors.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long-term nature of collaboration service agreements, the Company’s obligations pursuant to such agreements represents partially unsatisfied performance obligations at June 30, 2024. The revenues under these existing long-term service agreements are estimated to be approximately $2.1 million. The Company expects to recognize the majority of this revenue over the next nine months.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Costs to Fulfill Contracts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Costs associated with fulfilling the Company’s performance obligations pursuant to its collaboration service agreements include costs for services that are subcontracted to Icahn School of Medicine at Mount Sinai (“ISMMS”). Amounts are generally prepaid and then expensed in line with the pattern of revenue recognition. Prepayment of amounts prior to the costs being incurred are recognized on the condensed consolidated balance sheets as current or non-current assets based upon forecasted performance.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and December 31, 2023, deferred costs to fulfill contracts were nominal. At each period, all outstanding deferred costs were recorded as other current assets.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cost recognized was $0.3 million and $0.5 million for the three months ended June 30, 2024 and 2023, respectively, and $0.7 million and $1.1 million for the six months ended June 30, 2024 and 2023, respectively. These costs are recorded in the cost of services in the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4. Fair Value Measurements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fair value of financial instruments that were measured at fair value on a recurring basis:</w:t>
      </w:r>
    </w:p>
    <w:tbl>
      <w:tblPr>
        <w:tblW w:w="7567" w:type="dxa"/>
        <w:jc w:val="left"/>
        <w:tblInd w:w="0" w:type="dxa"/>
        <w:tblLayout w:type="fixed"/>
        <w:tblCellMar>
          <w:top w:w="28" w:type="dxa"/>
          <w:left w:w="28" w:type="dxa"/>
          <w:bottom w:w="28" w:type="dxa"/>
          <w:right w:w="28" w:type="dxa"/>
        </w:tblCellMar>
      </w:tblPr>
      <w:tblGrid>
        <w:gridCol w:w="972"/>
        <w:gridCol w:w="853"/>
        <w:gridCol w:w="85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3"/>
        <w:gridCol w:w="411"/>
        <w:gridCol w:w="155"/>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municipal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tbl>
      <w:tblPr>
        <w:tblW w:w="7874" w:type="dxa"/>
        <w:jc w:val="left"/>
        <w:tblInd w:w="0" w:type="dxa"/>
        <w:tblLayout w:type="fixed"/>
        <w:tblCellMar>
          <w:top w:w="28" w:type="dxa"/>
          <w:left w:w="28" w:type="dxa"/>
          <w:bottom w:w="28" w:type="dxa"/>
          <w:right w:w="28" w:type="dxa"/>
        </w:tblCellMar>
      </w:tblPr>
      <w:tblGrid>
        <w:gridCol w:w="972"/>
        <w:gridCol w:w="853"/>
        <w:gridCol w:w="85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municipal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warrant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Level 2 and Level 3 during the three and six months ended June 30, 2024 or 2023.</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marketable securities presented in the condensed consolidated balance sheet as of June 30, 2024 have maturity dates ranging from 2024 through 2027 and are classified as current assets as these investments are intended to be readily available to fund current operations. The differences between the fair value and amortized cost basis of each security are the unrealized gains or losses recorded in accumulated other comprehensive income. As of June 30, 2024, the amortized cost for maturities less than one year and greater than one year were $37.6 million and $12.4 million,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Public and Private Warrants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the consummation of the merger in July 2021 in connection with the Business Combination, there were 666,516 warrants to purchase shares of Class A common stock outstanding, including 447,223 public warrants and 219,293 private placement warrants. As of June 30, 2024, there were 666,515 warrants to purchase shares of Class A common stock outstanding, including 457,323 public warrants and 209,192 private placement warrants outstanding. Each warrant expires 5 years after the Business Combination or earlier upon redemption or liquidation, and entitles the holder to purchase one share of Class A common stock at an exercise price of $379.50 per share, subject to adjustment, at any time commencing on September 4, 2021.</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outstanding public warrants if the price per share of the Class A common stock equals or exceeds $594.00 as described below:</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at a price of $0.33 per public warrant;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upon not less than 30 days’ prior written notice of redemption to each warrant holder;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and only if, the closing price of the Class A common stock equals or exceeds $594.00 per share (as adjusted) for any 20 trading days within a 30-trading day period ending three trading days before sending the notice of redemption to warrant holders.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outstanding public warrants if the price per share of the common stock equals or exceeds $330.00 as described below:</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at $3.30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and only if, the closing price of the Class A common stock equals or exceeds $330.00 per share (as adjusted) for any 20 trading days within the 30-trading day period ending three trading days before the Company sends the notice of redemption to the warrant holders;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closing price of the common stock for any 20 trading days within a 30-trading day period ending three trading days before the Company sends notice of redemption to the warrant holders is less than $594.00 per share (as adjusted), the private placement warrants must also be concurrently called for redemption on the same terms as the outstanding public warrants, as described above.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$330.00)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a gain of $0.7 million and loss of $0.4 million, respectively, was recorded within the change in fair value of warrants and earn-out contingent liabilities in the condensed consolidated statements of operations and comprehensive loss. The change in fair value of the warrants for the three and six months ended June 30, 2023 was a gain of $0.2 million and $0.2 million, respectively.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Perceptive Warrant</w:t>
      </w:r>
    </w:p>
    <w:p>
      <w:pPr>
        <w:pStyle w:val="TextBody"/>
        <w:bidi w:val="0"/>
        <w:spacing w:lineRule="auto" w:line="288" w:before="0" w:after="180"/>
        <w:jc w:val="both"/>
        <w:rPr/>
      </w:pP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n October 27, 2023 (the “Closing Date”), the Company entered into a Credit Agreement and Guaranty (the “Credit Agreement”) with Perceptive Credit Holdings IV, LP, as lender and administrative agent (“Perceptive”), which provides for a senior secured delayed draw term loan facility in an aggregate principal amount of up to $75.0 million (the “Perceptive Term Loan Facility”). As consideration for the Credit Agreement, the Company issued to Perceptive a warrant to purchase up to 1,200,000 shares (the “Perceptive Warrant”) of its Class A common stock. 800,000 warrant shares (the “Initial Warrant Shares”) vested and became exercisable on the Closing Date and 400,000 warrant shares (the “Additional Warrant Shares” and, together with the Initial Warrant Shares, the “Warrant Shares”) will potentially vest and become exercisable on the Tranche B Borrowing Date, as defined in Note 8,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 xml:space="preserve">included within this Quarterly Report. </w:t>
      </w:r>
    </w:p>
    <w:p>
      <w:pPr>
        <w:pStyle w:val="TextBody"/>
        <w:bidi w:val="0"/>
        <w:spacing w:lineRule="auto" w:line="288" w:before="0" w:after="180"/>
        <w:jc w:val="both"/>
        <w:rPr/>
      </w:pPr>
      <w:r>
        <w:rPr>
          <w:rFonts w:ascii="Times New Roman;sans-serif" w:hAnsi="Times New Roman;sans-serif"/>
          <w:b w:val="false"/>
          <w:color w:val="000000"/>
          <w:sz w:val="20"/>
        </w:rPr>
        <w:t>On April 30, 2024 (the “Exercise Date”) Perceptive provided the Company with a notice to exercise the Initial Warrant Shares at an aggregate exercise price of $2.5 million and, as payment of the aggregate exercise price, instructed the Company to withhold a number of Initial Warrant Shares based on their aggregate fair market value as of the Exercise Date. The fair market value price of each Initial Warrant Share was equal to the 1-day volume weighted average price (the “1-day VWAP”) of the Company’s Class A common stock on the Exercise Date, or $16.4321. As a result, the Company issued 645,414 shares of its Class A common stock to Perceptive in satisfaction of the cashless exercise in respect of the Initial Warrant Shares. See Note 8,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included within this Quarterly Report for further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a loss of $5.1 million and $10.1 million, respectively, was recorded within the change in fair value of warrants and earn-out contingent liabilities in the condensed consolidated statements of operations and comprehensive loss based on re-measurement performed through the Exercise Date.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Contingent Consideration (Legacy GeneDx)</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up to $150.0 million of contingent payments was to be payable to OPKO Health, Inc. (“OPKO”), based upon achievement of 2022 and 2023 revenue milestones (the “Milestone Payments”) pursuant to the merger agreement (the “Acquisition Merger Agreement”). The first Milestone Payment was paid out in full in April 2023 and the second Milestone Payment was valued at zero as the milestone was not met during fiscal year 2023.</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a gain of $3.3 million and loss of $0.1 million, respectively, was recorded within the change in fair market value of warrant and earn-out contingent liabilities in the condensed consolidated statements of operations and comprehensive loss.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Connecticut Department of Economic and Community Development Funding Commitment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loan from the Connecticut Department of Economic and Community Development (“DECD”) is classified within Level 2 of the fair value hierarchy. The loan was recorded at its carrying value of $6.3 million as of June 30, 2024 and December 31, 2023, with $1.1 million recorded in other current liabilities on the condensed consolidated balance sheets at June 30, 2024. The fair value of the loan as of June 30, 2024 was $4.9 million, which is estimated based on discounted cash flows using the yields of similar debt instruments of other companies with similar credit profiles.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5. Property and Equipment, net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7480" w:type="dxa"/>
        <w:jc w:val="left"/>
        <w:tblInd w:w="0" w:type="dxa"/>
        <w:tblLayout w:type="fixed"/>
        <w:tblCellMar>
          <w:top w:w="28" w:type="dxa"/>
          <w:left w:w="28" w:type="dxa"/>
          <w:bottom w:w="28" w:type="dxa"/>
          <w:right w:w="28" w:type="dxa"/>
        </w:tblCellMar>
      </w:tblPr>
      <w:tblGrid>
        <w:gridCol w:w="1489"/>
        <w:gridCol w:w="1305"/>
        <w:gridCol w:w="1315"/>
        <w:gridCol w:w="258"/>
        <w:gridCol w:w="883"/>
        <w:gridCol w:w="133"/>
        <w:gridCol w:w="109"/>
        <w:gridCol w:w="109"/>
        <w:gridCol w:w="109"/>
        <w:gridCol w:w="344"/>
        <w:gridCol w:w="1175"/>
        <w:gridCol w:w="251"/>
      </w:tblGrid>
      <w:tr>
        <w:trPr/>
        <w:tc>
          <w:tcPr>
            <w:tcW w:w="148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under finance lease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under finance leases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other equipment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in-progress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80,848 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78,931 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(49,509)</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(46,452)</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depreciation and amortization expense was $1.7 million and $6.8 million, respectively. For the six months ended June 30, 2024 and 2023, depreciation and amortization expense was $3.5 million and $12.0 million, respectively.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2023, the Company recorded a $3.4 million charge to accelerate the amortization for certain capitalized software projects associated with Legacy Sema4 that are not expected to be utilized, and also recorded a $3.0 million gain on sale of assets during the period associated with the closure of Legacy Sema4 facilities. For the six months ended June 30, 2023, the Company recorded a $1.6 million non-cash impairment charge on the condensed consolidated statements of operations and comprehensive loss (of which $0.8 million was allocated to the right-of-use asset associated with the sublease), which was driven by indicators of impairment related to a sublease agreement.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is included within the condensed consolidated statements of operations and comprehensive loss as follows:</w:t>
      </w:r>
    </w:p>
    <w:tbl>
      <w:tblPr>
        <w:tblW w:w="9081" w:type="dxa"/>
        <w:jc w:val="left"/>
        <w:tblInd w:w="0" w:type="dxa"/>
        <w:tblLayout w:type="fixed"/>
        <w:tblCellMar>
          <w:top w:w="28" w:type="dxa"/>
          <w:left w:w="28" w:type="dxa"/>
          <w:bottom w:w="28" w:type="dxa"/>
          <w:right w:w="28" w:type="dxa"/>
        </w:tblCellMar>
      </w:tblPr>
      <w:tblGrid>
        <w:gridCol w:w="1382"/>
        <w:gridCol w:w="1219"/>
        <w:gridCol w:w="1223"/>
        <w:gridCol w:w="246"/>
        <w:gridCol w:w="718"/>
        <w:gridCol w:w="127"/>
        <w:gridCol w:w="127"/>
        <w:gridCol w:w="127"/>
        <w:gridCol w:w="127"/>
        <w:gridCol w:w="246"/>
        <w:gridCol w:w="718"/>
        <w:gridCol w:w="127"/>
        <w:gridCol w:w="109"/>
        <w:gridCol w:w="109"/>
        <w:gridCol w:w="109"/>
        <w:gridCol w:w="212"/>
        <w:gridCol w:w="621"/>
        <w:gridCol w:w="110"/>
        <w:gridCol w:w="110"/>
        <w:gridCol w:w="110"/>
        <w:gridCol w:w="110"/>
        <w:gridCol w:w="212"/>
        <w:gridCol w:w="727"/>
        <w:gridCol w:w="155"/>
      </w:tblGrid>
      <w:tr>
        <w:trPr/>
        <w:tc>
          <w:tcPr>
            <w:tcW w:w="138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6. Intangible Assets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as of June 30, 2024, the carrying values and remaining useful lives of acquired intangible assets:</w:t>
      </w:r>
    </w:p>
    <w:tbl>
      <w:tblPr>
        <w:tblW w:w="10205" w:type="dxa"/>
        <w:jc w:val="left"/>
        <w:tblInd w:w="0" w:type="dxa"/>
        <w:tblLayout w:type="fixed"/>
        <w:tblCellMar>
          <w:top w:w="28" w:type="dxa"/>
          <w:left w:w="28" w:type="dxa"/>
          <w:bottom w:w="28" w:type="dxa"/>
          <w:right w:w="28" w:type="dxa"/>
        </w:tblCellMar>
      </w:tblPr>
      <w:tblGrid>
        <w:gridCol w:w="690"/>
        <w:gridCol w:w="578"/>
        <w:gridCol w:w="580"/>
        <w:gridCol w:w="286"/>
        <w:gridCol w:w="1123"/>
        <w:gridCol w:w="148"/>
        <w:gridCol w:w="109"/>
        <w:gridCol w:w="109"/>
        <w:gridCol w:w="109"/>
        <w:gridCol w:w="332"/>
        <w:gridCol w:w="1135"/>
        <w:gridCol w:w="172"/>
        <w:gridCol w:w="109"/>
        <w:gridCol w:w="109"/>
        <w:gridCol w:w="109"/>
        <w:gridCol w:w="252"/>
        <w:gridCol w:w="988"/>
        <w:gridCol w:w="130"/>
        <w:gridCol w:w="109"/>
        <w:gridCol w:w="109"/>
        <w:gridCol w:w="109"/>
        <w:gridCol w:w="821"/>
        <w:gridCol w:w="821"/>
        <w:gridCol w:w="1168"/>
      </w:tblGrid>
      <w:tr>
        <w:trPr/>
        <w:tc>
          <w:tcPr>
            <w:tcW w:w="69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Amortization Period (in years)</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 and trademarks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196,000 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165,613 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tradenames and trademarks and developed technology of $2.3 million and $2.3 million was recorded in general and administrative for the three months ended June 30, 2024 and 2023, respectively, and $4.6 million and $4.6 million for the six months ended June 30, 2024 and 2023, respectively, within the condensed consolidated statements of operations and comprehensive loss. Amortization expense for customer relationships of $1.2 million and $1.2 million was recorded in selling and marketing for the three months ended June 30, 2024 and 2023, respectively, and $2.5 million and $2.5 million for the six months ended June 30, 2024 and 2023, respectively, within the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7. Related Party Transactions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Related Party Revenues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Total related party diagnostic testing revenues were $0.5 million and $0.8 million for the three months ended June 30, 2024 and 2023, respectively, and $1.1 million and $1.6 million for the six months ended June 30, 2024 and 2023, respectively. Related party revenues primarily include diagnostic testing revenues from a subsidiary of OPKO and the prices charged represent market rates.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Related Party Expenses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Total related party costs are included within cost of services and other operating expenses, net in the condensed consolidated statements of operations and comprehensive loss as follows:</w:t>
      </w:r>
    </w:p>
    <w:tbl>
      <w:tblPr>
        <w:tblW w:w="7775" w:type="dxa"/>
        <w:jc w:val="left"/>
        <w:tblInd w:w="0" w:type="dxa"/>
        <w:tblLayout w:type="fixed"/>
        <w:tblCellMar>
          <w:top w:w="28" w:type="dxa"/>
          <w:left w:w="28" w:type="dxa"/>
          <w:bottom w:w="28" w:type="dxa"/>
          <w:right w:w="28" w:type="dxa"/>
        </w:tblCellMar>
      </w:tblPr>
      <w:tblGrid>
        <w:gridCol w:w="911"/>
        <w:gridCol w:w="802"/>
        <w:gridCol w:w="806"/>
        <w:gridCol w:w="246"/>
        <w:gridCol w:w="718"/>
        <w:gridCol w:w="127"/>
        <w:gridCol w:w="127"/>
        <w:gridCol w:w="127"/>
        <w:gridCol w:w="127"/>
        <w:gridCol w:w="246"/>
        <w:gridCol w:w="718"/>
        <w:gridCol w:w="127"/>
        <w:gridCol w:w="109"/>
        <w:gridCol w:w="109"/>
        <w:gridCol w:w="109"/>
        <w:gridCol w:w="222"/>
        <w:gridCol w:w="650"/>
        <w:gridCol w:w="115"/>
        <w:gridCol w:w="115"/>
        <w:gridCol w:w="115"/>
        <w:gridCol w:w="115"/>
        <w:gridCol w:w="222"/>
        <w:gridCol w:w="650"/>
        <w:gridCol w:w="162"/>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costs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June 1, 2017, the Company signed a contribution and funding agreement and other agreements with ISMMS, whereby ISMMS contributed certain assets and liabilities related to the Company’s operations, provided certain services to 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Expenses recognized pursuant to other service arrangements with ISMMS totaled $1.1 million and $1.4 million for the three months ended June 30, 2024 and 2023, respectively, and $2.5 million and $3.3 million for the six months ended June 30, 2024 and 2023, respectively. These amounts are included in either cost of services or other operating expenses, net on the condensed consolidated statements of operations and comprehensive loss depending on the particular activity to which the costs relate. Payables due to ISMMS for the other service arrangements were $0.5 million and $1.0 million at June 30, 2024 and December 31, 2023, respectively. These amounts are included within due to related parties on the Company’s condensed consolidated balance sheets.</w:t>
      </w:r>
    </w:p>
    <w:p>
      <w:pPr>
        <w:pStyle w:val="TextBody"/>
        <w:bidi w:val="0"/>
        <w:spacing w:lineRule="auto" w:line="288" w:before="0" w:after="180"/>
        <w:jc w:val="both"/>
        <w:rPr>
          <w:rFonts w:ascii="Times New Roman;sans-serif" w:hAnsi="Times New Roman;sans-serif"/>
          <w:b w:val="false"/>
          <w:color w:val="000000"/>
          <w:sz w:val="20"/>
        </w:rPr>
      </w:pPr>
      <w:bookmarkStart w:id="0" w:name="iacb41132c19f418ba7b8e992b2b3f61f_2706"/>
      <w:bookmarkEnd w:id="0"/>
      <w:r>
        <w:rPr>
          <w:rFonts w:ascii="Times New Roman;sans-serif" w:hAnsi="Times New Roman;sans-serif"/>
          <w:b w:val="false"/>
          <w:color w:val="000000"/>
          <w:sz w:val="20"/>
        </w:rPr>
        <w:t xml:space="preserve">Additionally, the Company incurred $5.1 million in purchases of diagnostic testing kits and materials and $1.8 million and $2.8 million was recorded in cost of services for the three and six months ended June 30, 2024, respectively, from an affiliate of a member of the Board of Directors who has served in the role since July 2021. The Company incurred $1.5 million in purchases and $0.7 million and $0.8 million was recorded in cost of services for the three and six months ended June 30, 2023, respectively.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prices paid represent market rates. Payables due were $0.7 million and $0.4 million as of June 30, 2024 and December 31, 2023, respectively.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Legacy GeneDx and OPKO entered into a Transition Services Agreement dated as of April 29, 2022 (the “OPKO TSA”) pursuant to which OPKO had agreed to provide services, at cost, subject to certain limited exceptions, in order to facilitate the transactions contemplated by the Acquisition Merger Agreement, including human resources, information technology support, and finance and accounting. Services in connection with the OPKO TSA were fully completed in October 2023. The Company recognized $0.4 million and $1.2 million of expenses for the three and six months ended June 30, 2023, respectively, related to the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8. Long-Term Debt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long-term debt matures as follows:</w:t>
      </w:r>
    </w:p>
    <w:tbl>
      <w:tblPr>
        <w:tblW w:w="6636" w:type="dxa"/>
        <w:jc w:val="left"/>
        <w:tblInd w:w="0" w:type="dxa"/>
        <w:tblLayout w:type="fixed"/>
        <w:tblCellMar>
          <w:top w:w="28" w:type="dxa"/>
          <w:left w:w="28" w:type="dxa"/>
          <w:bottom w:w="28" w:type="dxa"/>
          <w:right w:w="28" w:type="dxa"/>
        </w:tblCellMar>
      </w:tblPr>
      <w:tblGrid>
        <w:gridCol w:w="2010"/>
        <w:gridCol w:w="1765"/>
        <w:gridCol w:w="1775"/>
        <w:gridCol w:w="211"/>
        <w:gridCol w:w="721"/>
        <w:gridCol w:w="154"/>
      </w:tblGrid>
      <w:tr>
        <w:trPr/>
        <w:tc>
          <w:tcPr>
            <w:tcW w:w="201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long-term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current portion and debt issuance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Perceptive Term Loan Facility</w:t>
      </w:r>
    </w:p>
    <w:p>
      <w:pPr>
        <w:pStyle w:val="TextBody"/>
        <w:bidi w:val="0"/>
        <w:spacing w:lineRule="auto" w:line="288" w:before="0" w:after="180"/>
        <w:jc w:val="both"/>
        <w:rPr/>
      </w:pP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 xml:space="preserve">n October 27, 2023 (the “Closing Date”), the Company entered into the Perceptive Term Loan Facility. An initial tranche of $50 million (the “Tranche A Loan”) was funded under the Perceptive Term Loan Facility on the Closing Date. In addition to the Tranche A Loan, the Perceptive Term Loan Facility includes an additional tranche of $25 million (the “Tranche B Loan,” and together with the Tranche A Loan, the “Term Loans”), which will be accessible by the Company so long as the Company satisfies certain customary conditions precedent, including a specified revenue milestone (the funding date of the Tranche B Loan, the “Tranche B Borrowing Date”). The Perceptive Term Loan Facility has a maturity date of October 27, 2028 (the “Maturity Date”) and provides for an interest-only period during the term of the loan with principal due at the maturity date. </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Perceptive Term Loan Facility will accrue interest at an annual rate equal to the sum of (a) Term SOFR (as defined in the Credit Agreement) and (b) an applicable margin of 7.5% (the “Applicable Margin”). Accrued interest on the Term Loans is payable monthly in arrears. Upon an Event of Default (as defined in the Credit Agreement), the Applicable Margin will automatically increase by an additional 4% per annum.</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Amortization and Prepayment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Maturity Date, there will be no scheduled principal payments under the Perceptive Term Loan Facility. On the Maturity Date, the Company is required to pay Perceptive the aggregate outstanding principal amount of the Term Loans and all accrued and unpaid interest thereon. The Term Loans may be prepaid at any time, subject to a prepayment premium equal to 0% to 10% of the aggregate outstanding principal amount being prepaid, depending on the date of prepayment.</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Security Instruments and Warrant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Credit Agreement, the Company also entered into a Security Agreement, dated as of the Closing Date, with Perceptive, pursuant to which all of its obligations under the Credit Agreement are secured by a first lien perfected security interest on substantially all of its existing and after-acquired assets, subject to customary exceptions.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as consideration for the Credit Agreement, the Company issued the Perceptive Warrant to Perceptive, which allows them to purchase up to 1,200,000 Warrant Shares. The 800,000 Initial Warrant Shares vested and became exercisable on the Closing Date and the 400,000 Additional Warrant Shares will potentially vest and become exercisable on the Tranche B Borrowing Date. The per share exercise price for the Initial Warrant Shares is $3.1752 (the “Initial Warrant Exercise Price”), which is equal to the 10-day volume weighted average price (the “10-day VWAP”) of the Company’s Class A common stock at the end of the business day immediately prior to the Closing Date, and the per share exercise price for the Additional Warrant Shares will be equal to the lower of (a) the Initial Warrant Exercise Price or (b) the 10-day VWAP ending on the end of the business day immediately preceding the Tranche B Borrowing Date. The Perceptive Warrant will be exercisable, in whole or in part, until the 10th anniversary of the applicable vesting date.</w:t>
      </w:r>
    </w:p>
    <w:p>
      <w:pPr>
        <w:pStyle w:val="TextBody"/>
        <w:bidi w:val="0"/>
        <w:spacing w:lineRule="auto" w:line="288" w:before="0" w:after="180"/>
        <w:jc w:val="both"/>
        <w:rPr/>
      </w:pPr>
      <w:r>
        <w:rPr>
          <w:rFonts w:ascii="Times New Roman;sans-serif" w:hAnsi="Times New Roman;sans-serif"/>
          <w:b w:val="false"/>
          <w:color w:val="000000"/>
          <w:sz w:val="20"/>
        </w:rPr>
        <w:t>On April 30, 2024, Perceptive provided the Company with a notice to exercise the Initial Warrant Shares at an aggregate exercise price of $2.5 million and instructed the Company to withhold a number of Initial Warrant Shares as payment for the aggregate exercise price. As a result, the Company issued 645,414 shares of its Class A common stock in satisfaction of the cashless exercise in respect of the Initial Warrant Shares. See Note 4, “</w:t>
      </w:r>
      <w:r>
        <w:rPr>
          <w:rFonts w:ascii="Times New Roman;sans-serif" w:hAnsi="Times New Roman;sans-serif"/>
          <w:b w:val="false"/>
          <w:i/>
          <w:color w:val="000000"/>
          <w:sz w:val="20"/>
        </w:rPr>
        <w:t>Fair Value Measurements</w:t>
      </w:r>
      <w:r>
        <w:rPr>
          <w:color w:val="000000"/>
        </w:rPr>
        <w:t xml:space="preserve">” </w:t>
      </w:r>
      <w:r>
        <w:rPr>
          <w:rFonts w:ascii="Times New Roman;sans-serif" w:hAnsi="Times New Roman;sans-serif"/>
          <w:b w:val="false"/>
          <w:color w:val="000000"/>
          <w:sz w:val="20"/>
        </w:rPr>
        <w:t xml:space="preserve">included within this Quarterly Report for further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Connecticut Department of Economic and Community Development Funding Commitment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2017, ISMMS assigned a loan funding commitment from the DECD to the Company (the “DECD Loan Agreement”) to support the Genetic Sequencing Laboratory Project in Branford, Connecticut, with funding based on the achievement of certain project development phases. The DECD Loan Agreement provided for a total loan commitment of $15.5 million at a fixed annual interest rate of 2.0% for a term of 10 years. The Company was required to make interest-only payments through July 2023 and principal and interest payments commencing in August 2023. The final payment of principal and interest was due in July 2028. However, under the terms of the DECD Loan Agreement, the DECD granted a partial principal loan forgiveness of up to $12.3 million in the aggregate. Such forgiveness was contingent upon the Company achieving certain job creation and retention milestones and $4.5 million had been forgiven at December 31, 2022. This commitment was collateralized by a security interest in certain machinery and equipment the Company acquired from ISMMS, as defined in a separate security agreement.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amended the DECD Loan Agreement, which resulted in the Company agreeing to pay $2.0 million in principal, obtaining $2.8 million in debt forgiveness for achieving its Phase 2 job milestone, and agreeing to two new forgiveness milestone targets for its Phase 3 job milestone (eligible for $2.0 million in forgiveness) and a final phase job milestone (eligible for $1.0 million in forgiveness) (the “2022 Amended DECD Loan Agreement”). Upon execution of this amendment, the Company paid the $2.0 million in principal and received $2.8 million in debt forgiveness, and the Company recognized the debt forgiveness as other (expense) income, net in the condensed consolidated statements of operations and comprehensive loss for the six months ended June 30, 2023. The terms of the 2022 Amended DECD Loan Agreement require the Company to make interest-only payments through July 2024 and principal and interest payments commencing in August 2024 through July 2029 at the same fixed annual interest rate of 2.0%. The other terms of the 2022 Amended DECD Loan Agreement remained the same.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loan balance from the 2022 Amended DECD Loan Agreement was $6.3 million at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9. Purchase Commitments and Contingencies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purchase commitments with software and equipment providers as of June 30, 2024 with a remaining term of at least one year:</w:t>
      </w:r>
    </w:p>
    <w:tbl>
      <w:tblPr>
        <w:tblW w:w="3981" w:type="dxa"/>
        <w:jc w:val="left"/>
        <w:tblInd w:w="0" w:type="dxa"/>
        <w:tblLayout w:type="fixed"/>
        <w:tblCellMar>
          <w:top w:w="28" w:type="dxa"/>
          <w:left w:w="28" w:type="dxa"/>
          <w:bottom w:w="28" w:type="dxa"/>
          <w:right w:w="28" w:type="dxa"/>
        </w:tblCellMar>
      </w:tblPr>
      <w:tblGrid>
        <w:gridCol w:w="891"/>
        <w:gridCol w:w="782"/>
        <w:gridCol w:w="786"/>
        <w:gridCol w:w="109"/>
        <w:gridCol w:w="109"/>
        <w:gridCol w:w="109"/>
        <w:gridCol w:w="109"/>
        <w:gridCol w:w="211"/>
        <w:gridCol w:w="721"/>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commitments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contracts with suppliers to purchase materials needed for diagnostic testing. These contracts generally do not require multi-year purchase commitments.</w:t>
      </w:r>
    </w:p>
    <w:p>
      <w:pPr>
        <w:pStyle w:val="TextBody"/>
        <w:bidi w:val="0"/>
        <w:spacing w:lineRule="auto" w:line="288" w:before="0" w:after="180"/>
        <w:jc w:val="both"/>
        <w:rPr/>
      </w:pPr>
      <w:r>
        <w:rPr>
          <w:rFonts w:ascii="Times New Roman;sans-serif" w:hAnsi="Times New Roman;sans-serif"/>
          <w:b w:val="false"/>
          <w:color w:val="000000"/>
          <w:sz w:val="20"/>
        </w:rPr>
        <w:t>There have been no material changes to the lease obligations from those disclosed in Note 10,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to the consolidated financial statements included in the 2023 Form 10-K.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 may become subject to various claims and legal actions arising in the ordinary course of business. The Company does not believe that the outcome of any existing matters will have a material effect on the Company’s condensed consolidated financial statements. However, no assurance can be given that the ultimate resolution of such proceedings will not materially impact the Company’s condensed consolidated financial statements.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described below, the Company was not a party to any material legal proceedings at June 30, 2024, nor is it a party to any material legal proceedings at the date of issuance of these condensed consolidated financial statements.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7, 2022, a shareholder class action lawsuit was filed in the United States District Court for the District of Connecticut against the Company and certain of the Company’s current and former officers. The complaint purports to bring suit on behalf of stockholders who purchased the Company’s publicly traded securities between March 14, 2022 and August 15, 2022. Following the appointment of a lead plaintiff, an amended complaint was filed on January 30, 2023. As amended, the complaint purports to allege that the defendants made false and misleading statements about the Company’s business, operations and prospects in violation of Sections 10(b) and 20(a) of the Securities Exchange Act of 1934, as amended (“Exchange Act”),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seeks unspecified compensatory damages, fees and costs. The defendants moved to dismiss the amended complaint on August 21, 2023. That motion is pending. The Company believes the allegations and claims made in the complaint are without merit.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2023, a stockholder commenced a lawsuit in the Delaware Court of Chancery. The suit is brought as a class action on behalf of stockholders of CMLS who did not redeem their shares in connection with the Business Combination between CMLS and Legacy Sema4. The suit names as defendants all directors of CMLS at the time of the transaction, including certain directors who continue to serve on the Company’s Board of Directors, as well as CMLS Holdings LLC. The Company is not named as a defendant. The complaint alleges that the July 2, 2021 proxy statement mailed to CMLS stockholders in connection with the transaction contained false and misleading statements, and purports to assert a claim of breach of fiduciary duty against all individual defendants, and a similar claim against CMLS Holdings LLC and certain individuals for breach of fiduciary duty as control persons. The suit seeks to recover unspecified damages on behalf of the alleged class, among other relief. After defendants moved to dismiss the case, the plaintiff filed an amended complaint on July 6, 2023, revising certain allegations and adding third parties as defendants. The defendants answered the amended complaint on September 15, 2023. The Company is subject to certain claims for advancement and indemnification by the individual defendants in this proceeding.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2024, the parties reached an agreement in principle through mediation to resolve all claims for approximately $21 million. The agreement in principle is expected to be funded by the Company (based on its indemnification obligations) and available insurance of approximately $10 million. The parties are currently in the process of negotiating the formal stipulation of settlement, which must be approved by the Court in order to be finalized. There can be no assurance that the final stipulation of settlement will be executed, that the stipulation of settlement, if executed, will include the terms and conditions currently anticipated by the Company or that such stipulation of settlement will be approved by the Court. As of June 30, 2024, the Company reserved the aforementioned settlement and associated litigation costs of approximately $2.4 million in accounts payable and accrued expenses, and recorded insurance recoveries in prepaid expenses and other current assets on the condensed consolidated balance sheet.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28, 2023, a stockholder filed a derivative suit, allegedly on behalf of the Company, based largely on the same allegations in the securities class action referenced above. The suit was filed in federal court in the District of Delaware, styled Ghazaleh v. Schadt, et al, 23-cv-01357 (D. Del.), and purports to assert claims against certain of the Company’s former and current officers and directors under Section 10(b) of the Exchange Act, and for breach of fiduciary duty, aiding and abetting breach of fiduciary duty, unjust enrichment and corporate waste. The Company is named only as a nominal defendant. The complaint seeks damages on the Company’s behalf, and seeks corporate governance and other relief. The parties have agreed to stay this suit in light of the securities class action referenced above, and hence no response to the complaint is currently due.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June 25, 2024, a substantially similar stockholder derivative suit was filed in federal court in the District of Connecticut, styled Scinto v. Schadt, et al, 2:24-cv-01100 (D. Conn.). The suit, also purportedly brought on the Company’s behalf against certain of its former or current officers and directors, asserts claims for breach of fiduciary duty, unjust enrichment, corporate waste, and violations of Sections 10(b) and 14(a) of the Exchange Act. The Company is named only as a nominal defendant. The Complaint seeks damages on the Company’s behalf, as well as corporate governance reforms and other relief. The parties are discussing a stay of the case in light of the securities class action referenced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10. Stock-Based Compensation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included within the condensed consolidated statements of operations and comprehensive loss as follows:</w:t>
      </w:r>
    </w:p>
    <w:tbl>
      <w:tblPr>
        <w:tblW w:w="8884" w:type="dxa"/>
        <w:jc w:val="left"/>
        <w:tblInd w:w="0" w:type="dxa"/>
        <w:tblLayout w:type="fixed"/>
        <w:tblCellMar>
          <w:top w:w="28" w:type="dxa"/>
          <w:left w:w="28" w:type="dxa"/>
          <w:bottom w:w="28" w:type="dxa"/>
          <w:right w:w="28" w:type="dxa"/>
        </w:tblCellMar>
      </w:tblPr>
      <w:tblGrid>
        <w:gridCol w:w="1312"/>
        <w:gridCol w:w="1156"/>
        <w:gridCol w:w="1161"/>
        <w:gridCol w:w="264"/>
        <w:gridCol w:w="771"/>
        <w:gridCol w:w="136"/>
        <w:gridCol w:w="136"/>
        <w:gridCol w:w="136"/>
        <w:gridCol w:w="136"/>
        <w:gridCol w:w="264"/>
        <w:gridCol w:w="583"/>
        <w:gridCol w:w="136"/>
        <w:gridCol w:w="109"/>
        <w:gridCol w:w="109"/>
        <w:gridCol w:w="109"/>
        <w:gridCol w:w="215"/>
        <w:gridCol w:w="629"/>
        <w:gridCol w:w="111"/>
        <w:gridCol w:w="111"/>
        <w:gridCol w:w="111"/>
        <w:gridCol w:w="111"/>
        <w:gridCol w:w="215"/>
        <w:gridCol w:w="706"/>
        <w:gridCol w:w="157"/>
      </w:tblGrid>
      <w:tr>
        <w:trPr/>
        <w:tc>
          <w:tcPr>
            <w:tcW w:w="13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stock-based compensation expense</w:t>
            </w:r>
            <w:r>
              <w:rPr>
                <w:rFonts w:ascii="Times New Roman;sans-serif" w:hAnsi="Times New Roman;sans-serif"/>
                <w:b w:val="false"/>
                <w:color w:val="000000"/>
                <w:sz w:val="13"/>
              </w:rPr>
              <w:t>1,2</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i/>
          <w:color w:val="000000"/>
          <w:sz w:val="10"/>
        </w:rPr>
        <w:t>1</w:t>
      </w:r>
      <w:r>
        <w:rPr>
          <w:color w:val="000000"/>
        </w:rPr>
        <w:t xml:space="preserve"> </w:t>
      </w:r>
      <w:r>
        <w:rPr>
          <w:rFonts w:ascii="Times New Roman;sans-serif" w:hAnsi="Times New Roman;sans-serif"/>
          <w:b w:val="false"/>
          <w:i/>
          <w:color w:val="000000"/>
          <w:sz w:val="16"/>
        </w:rPr>
        <w:t>The Company recorded an aggregate reversal of stock-based compensation of $0.1 million and $7.5 million during the three months ended June 30, 2024 and 2023, respectively, and $3.3 million and $15.6 million during the six months ended June 30, 2024 and 2023, respectively, due to forfeiture activities upon employee terminations.</w:t>
      </w:r>
    </w:p>
    <w:p>
      <w:pPr>
        <w:pStyle w:val="TextBody"/>
        <w:bidi w:val="0"/>
        <w:spacing w:lineRule="auto" w:line="288" w:before="0" w:after="0"/>
        <w:jc w:val="both"/>
        <w:rPr/>
      </w:pPr>
      <w:r>
        <w:rPr>
          <w:rFonts w:ascii="Times New Roman;sans-serif" w:hAnsi="Times New Roman;sans-serif"/>
          <w:b w:val="false"/>
          <w:i/>
          <w:color w:val="000000"/>
          <w:sz w:val="10"/>
        </w:rPr>
        <w:t xml:space="preserve">2 </w:t>
      </w:r>
      <w:r>
        <w:rPr>
          <w:rFonts w:ascii="Times New Roman;sans-serif" w:hAnsi="Times New Roman;sans-serif"/>
          <w:b w:val="false"/>
          <w:i/>
          <w:color w:val="000000"/>
          <w:sz w:val="16"/>
        </w:rPr>
        <w:t>Includes $78 thousand of expense related to the 2021 Employee Stock Purchase Plan during the three and six</w:t>
      </w:r>
      <w:r>
        <w:rPr>
          <w:color w:val="000000"/>
        </w:rPr>
        <w:t xml:space="preserve"> </w:t>
      </w:r>
      <w:r>
        <w:rPr>
          <w:rFonts w:ascii="Times New Roman;sans-serif" w:hAnsi="Times New Roman;sans-serif"/>
          <w:b w:val="false"/>
          <w:i/>
          <w:color w:val="000000"/>
          <w:sz w:val="16"/>
        </w:rPr>
        <w:t>months ended June 30, 2024.</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the 2021 Equity Incentive Plan (as amended, the “2021 Plan”), which allows for grants of stock-based awards. No awards granted under the 2021 Plan are exercisable after 10 years from the date of grant, and the awards granted under the 2021 Plan generally vest over a four-year period on a graded vesting basis; however, the Company also granted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RSUs with vesting terms beginning 12 months from the grant date and vesting immediately on the grant date. On January 1 of each year through 2031, the aggregate number of shares of Class A common stock reserved for issuance under the 2021 Plan may be increased automatically by the number of shares equal to 5% of the total number of shares of all classes of common stock issued and outstanding immediately preceding December 31. In January 2024, the number of Class A common stock reserved for future issuance under the 2021 Plan automatically increased by 1,298,943 shares.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maintains the 2023 Equity Inducement Plan (the “Equity Inducement Plan”), which allows for grants of equity awards of the Company’s Class A common stock to individuals who were not previously an employee or director of the Company, or following a bona fide period of non-employment, as an inducement material to such persons entering into employment with the Company.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was an aggregate of 1,748,523 shares available for grants of stock options or other awards under the 2021 Plan and Equity Inducement Plan.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Stock Options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 option activity during the six months ended June 30, 2024:</w:t>
      </w:r>
    </w:p>
    <w:tbl>
      <w:tblPr>
        <w:tblW w:w="7257" w:type="dxa"/>
        <w:jc w:val="left"/>
        <w:tblInd w:w="0" w:type="dxa"/>
        <w:tblLayout w:type="fixed"/>
        <w:tblCellMar>
          <w:top w:w="28" w:type="dxa"/>
          <w:left w:w="28" w:type="dxa"/>
          <w:bottom w:w="28" w:type="dxa"/>
          <w:right w:w="28" w:type="dxa"/>
        </w:tblCellMar>
      </w:tblPr>
      <w:tblGrid>
        <w:gridCol w:w="1141"/>
        <w:gridCol w:w="1003"/>
        <w:gridCol w:w="1005"/>
        <w:gridCol w:w="413"/>
        <w:gridCol w:w="413"/>
        <w:gridCol w:w="391"/>
        <w:gridCol w:w="109"/>
        <w:gridCol w:w="109"/>
        <w:gridCol w:w="109"/>
        <w:gridCol w:w="551"/>
        <w:gridCol w:w="1611"/>
        <w:gridCol w:w="402"/>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Stock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497,976 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Forfeited/Expired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(88,219)</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2024</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377,811 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exercisable at June 30, 2024 </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307,061 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34.56 </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unrecognized stock-based compensation cost related to the unvested portion of the Company’s stock options was $1.1 million, which is expected to be recognized on a graded-vesting basis over a weighted-average period of 1.2 years.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time-based RSU activity during the six months ended June 30, 2024:</w:t>
      </w:r>
    </w:p>
    <w:tbl>
      <w:tblPr>
        <w:tblW w:w="8889" w:type="dxa"/>
        <w:jc w:val="left"/>
        <w:tblInd w:w="0" w:type="dxa"/>
        <w:tblLayout w:type="fixed"/>
        <w:tblCellMar>
          <w:top w:w="28" w:type="dxa"/>
          <w:left w:w="28" w:type="dxa"/>
          <w:bottom w:w="28" w:type="dxa"/>
          <w:right w:w="28" w:type="dxa"/>
        </w:tblCellMar>
      </w:tblPr>
      <w:tblGrid>
        <w:gridCol w:w="1065"/>
        <w:gridCol w:w="936"/>
        <w:gridCol w:w="938"/>
        <w:gridCol w:w="584"/>
        <w:gridCol w:w="584"/>
        <w:gridCol w:w="586"/>
        <w:gridCol w:w="109"/>
        <w:gridCol w:w="109"/>
        <w:gridCol w:w="109"/>
        <w:gridCol w:w="832"/>
        <w:gridCol w:w="2430"/>
        <w:gridCol w:w="607"/>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Restricted Stock 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Unit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1,507,877 </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1,178,465 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(270,160)</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(236,255)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2024</w:t>
            </w:r>
          </w:p>
        </w:tc>
        <w:tc>
          <w:tcPr>
            <w:tcW w:w="11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2,179,927 </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2021 Employee Stock Purchase Plan (the “2021 ESPP”) authorizes the issuance of shares of Class A common stock pursuant to purchase rights granted to employees. On January 1 of each year through 2031, the aggregate number of shares of Class A common stock reserved for issuance under the 2021 ESPP may be increased automatically by the number of shares equal to 1% of the total number of shares of all classes of common stock issued and outstanding immediately preceding December 31.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2021 ESPP became open for enrollment in April 2024. Under the 2021 ESPP, eligible employees may purchase shares of the Company’s Class A common stock at a discount through payroll deductions during each discrete six-month offering period. The purchase price under each discrete offering period is equal to 85% of the lesser of the fair market value of the Class A common stock on the first and last day of the offering period.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first offering period will be completed on October 31, 2024. As such, the Company has not issued any shares under the 2021 ESPP during the three and six months ended June 30, 2024. A total of 596,604 shares of Class A common stock were reserved for future issuance under the 2021 ESPP as of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for the six months ended June 30, 2024 and 2023 was $0.3 million and $0.3 million, respectively. Income taxes for these periods are recorded at the Company’s estimated annual effective income tax rate, subject to adjustments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discrete events should they occur. The Company’s estimated annual effective tax rate was 0.48% and 0.33% for the six months ended June 30, 2024 and 2023, respectively.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difference between the Company’s effective tax rates in 2024 and 2023 compared to the U.S. statutory tax rate of 21% is primarily due to changes in valuation allowances associated with the Company’s assessment of the likelihood of the recoverability of deferred tax assets. The Company currently has valuation allowances against a significant portion of its deferred tax assets primarily related to its net operating loss carryforwards and tax credit carryforwards.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ans-serif" w:hAnsi="Times New Roman;sans-serif"/>
          <w:b/>
          <w:color w:val="000000"/>
          <w:sz w:val="20"/>
        </w:rPr>
        <w:t>12. Net Loss per Share</w:t>
      </w:r>
      <w:r>
        <w:rPr>
          <w:color w:val="000000"/>
        </w:rPr>
        <w:t xml:space="preserv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 attributable to common stockholders:</w:t>
      </w:r>
    </w:p>
    <w:tbl>
      <w:tblPr>
        <w:tblW w:w="10205" w:type="dxa"/>
        <w:jc w:val="left"/>
        <w:tblInd w:w="0" w:type="dxa"/>
        <w:tblLayout w:type="fixed"/>
        <w:tblCellMar>
          <w:top w:w="28" w:type="dxa"/>
          <w:left w:w="28" w:type="dxa"/>
          <w:bottom w:w="28" w:type="dxa"/>
          <w:right w:w="28" w:type="dxa"/>
        </w:tblCellMar>
      </w:tblPr>
      <w:tblGrid>
        <w:gridCol w:w="1653"/>
        <w:gridCol w:w="1363"/>
        <w:gridCol w:w="1378"/>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11"/>
        <w:gridCol w:w="893"/>
        <w:gridCol w:w="156"/>
      </w:tblGrid>
      <w:tr>
        <w:trPr/>
        <w:tc>
          <w:tcPr>
            <w:tcW w:w="16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weighted-average common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25,418,358 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26,340,063 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22,754,948 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outstanding shares of potentially dilutive securities that were excluded from the computation of diluted net loss per share attributable to common stockholders for the period presented as the effect would be anti-dilutive: </w:t>
      </w:r>
    </w:p>
    <w:tbl>
      <w:tblPr>
        <w:tblW w:w="8181" w:type="dxa"/>
        <w:jc w:val="left"/>
        <w:tblInd w:w="0" w:type="dxa"/>
        <w:tblLayout w:type="fixed"/>
        <w:tblCellMar>
          <w:top w:w="28" w:type="dxa"/>
          <w:left w:w="28" w:type="dxa"/>
          <w:bottom w:w="28" w:type="dxa"/>
          <w:right w:w="28" w:type="dxa"/>
        </w:tblCellMar>
      </w:tblPr>
      <w:tblGrid>
        <w:gridCol w:w="1989"/>
        <w:gridCol w:w="1745"/>
        <w:gridCol w:w="1755"/>
        <w:gridCol w:w="488"/>
        <w:gridCol w:w="488"/>
        <w:gridCol w:w="176"/>
        <w:gridCol w:w="109"/>
        <w:gridCol w:w="109"/>
        <w:gridCol w:w="109"/>
        <w:gridCol w:w="488"/>
        <w:gridCol w:w="488"/>
        <w:gridCol w:w="237"/>
      </w:tblGrid>
      <w:tr>
        <w:trPr/>
        <w:tc>
          <w:tcPr>
            <w:tcW w:w="198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options and RSUs to purchase Class A common stock</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2,557,738 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2,597,876 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666,515 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666,515 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earn-out shares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555,216 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earn-out RSUs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2021 ESPP shares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3,253,520 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3,840,803 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13. Restructuring Costs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restructuring costs were $0.2 million and $1.6 million for the three months ended June 30, 2024 and 2023, respectively, and $1.1 million and $2.3 million for the six months ended June 30, 2024 and 2023, respectively. The table below provides certain information concerning restructuring activity during the six months ended June 30, 2024: </w:t>
      </w:r>
    </w:p>
    <w:tbl>
      <w:tblPr>
        <w:tblW w:w="10205" w:type="dxa"/>
        <w:jc w:val="left"/>
        <w:tblInd w:w="0" w:type="dxa"/>
        <w:tblLayout w:type="fixed"/>
        <w:tblCellMar>
          <w:top w:w="28" w:type="dxa"/>
          <w:left w:w="28" w:type="dxa"/>
          <w:bottom w:w="28" w:type="dxa"/>
          <w:right w:w="28" w:type="dxa"/>
        </w:tblCellMar>
      </w:tblPr>
      <w:tblGrid>
        <w:gridCol w:w="342"/>
        <w:gridCol w:w="301"/>
        <w:gridCol w:w="303"/>
        <w:gridCol w:w="568"/>
        <w:gridCol w:w="1659"/>
        <w:gridCol w:w="294"/>
        <w:gridCol w:w="109"/>
        <w:gridCol w:w="109"/>
        <w:gridCol w:w="109"/>
        <w:gridCol w:w="470"/>
        <w:gridCol w:w="1375"/>
        <w:gridCol w:w="243"/>
        <w:gridCol w:w="109"/>
        <w:gridCol w:w="109"/>
        <w:gridCol w:w="109"/>
        <w:gridCol w:w="307"/>
        <w:gridCol w:w="994"/>
        <w:gridCol w:w="158"/>
        <w:gridCol w:w="109"/>
        <w:gridCol w:w="109"/>
        <w:gridCol w:w="109"/>
        <w:gridCol w:w="560"/>
        <w:gridCol w:w="1237"/>
        <w:gridCol w:w="413"/>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Reserve Balance at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Charged to Costs and Expenses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Reserve Balance at June 30, 2024</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30, 2023, the Company announced a continued strategic realignment of its organization to key priorities which includes the elimination of approximately 50 positions impacted on August 23, 2023, and approximately 35 positions impacted on October 30, 2023. Together these actions reduced the size of the Company’s workforce by 10% from the total number that existed at the time of the August reduction in force. In total, the Company announced cost saving initiatives, including but not limited to these reductions in force, that are expected to result in an excess of $40 million in annual cost reduction. The Company expects that all remaining cash severance payments will be complete in less than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14. Supplemental Financial Information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on the condensed consolidated balance sheets to the total of the same amounts shown on the condensed consolidated statements of cash flows:</w:t>
      </w:r>
    </w:p>
    <w:tbl>
      <w:tblPr>
        <w:tblW w:w="6789" w:type="dxa"/>
        <w:jc w:val="left"/>
        <w:tblInd w:w="0" w:type="dxa"/>
        <w:tblLayout w:type="fixed"/>
        <w:tblCellMar>
          <w:top w:w="28" w:type="dxa"/>
          <w:left w:w="28" w:type="dxa"/>
          <w:bottom w:w="28" w:type="dxa"/>
          <w:right w:w="28" w:type="dxa"/>
        </w:tblCellMar>
      </w:tblPr>
      <w:tblGrid>
        <w:gridCol w:w="1239"/>
        <w:gridCol w:w="1087"/>
        <w:gridCol w:w="1093"/>
        <w:gridCol w:w="258"/>
        <w:gridCol w:w="883"/>
        <w:gridCol w:w="133"/>
        <w:gridCol w:w="109"/>
        <w:gridCol w:w="109"/>
        <w:gridCol w:w="109"/>
        <w:gridCol w:w="313"/>
        <w:gridCol w:w="1228"/>
        <w:gridCol w:w="228"/>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assets)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100,668 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as of June 30, 2024 and December 31, 2023 primarily consists of money market deposit accounts that secure an irrevocable standby letter of credit that serves as collateral for security deposit operating leases.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tbl>
      <w:tblPr>
        <w:tblW w:w="5065" w:type="dxa"/>
        <w:jc w:val="left"/>
        <w:tblInd w:w="0" w:type="dxa"/>
        <w:tblLayout w:type="fixed"/>
        <w:tblCellMar>
          <w:top w:w="28" w:type="dxa"/>
          <w:left w:w="28" w:type="dxa"/>
          <w:bottom w:w="28" w:type="dxa"/>
          <w:right w:w="28" w:type="dxa"/>
        </w:tblCellMar>
      </w:tblPr>
      <w:tblGrid>
        <w:gridCol w:w="614"/>
        <w:gridCol w:w="538"/>
        <w:gridCol w:w="542"/>
        <w:gridCol w:w="258"/>
        <w:gridCol w:w="883"/>
        <w:gridCol w:w="133"/>
        <w:gridCol w:w="109"/>
        <w:gridCol w:w="109"/>
        <w:gridCol w:w="109"/>
        <w:gridCol w:w="344"/>
        <w:gridCol w:w="1175"/>
        <w:gridCol w:w="251"/>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10,598 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payable and accrued expenses consisted of the following: </w:t>
      </w:r>
    </w:p>
    <w:tbl>
      <w:tblPr>
        <w:tblW w:w="7676" w:type="dxa"/>
        <w:jc w:val="left"/>
        <w:tblInd w:w="0" w:type="dxa"/>
        <w:tblLayout w:type="fixed"/>
        <w:tblCellMar>
          <w:top w:w="28" w:type="dxa"/>
          <w:left w:w="28" w:type="dxa"/>
          <w:bottom w:w="28" w:type="dxa"/>
          <w:right w:w="28" w:type="dxa"/>
        </w:tblCellMar>
      </w:tblPr>
      <w:tblGrid>
        <w:gridCol w:w="1560"/>
        <w:gridCol w:w="1370"/>
        <w:gridCol w:w="1375"/>
        <w:gridCol w:w="258"/>
        <w:gridCol w:w="883"/>
        <w:gridCol w:w="133"/>
        <w:gridCol w:w="109"/>
        <w:gridCol w:w="109"/>
        <w:gridCol w:w="109"/>
        <w:gridCol w:w="344"/>
        <w:gridCol w:w="1175"/>
        <w:gridCol w:w="251"/>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purchases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reserves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for refunds to insurance carriers and others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consisted of the following:</w:t>
      </w:r>
    </w:p>
    <w:tbl>
      <w:tblPr>
        <w:tblW w:w="5350" w:type="dxa"/>
        <w:jc w:val="left"/>
        <w:tblInd w:w="0" w:type="dxa"/>
        <w:tblLayout w:type="fixed"/>
        <w:tblCellMar>
          <w:top w:w="28" w:type="dxa"/>
          <w:left w:w="28" w:type="dxa"/>
          <w:bottom w:w="28" w:type="dxa"/>
          <w:right w:w="28" w:type="dxa"/>
        </w:tblCellMar>
      </w:tblPr>
      <w:tblGrid>
        <w:gridCol w:w="717"/>
        <w:gridCol w:w="629"/>
        <w:gridCol w:w="633"/>
        <w:gridCol w:w="258"/>
        <w:gridCol w:w="883"/>
        <w:gridCol w:w="133"/>
        <w:gridCol w:w="109"/>
        <w:gridCol w:w="109"/>
        <w:gridCol w:w="109"/>
        <w:gridCol w:w="344"/>
        <w:gridCol w:w="1175"/>
        <w:gridCol w:w="251"/>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severance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consisted of the following:</w:t>
      </w:r>
    </w:p>
    <w:tbl>
      <w:tblPr>
        <w:tblW w:w="5530" w:type="dxa"/>
        <w:jc w:val="left"/>
        <w:tblInd w:w="0" w:type="dxa"/>
        <w:tblLayout w:type="fixed"/>
        <w:tblCellMar>
          <w:top w:w="28" w:type="dxa"/>
          <w:left w:w="28" w:type="dxa"/>
          <w:bottom w:w="28" w:type="dxa"/>
          <w:right w:w="28" w:type="dxa"/>
        </w:tblCellMar>
      </w:tblPr>
      <w:tblGrid>
        <w:gridCol w:w="783"/>
        <w:gridCol w:w="686"/>
        <w:gridCol w:w="690"/>
        <w:gridCol w:w="258"/>
        <w:gridCol w:w="883"/>
        <w:gridCol w:w="133"/>
        <w:gridCol w:w="109"/>
        <w:gridCol w:w="109"/>
        <w:gridCol w:w="109"/>
        <w:gridCol w:w="344"/>
        <w:gridCol w:w="1175"/>
        <w:gridCol w:w="251"/>
      </w:tblGrid>
      <w:tr>
        <w:trPr/>
        <w:tc>
          <w:tcPr>
            <w:tcW w:w="7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payor reserve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Raise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2023, the Company raised approximately $150.0 million in gross proceeds and announced the closing of an underwritten public offering of 9,962,316 shares of its Class A common stock and a concurrent registered direct offering of 2,353,436 shares of its Class A common stock. The net offering proceeds received after deducting underwriters' discounts and commissions payable by the Company were approximately $135.4 million. On April 17, 2023, following the Company’s receipt of stockholder approval for the issuance, the Company issued the remaining 676,868 shares of the Company’s Class A common stock in its previously announced registered direct offering for gross proceeds of approximately $7.6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15. Segment Reporting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structure is aligned with how the chief operating decision maker (“CODM”) reviews the business, makes investing and resource allocation decisions and assesses operating performance. The Company’s two reportable segments are: (i)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GeneDx inclusive of Legacy GeneDx and Legacy Sema4 data revenues and associated costs and (ii) Legacy Sema4 diagnostics. The GeneDx segment primarily provides pediatric and rare disease diagnostics with a focus on whole exome and genome sequencing and, to a lesser extent, data and information services. The Legacy Sema4 diagnostics segment provided reproductive and women’s health and somatic oncology diagnostic testing and screening products and has been completely shut down.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CODM evaluates segment performance based on revenue and adjusted gross profit. </w:t>
      </w:r>
    </w:p>
    <w:tbl>
      <w:tblPr>
        <w:tblW w:w="10205" w:type="dxa"/>
        <w:jc w:val="left"/>
        <w:tblInd w:w="0" w:type="dxa"/>
        <w:tblLayout w:type="fixed"/>
        <w:tblCellMar>
          <w:top w:w="28" w:type="dxa"/>
          <w:left w:w="28" w:type="dxa"/>
          <w:bottom w:w="28" w:type="dxa"/>
          <w:right w:w="28" w:type="dxa"/>
        </w:tblCellMar>
      </w:tblPr>
      <w:tblGrid>
        <w:gridCol w:w="880"/>
        <w:gridCol w:w="671"/>
        <w:gridCol w:w="646"/>
        <w:gridCol w:w="211"/>
        <w:gridCol w:w="721"/>
        <w:gridCol w:w="109"/>
        <w:gridCol w:w="109"/>
        <w:gridCol w:w="109"/>
        <w:gridCol w:w="109"/>
        <w:gridCol w:w="243"/>
        <w:gridCol w:w="711"/>
        <w:gridCol w:w="125"/>
        <w:gridCol w:w="109"/>
        <w:gridCol w:w="109"/>
        <w:gridCol w:w="109"/>
        <w:gridCol w:w="211"/>
        <w:gridCol w:w="721"/>
        <w:gridCol w:w="109"/>
        <w:gridCol w:w="109"/>
        <w:gridCol w:w="109"/>
        <w:gridCol w:w="109"/>
        <w:gridCol w:w="211"/>
        <w:gridCol w:w="721"/>
        <w:gridCol w:w="109"/>
        <w:gridCol w:w="109"/>
        <w:gridCol w:w="109"/>
        <w:gridCol w:w="109"/>
        <w:gridCol w:w="243"/>
        <w:gridCol w:w="711"/>
        <w:gridCol w:w="125"/>
        <w:gridCol w:w="109"/>
        <w:gridCol w:w="109"/>
        <w:gridCol w:w="109"/>
        <w:gridCol w:w="211"/>
        <w:gridCol w:w="721"/>
        <w:gridCol w:w="160"/>
      </w:tblGrid>
      <w:tr>
        <w:trPr/>
        <w:tc>
          <w:tcPr>
            <w:tcW w:w="88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gross profit </w:t>
            </w:r>
            <w:r>
              <w:rPr>
                <w:rFonts w:ascii="Times New Roman;sans-serif" w:hAnsi="Times New Roman;sans-serif"/>
                <w:b w:val="false"/>
                <w:color w:val="000000"/>
                <w:sz w:val="13"/>
              </w:rPr>
              <w:t>(1)</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59"/>
        <w:gridCol w:w="612"/>
        <w:gridCol w:w="573"/>
        <w:gridCol w:w="211"/>
        <w:gridCol w:w="826"/>
        <w:gridCol w:w="109"/>
        <w:gridCol w:w="109"/>
        <w:gridCol w:w="109"/>
        <w:gridCol w:w="109"/>
        <w:gridCol w:w="237"/>
        <w:gridCol w:w="693"/>
        <w:gridCol w:w="122"/>
        <w:gridCol w:w="109"/>
        <w:gridCol w:w="109"/>
        <w:gridCol w:w="109"/>
        <w:gridCol w:w="211"/>
        <w:gridCol w:w="826"/>
        <w:gridCol w:w="109"/>
        <w:gridCol w:w="109"/>
        <w:gridCol w:w="109"/>
        <w:gridCol w:w="109"/>
        <w:gridCol w:w="211"/>
        <w:gridCol w:w="721"/>
        <w:gridCol w:w="109"/>
        <w:gridCol w:w="109"/>
        <w:gridCol w:w="109"/>
        <w:gridCol w:w="109"/>
        <w:gridCol w:w="237"/>
        <w:gridCol w:w="693"/>
        <w:gridCol w:w="122"/>
        <w:gridCol w:w="109"/>
        <w:gridCol w:w="109"/>
        <w:gridCol w:w="109"/>
        <w:gridCol w:w="211"/>
        <w:gridCol w:w="721"/>
        <w:gridCol w:w="157"/>
      </w:tblGrid>
      <w:tr>
        <w:trPr/>
        <w:tc>
          <w:tcPr>
            <w:tcW w:w="85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1"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gross profit </w:t>
            </w:r>
            <w:r>
              <w:rPr>
                <w:rFonts w:ascii="Times New Roman;sans-serif" w:hAnsi="Times New Roman;sans-serif"/>
                <w:b w:val="false"/>
                <w:color w:val="000000"/>
                <w:sz w:val="13"/>
              </w:rPr>
              <w:t>(1)</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(1)Adjusted cost of services and adjusted gross profit exclude depreciation and amortization expense, stock-based compensation expense and restructuring costs.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manages assets on a total company basis, not by reporting segment. The CODM does not regularly review any asset information by reporting segment and, accordingly, the Company does not report asset information by reporting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unaudited condensed consolidated financial statements and related notes appearing elsewhere in this Quarterly Report and our audited consolidated financial statements and the related notes in our Annual Report on Form 10-K for the year ended December 31, 2023 (the “2023 Form 10-K”).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genomics company—one that sits at the intersection of diagnostics and data science, pairing decades of genomic expertise with an ability to interpret clinical data at scale. We are focused on delivering personalized and actionable health insights to inform diagnosis, direct treatment and improve drug discovery. We believe we are well-positioned to accelerate the use of genomics and leverage large-scale clinical data to enable precision medicine as the standard of care. Our focus is in pediatric and rare diseases, two areas in which we believe we have competitive advantage and can deliver on our vision today. </w:t>
      </w:r>
    </w:p>
    <w:p>
      <w:pPr>
        <w:pStyle w:val="TextBody"/>
        <w:bidi w:val="0"/>
        <w:spacing w:lineRule="auto" w:line="288" w:before="0" w:after="180"/>
        <w:jc w:val="both"/>
        <w:rPr/>
      </w:pPr>
      <w:r>
        <w:rPr>
          <w:rFonts w:ascii="Times New Roman;sans-serif" w:hAnsi="Times New Roman;sans-serif"/>
          <w:b w:val="false"/>
          <w:color w:val="000000"/>
          <w:sz w:val="20"/>
        </w:rPr>
        <w:t>See Note 1, “</w:t>
      </w:r>
      <w:r>
        <w:rPr>
          <w:rFonts w:ascii="Times New Roman;sans-serif" w:hAnsi="Times New Roman;sans-serif"/>
          <w:b w:val="false"/>
          <w:i/>
          <w:color w:val="000000"/>
          <w:sz w:val="20"/>
        </w:rPr>
        <w:t>Organization and Description of Business</w:t>
      </w:r>
      <w:r>
        <w:rPr>
          <w:color w:val="000000"/>
        </w:rPr>
        <w:t xml:space="preserve">” </w:t>
      </w:r>
      <w:r>
        <w:rPr>
          <w:rFonts w:ascii="Times New Roman;sans-serif" w:hAnsi="Times New Roman;sans-serif"/>
          <w:b w:val="false"/>
          <w:color w:val="000000"/>
          <w:sz w:val="20"/>
        </w:rPr>
        <w:t>included in this Quarterly Report for more information on the Company’s history.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bidi w:val="0"/>
        <w:spacing w:lineRule="auto" w:line="288" w:before="0" w:after="180"/>
        <w:jc w:val="both"/>
        <w:rPr/>
      </w:pPr>
      <w:r>
        <w:rPr>
          <w:rFonts w:ascii="Times New Roman;sans-serif" w:hAnsi="Times New Roman;sans-serif"/>
          <w:b w:val="false"/>
          <w:color w:val="000000"/>
          <w:sz w:val="20"/>
        </w:rPr>
        <w:t>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Times New Roman;sans-serif" w:hAnsi="Times New Roman;sans-serif"/>
          <w:b w:val="false"/>
          <w:i/>
          <w:color w:val="000000"/>
          <w:sz w:val="20"/>
        </w:rPr>
        <w:t>Item 1A. Risk Factors</w:t>
      </w:r>
      <w:r>
        <w:rPr>
          <w:color w:val="000000"/>
        </w:rPr>
        <w:t xml:space="preserve">” </w:t>
      </w:r>
      <w:r>
        <w:rPr>
          <w:rFonts w:ascii="Times New Roman;sans-serif" w:hAnsi="Times New Roman;sans-serif"/>
          <w:b w:val="false"/>
          <w:color w:val="000000"/>
          <w:sz w:val="20"/>
        </w:rPr>
        <w:t>in this Quarterly Report and in our 2023 Form 10-K, which is incorporated by reference in this Quarterly Report, for further information.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Number of Resulted Tests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test is resulted once the appropriate workflow is completed and details are provided to the ordered patients or healthcare professional for reviews, which corresponds to the timing of our revenue recognition. We believe the number of resulted tests in any period is important and useful to our investors because it directly correlates with long-term patient relationships and the size of our genomic database.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Success Obtaining and Maintaining Reimbursement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Since each payor makes its own decision as to whether to establish a policy or enter into a contract to provide coverage for our tests, as well as the amount it will reimburse us for a test, seeking these approvals is a time-consuming and costly process.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Ability to Lower the Costs Associated with Performing our Tests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Increasing Adoption of our Services by Existing and New Customers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Investment in Platform Innovation to Support Commercial Growth</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seeking to leverage and deploy our platforms to develop a pipeline of future disease-specific research and diagnostic and therapeutic products and services. We have limited experience in the development or commercialization of clinical or research products in connection with our database and platform.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Key Performance Indicators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condensed consolidated financial statements and the related notes and other financial information included elsewhere in this report.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and the mix of test results, with a focus on driving whole exome and whole genome sequencing, are key indicators that we use to assess the operational efficiency of our business. Once the appropriate workflow is completed, the test is resulted and details are provided to ordered patients or healthcare professionals for reviews.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we resulted 112,926 tests, compared to the six months ended June 30, 2023, in which we resulted approximately 107,706 tests.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Components of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Diagnostic Test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revenue is derived from genetic and genomic diagnostic testing services for three groups of customers: healthcare professionals working with patients with third-party insurance coverage or without third-party insurance coverage, institutional clients such as hospitals, clinics, state governments and reference laboratories, and self-pay patients.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 Our ability to increase our diagnostic test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will depend on our ability to increase our market penetration, obtain contracted reimbursement coverage from third-party payors, enter into contracts with institutions, and increase our reimbursement rate for tests performed.</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generate revenue from collaboration service agreements with biopharma companies and other third parties, pursuant to which we provide health information and patient identification support services. Certain of these contracts provide non-refundable payments, which we record as contract liabilities, and variable payments based upon the achievement of certain milestones during the contract term.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services reflect the aggregate costs incurred in performing services, which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if any,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Selling and Marketing Expenses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expenses primarily consist of personnel-related expenses (comprising salaries and benefits) and stock-based compensation for employees performing commercial sales, account management, marketing, and certain genetic counseling services. Selling and marketing costs are expensed as incurred.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primarily consist of personnel-related expenses (comprising salaries, billing and benefits) and stock-based compensation for employees in executive leadership, legal, finance and accounting, human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technology, and other administrative functions. In addition, these expenses include office occupancy and information technology costs. General and administrative costs are expensed as incurred.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and director and officer insurance premiums. We expect these expenses to decrease as a percentage of revenue in the long term as revenue increases, although the percentage may fluctuate from period to period due to fluctuations in our compensation-related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June 30, 2024 and 2023</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678"/>
        <w:gridCol w:w="1411"/>
        <w:gridCol w:w="1426"/>
        <w:gridCol w:w="211"/>
        <w:gridCol w:w="781"/>
        <w:gridCol w:w="271"/>
        <w:gridCol w:w="109"/>
        <w:gridCol w:w="109"/>
        <w:gridCol w:w="109"/>
        <w:gridCol w:w="211"/>
        <w:gridCol w:w="781"/>
        <w:gridCol w:w="271"/>
        <w:gridCol w:w="109"/>
        <w:gridCol w:w="109"/>
        <w:gridCol w:w="109"/>
        <w:gridCol w:w="211"/>
        <w:gridCol w:w="721"/>
        <w:gridCol w:w="109"/>
        <w:gridCol w:w="109"/>
        <w:gridCol w:w="109"/>
        <w:gridCol w:w="109"/>
        <w:gridCol w:w="261"/>
        <w:gridCol w:w="263"/>
        <w:gridCol w:w="618"/>
      </w:tblGrid>
      <w:tr>
        <w:trPr/>
        <w:tc>
          <w:tcPr>
            <w:tcW w:w="1678"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53" w:after="3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(expenses), net</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warrants and earn-out contingent liabilities </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net</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(29,173)</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(46,719)</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NM – Not Meaningful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increased by $21.8 million, or 45%, to $70.5 million for the three months ended June 30, 2024, from $48.7 million for the three months ended June 30, 2023.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Diagnostic test revenue increased by $22.8 million, or 49%, to $69.4 million for the three months ended June 30, 2024, from $46.6 million for the three months ended June 30, 2023. The increase primarily reflected an increase in Legacy GeneDx diagnostic testing revenues driven by a $22.0 million, or 77%, increase in whole exome and genome sequencing revenues resulting from a 52% increase in test volumes, partially coupled with higher whole exome and genome average reimbursement rates.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decreased by $1.0 million, or 48%, to $1.1 million for the three months ended June 30, 2024, from $2.1 million for the three months ended June 30, 2023. The decrease reflected the milestone achievement of partnership revenues recognized in the second quarter of 2023, which did not recur in the second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increased by $24.2 million or 129%, to $43.0 million for the three months ended June 30, 2024, from $18.8 million for the three months ended June 30, 2023, driven by a combination favorable volume mix shift to higher margin whole exome and genome tests, improvement in exome average reimbursement rates and continued cost per test leverage.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decreased by $6.2 million, or 36%, to $10.9 million for the three months ended June 30, 2024, from $17.1 million for the three months ended June 30, 2023. The decrease was primarily attributable to a $1.0 million decrease in stock compensation expense resulting from forfeitures of unvested equity awards of terminated employees and a decrease in depreciation expense of $4.4 million related to the discontinued Legacy Sema4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Selling and Marketing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increased by $1.4 million, or 9%, to $16.6 million for the three months ended June 30, 2024, from $15.2 million for the three months ended June 30, 2023. The increase reflects our investment to support growth in our commercial team.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by $12.2 million, or 33%, to $25.2 million for the three months ended June 30, 2024, from $37.3 million for the three months ended June 30, 2023. The decrease was primarily attributable to lower current expenses related to professional services, software and information technology related costs, insurance costs and personnel-related costs as a result of the discontinued Legacy Sema4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Operating Expenses, Net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net were $0.9 million for the three months ended June 30, 2024 as compared with $0.7 million for the three months ended June 30, 2023. This increase reflected a gain recognized on the sale of certain assets sold as a result of an auction held during the second quarter of 2023. This was partially offset by decreased services costs following the expiration of the transition services agreement with OPKO in October 2023.</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Non-Operating Income, Net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Non-operating income, net decreased by $23.5 million. The current quarter results primarily include legal reserves, net of insurance, of approximately $13.4 million and a non-cash charge of $5.1 million associated with the exercise of the Perceptive Warrant. The prior year quarter results included a non-cash gain of $3.3 million related to the Milestone Payment for the contingent liability and net interest income driven by higher cash balances driven by the capital raise in the first quarter of 2023.</w:t>
      </w:r>
    </w:p>
    <w:p>
      <w:pPr>
        <w:pStyle w:val="TextBody"/>
        <w:bidi w:val="0"/>
        <w:spacing w:lineRule="auto" w:line="288" w:before="0" w:after="180"/>
        <w:jc w:val="both"/>
        <w:rPr/>
      </w:pPr>
      <w:r>
        <w:rPr>
          <w:rFonts w:ascii="Times New Roman;sans-serif" w:hAnsi="Times New Roman;sans-serif"/>
          <w:b w:val="false"/>
          <w:color w:val="000000"/>
          <w:sz w:val="20"/>
        </w:rPr>
        <w:t>See Note 4, “</w:t>
      </w:r>
      <w:r>
        <w:rPr>
          <w:rFonts w:ascii="Times New Roman;sans-serif" w:hAnsi="Times New Roman;sans-serif"/>
          <w:b w:val="false"/>
          <w:i/>
          <w:color w:val="000000"/>
          <w:sz w:val="20"/>
        </w:rPr>
        <w:t>Fair Value Measurements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our condensed consolidated financial statements for further information on the changes in fair value of our warrant and earn-out contingent liabilities. Also see Note 9, “</w:t>
      </w:r>
      <w:r>
        <w:rPr>
          <w:rFonts w:ascii="Times New Roman;sans-serif" w:hAnsi="Times New Roman;sans-serif"/>
          <w:b w:val="false"/>
          <w:i/>
          <w:color w:val="000000"/>
          <w:sz w:val="20"/>
        </w:rPr>
        <w:t>Purchase Commitments and Contingencies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our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Comparison of the six months ended June 30, 2024 and 2023</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632"/>
        <w:gridCol w:w="1362"/>
        <w:gridCol w:w="1376"/>
        <w:gridCol w:w="211"/>
        <w:gridCol w:w="826"/>
        <w:gridCol w:w="271"/>
        <w:gridCol w:w="109"/>
        <w:gridCol w:w="109"/>
        <w:gridCol w:w="109"/>
        <w:gridCol w:w="211"/>
        <w:gridCol w:w="884"/>
        <w:gridCol w:w="271"/>
        <w:gridCol w:w="109"/>
        <w:gridCol w:w="109"/>
        <w:gridCol w:w="109"/>
        <w:gridCol w:w="211"/>
        <w:gridCol w:w="721"/>
        <w:gridCol w:w="109"/>
        <w:gridCol w:w="109"/>
        <w:gridCol w:w="109"/>
        <w:gridCol w:w="109"/>
        <w:gridCol w:w="260"/>
        <w:gridCol w:w="262"/>
        <w:gridCol w:w="617"/>
      </w:tblGrid>
      <w:tr>
        <w:trPr/>
        <w:tc>
          <w:tcPr>
            <w:tcW w:w="163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4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53" w:after="3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(111,986)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(expenses), net</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warrants and earn-out contingent liabilities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(49,412)</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(107,708)</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NM – Not Meaningful</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increased by $41.1 million, or 45%, to $132.9 million for the six months ended June 30, 2024, from $91.8 million for the six months ended June 30, 2023.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Diagnostic test revenue increased by $42.1 million, or 48%, to $130.5 million for the six months ended June 30, 2024, from $88.5 million for the six months ended June 30, 2023. The increase primarily reflected an increase in Legacy GeneDx diagnostic testing revenues driven by a $43.5 million, or 85%, increase in whole exome and genome sequencing revenues resulting from a 68% increase in test volumes coupled with improved whole exome and genome average reimbursement, partially offset by lower revenues from the now discontinued Legacy Sema4 business.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decreased by $1.0 million, or 29%, to $2.4 million for the six months ended June 30, 2024, from $3.4 million for the six months ended June 30, 2023. The decrease reflects the milestone achievement of partnership revenues recognized in the six months ended June 30, 2023, which did not recur in the six months ended June 30, 2024.</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increased by $46.4 million for the six months ended June 30, 2024, driven by a combination of lower cost of services from the now discontinued Legacy Sema4 business and improved margins from Legacy GeneDx. The gross profit performance from Legacy GeneDx reflected favorable volume mix shift to higher margin whole exome and genome tests, partially offset by lower average cost per test associated with these tests.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 decreased by $9.3 million, or 29%, to $22.5 million for the six months ended June 30, 2024, from $31.7 million for the six months ended June 30, 2023. The decrease was primarily attributable to lower current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costs as a result of headcount reduction actions and a decrease in depreciation expense of $5.1 million related to the discontinued Legacy Sema4 business.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Selling and Marketing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increased by $4.0 million, or 14%, to $32.7 million for the six months ended June 30, 2024, from $28.6 million for the six months ended June 30, 2023. The increase reflects our investment to support growth in our commercial team.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by $33.4 million, or 41%, to $47.6 million for the six months ended June 30, 2024, from $81.0 million for the six months ended June 30, 2023. The decrease was attributable to lower current expenses related to professional services, software and information technology related costs, insurance costs, fixed asset depreciation and personnel-related costs as a result of the discontinued Legacy Sema4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Impairment Loss</w:t>
      </w:r>
    </w:p>
    <w:p>
      <w:pPr>
        <w:pStyle w:val="TextBody"/>
        <w:bidi w:val="0"/>
        <w:spacing w:lineRule="auto" w:line="288" w:before="0" w:after="180"/>
        <w:jc w:val="both"/>
        <w:rPr/>
      </w:pPr>
      <w:r>
        <w:rPr>
          <w:rFonts w:ascii="Times New Roman;sans-serif" w:hAnsi="Times New Roman;sans-serif"/>
          <w:b w:val="false"/>
          <w:color w:val="000000"/>
          <w:sz w:val="20"/>
        </w:rPr>
        <w:t>The non-cash charge of $2.1 million for the six months ended June 30, 2023 reflected the impairment of certain capital and right-of-use asset leases. See Note 6, “</w:t>
      </w:r>
      <w:r>
        <w:rPr>
          <w:rFonts w:ascii="Times New Roman;sans-serif" w:hAnsi="Times New Roman;sans-serif"/>
          <w:b w:val="false"/>
          <w:i/>
          <w:color w:val="000000"/>
          <w:sz w:val="20"/>
        </w:rPr>
        <w:t>Property and Equipment, net</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our condensed consolidated financial statements for further information.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Operating Expenses, Net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net were $1.8 million for the six months ended June 30, 2024 as compared with $2.5 million for the six months ended June 30, 2023. The decrease in expense reflected decreased services costs following the expiration of the transition services agreement with OPKO in October 2023. This was partially offset by the impact of a gain recognized on the sale of certain assets sold as a result of an auction held during the six months ended June 30, 2023, which did not recur in the six months ended June 30, 2024.</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Non-Operating Income, Net</w:t>
      </w:r>
    </w:p>
    <w:p>
      <w:pPr>
        <w:pStyle w:val="TextBody"/>
        <w:bidi w:val="0"/>
        <w:spacing w:lineRule="auto" w:line="288" w:before="0" w:after="180"/>
        <w:jc w:val="both"/>
        <w:rPr/>
      </w:pPr>
      <w:r>
        <w:rPr>
          <w:rFonts w:ascii="Times New Roman;sans-serif" w:hAnsi="Times New Roman;sans-serif"/>
          <w:b w:val="false"/>
          <w:color w:val="000000"/>
          <w:sz w:val="20"/>
        </w:rPr>
        <w:t>Non-operating income, net, decreased by $29.4 million. The current period results primarily include legal reserves, net of insurance, of approximately $13.4 million, and non-cash charges of $5.1 million associated with the exercise of the Perceptive Warrant exercised and $5.4 million driven by the significant increase in fair value of our public and private placement warrants and Perceptive Warrant driven primarily by the increase in our share price as of June 30, 2024. See Note 4, “</w:t>
      </w:r>
      <w:r>
        <w:rPr>
          <w:rFonts w:ascii="Times New Roman;sans-serif" w:hAnsi="Times New Roman;sans-serif"/>
          <w:b w:val="false"/>
          <w:i/>
          <w:color w:val="000000"/>
          <w:sz w:val="20"/>
        </w:rPr>
        <w:t>Fair Value Measurements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our condensed consolidated financial statements for further information on the changes in fair value of our warrant and earn-out contingent liabilities. Also see Note 9, “</w:t>
      </w:r>
      <w:r>
        <w:rPr>
          <w:rFonts w:ascii="Times New Roman;sans-serif" w:hAnsi="Times New Roman;sans-serif"/>
          <w:b w:val="false"/>
          <w:i/>
          <w:color w:val="000000"/>
          <w:sz w:val="20"/>
        </w:rPr>
        <w:t>Purchase Commitments and Contingencies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our condensed consolidated financial statements for further information.</w:t>
      </w:r>
    </w:p>
    <w:p>
      <w:pPr>
        <w:pStyle w:val="TextBody"/>
        <w:bidi w:val="0"/>
        <w:spacing w:lineRule="auto" w:line="288" w:before="0" w:after="180"/>
        <w:jc w:val="both"/>
        <w:rPr/>
      </w:pPr>
      <w:r>
        <w:rPr>
          <w:rFonts w:ascii="Times New Roman;sans-serif" w:hAnsi="Times New Roman;sans-serif"/>
          <w:b w:val="false"/>
          <w:color w:val="000000"/>
          <w:sz w:val="20"/>
        </w:rPr>
        <w:t>The prior year results included net interest income driven by higher cash balances driven by the capital raise in the first quarter of 2023 and the principal loan forgiveness of $2.8 million under the amendment to the DECD loan. See Note 8,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 xml:space="preserve">to our condensed consolidated financial statements for further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Reconciliation of Non-GAAP Financial Measures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accounting principles generally accepted in the United States of America (“U.S. GAAP”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all expenditures or future requirements for capital expenditures or contractual commitments;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our working capital needs;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costs of replacing the assets being depreciated, which will often have to be replaced in the future;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non-cash component of employee compensation expense;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impact of earnings or charges resulting from matters we consider not to be reflective, on a recurring basis, of our ongoing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Adjusted Gross Profit and Adjusted Gross Margin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Adjusted gross profit is a non-GAAP financial measure that we define as revenue less cost of services, excluding depreciation and amortization expense,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gross profit to our adjusted gross profit and of our gross margin to adjusted gross margin for the three and six months ended June 30, 2024 and 2023:</w:t>
      </w:r>
    </w:p>
    <w:tbl>
      <w:tblPr>
        <w:tblW w:w="9123" w:type="dxa"/>
        <w:jc w:val="left"/>
        <w:tblInd w:w="0" w:type="dxa"/>
        <w:tblLayout w:type="fixed"/>
        <w:tblCellMar>
          <w:top w:w="28" w:type="dxa"/>
          <w:left w:w="28" w:type="dxa"/>
          <w:bottom w:w="28" w:type="dxa"/>
          <w:right w:w="28" w:type="dxa"/>
        </w:tblCellMar>
      </w:tblPr>
      <w:tblGrid>
        <w:gridCol w:w="1193"/>
        <w:gridCol w:w="1051"/>
        <w:gridCol w:w="1056"/>
        <w:gridCol w:w="211"/>
        <w:gridCol w:w="721"/>
        <w:gridCol w:w="241"/>
        <w:gridCol w:w="109"/>
        <w:gridCol w:w="109"/>
        <w:gridCol w:w="109"/>
        <w:gridCol w:w="211"/>
        <w:gridCol w:w="721"/>
        <w:gridCol w:w="241"/>
        <w:gridCol w:w="109"/>
        <w:gridCol w:w="109"/>
        <w:gridCol w:w="109"/>
        <w:gridCol w:w="211"/>
        <w:gridCol w:w="826"/>
        <w:gridCol w:w="241"/>
        <w:gridCol w:w="109"/>
        <w:gridCol w:w="109"/>
        <w:gridCol w:w="109"/>
        <w:gridCol w:w="211"/>
        <w:gridCol w:w="721"/>
        <w:gridCol w:w="286"/>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80,363 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Gross margin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60.9 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38.5 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60.5 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37.0 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Restructuring costs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gross profit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82,169 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Adjusted gross margin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62.2 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41.6 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61.8 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37.5 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r>
    </w:tbl>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(1)Represent costs incurred for restructuring activities, which include severance costs to impacted employees and third-party consulting costs incurred during the periods presented.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Adjusted Net Loss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loss is a non-GAAP financial measure that we define as net loss adjusted for depreciation and amortization, stock-based compensation expenses, impairment loss, restructuring costs, gain on sale of assets, other (income) expense, net, impairment loss, provision for excess and obsolete inventory associated with Legacy Sema4, gain on debt forgiveness and change in fair market value of warrant and earn-out contingent liabilities. We believe Adjusted net loss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our net loss to Adjusted net loss for the three and six months ended June 30, 2024 and 2023:</w:t>
      </w:r>
    </w:p>
    <w:tbl>
      <w:tblPr>
        <w:tblW w:w="10205" w:type="dxa"/>
        <w:jc w:val="left"/>
        <w:tblInd w:w="0" w:type="dxa"/>
        <w:tblLayout w:type="fixed"/>
        <w:tblCellMar>
          <w:top w:w="28" w:type="dxa"/>
          <w:left w:w="28" w:type="dxa"/>
          <w:bottom w:w="28" w:type="dxa"/>
          <w:right w:w="28" w:type="dxa"/>
        </w:tblCellMar>
      </w:tblPr>
      <w:tblGrid>
        <w:gridCol w:w="1712"/>
        <w:gridCol w:w="1471"/>
        <w:gridCol w:w="1496"/>
        <w:gridCol w:w="211"/>
        <w:gridCol w:w="779"/>
        <w:gridCol w:w="109"/>
        <w:gridCol w:w="109"/>
        <w:gridCol w:w="109"/>
        <w:gridCol w:w="109"/>
        <w:gridCol w:w="211"/>
        <w:gridCol w:w="779"/>
        <w:gridCol w:w="109"/>
        <w:gridCol w:w="109"/>
        <w:gridCol w:w="109"/>
        <w:gridCol w:w="109"/>
        <w:gridCol w:w="211"/>
        <w:gridCol w:w="777"/>
        <w:gridCol w:w="109"/>
        <w:gridCol w:w="109"/>
        <w:gridCol w:w="109"/>
        <w:gridCol w:w="109"/>
        <w:gridCol w:w="211"/>
        <w:gridCol w:w="882"/>
        <w:gridCol w:w="157"/>
      </w:tblGrid>
      <w:tr>
        <w:trPr/>
        <w:tc>
          <w:tcPr>
            <w:tcW w:w="1712"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Impairment loss </w:t>
            </w:r>
            <w:r>
              <w:rPr>
                <w:rFonts w:ascii="Times New Roman;sans-serif" w:hAnsi="Times New Roman;sans-serif"/>
                <w:b w:val="false"/>
                <w:color w:val="000000"/>
                <w:sz w:val="13"/>
              </w:rPr>
              <w:t>(1)</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costs</w:t>
            </w:r>
            <w:r>
              <w:rPr>
                <w:color w:val="000000"/>
              </w:rPr>
              <w:t xml:space="preserve"> </w:t>
            </w:r>
            <w:r>
              <w:rPr>
                <w:rFonts w:ascii="Times New Roman;sans-serif" w:hAnsi="Times New Roman;sans-serif"/>
                <w:b w:val="false"/>
                <w:color w:val="000000"/>
                <w:sz w:val="13"/>
              </w:rPr>
              <w:t>(2)</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Change in fair value of financial liabilities </w:t>
            </w:r>
            <w:r>
              <w:rPr>
                <w:rFonts w:ascii="Times New Roman;sans-serif" w:hAnsi="Times New Roman;sans-serif"/>
                <w:b w:val="false"/>
                <w:color w:val="000000"/>
                <w:sz w:val="13"/>
              </w:rPr>
              <w:t>(3)</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excess and obsolete inventory associated with Legacy Sema4</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Gain on debt forgiveness </w:t>
            </w:r>
            <w:r>
              <w:rPr>
                <w:rFonts w:ascii="Times New Roman;sans-serif" w:hAnsi="Times New Roman;sans-serif"/>
                <w:b w:val="false"/>
                <w:color w:val="000000"/>
                <w:sz w:val="13"/>
              </w:rPr>
              <w:t>(4)</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(5)</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(91,663)</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(1)Represents the impairment of certain capital and right-of-use asset leases.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(2)Represent costs incurred for restructuring activities, which include severance and third-party consulting costs.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(3)Represents the change in fair value of the liabilities associated with our public warrants, private placement warrants, Perceptive Warrant and the earn-out shares.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(4)Represents principal loan forgiveness under the amendment to the DECD loan.</w:t>
      </w:r>
    </w:p>
    <w:p>
      <w:pPr>
        <w:pStyle w:val="TextBody"/>
        <w:bidi w:val="0"/>
        <w:spacing w:lineRule="auto" w:line="288" w:before="0" w:after="180"/>
        <w:ind w:left="0" w:right="0" w:hanging="360"/>
        <w:jc w:val="left"/>
        <w:rPr/>
      </w:pPr>
      <w:r>
        <w:rPr>
          <w:rFonts w:ascii="Times New Roman;sans-serif" w:hAnsi="Times New Roman;sans-serif"/>
          <w:b w:val="false"/>
          <w:color w:val="000000"/>
          <w:sz w:val="16"/>
        </w:rPr>
        <w:t>(5)For the three and six months ended June 30, 2024, represents reserves net of insurance for a certain litigation matter. See Note 9 “</w:t>
      </w:r>
      <w:r>
        <w:rPr>
          <w:rFonts w:ascii="Times New Roman;sans-serif" w:hAnsi="Times New Roman;sans-serif"/>
          <w:b w:val="false"/>
          <w:i/>
          <w:color w:val="000000"/>
          <w:sz w:val="16"/>
        </w:rPr>
        <w:t>Purchase Commitments and Contingencies</w:t>
      </w:r>
      <w:r>
        <w:rPr>
          <w:color w:val="000000"/>
        </w:rPr>
        <w:t xml:space="preserve">” </w:t>
      </w:r>
      <w:r>
        <w:rPr>
          <w:rFonts w:ascii="Times New Roman;sans-serif" w:hAnsi="Times New Roman;sans-serif"/>
          <w:b w:val="false"/>
          <w:color w:val="000000"/>
          <w:sz w:val="16"/>
        </w:rPr>
        <w:t>to</w:t>
      </w:r>
      <w:r>
        <w:rPr>
          <w:color w:val="000000"/>
        </w:rPr>
        <w:t xml:space="preserve"> </w:t>
      </w:r>
      <w:r>
        <w:rPr>
          <w:rFonts w:ascii="Times New Roman;sans-serif" w:hAnsi="Times New Roman;sans-serif"/>
          <w:b w:val="false"/>
          <w:color w:val="000000"/>
          <w:sz w:val="16"/>
        </w:rPr>
        <w:t>our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that our cash and cash equivalents and available-for-sale marketable securities provide us with sufficient liquidity for at least twelve months from the filing date of this Quarterly Report. </w:t>
      </w:r>
    </w:p>
    <w:p>
      <w:pPr>
        <w:pStyle w:val="TextBody"/>
        <w:bidi w:val="0"/>
        <w:spacing w:lineRule="auto" w:line="288" w:before="0" w:after="180"/>
        <w:jc w:val="both"/>
        <w:rPr/>
      </w:pPr>
      <w:r>
        <w:rPr>
          <w:rFonts w:ascii="Times New Roman;sans-serif" w:hAnsi="Times New Roman;sans-serif"/>
          <w:b w:val="false"/>
          <w:color w:val="000000"/>
          <w:sz w:val="20"/>
        </w:rPr>
        <w:t>Accordingly, our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drawing on the additional $25 million tranche of the term loan under the Perceptive term loan facility, the entry into other credit facilities or another form of third-party funding or by seeking other debt financing. See Note 8,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 xml:space="preserve">to our condensed consolidated financial statements for further information regarding the Perceptive term loan facility.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an effective shelf registration statement that we filed with the SEC in August of 2022, registering $300 million shares of our Class A common stock and other securities. As of June 30, 2024, $150 million of securities remained available under this registration statement.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2024, we entered into a sales agreement (the “Sales Agreement”) with TD Securities (USA) LLC (“TD Cowen”), pursuant to which we may, but are not obligated to, offer and sell, from time to time, shares of our Class A common stock with an aggregate offering price up to $75.0 million through TD Cowen, as sales agent, subject to the terms and conditions described in the Sales Agreement and SEC rules and regulations (our “ATM offering”). As of June 30, 2024, no sales of Class A common stock had been made pursuant to this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Material Cash Requirements for Known Contractual Obligations and Commitments</w:t>
      </w:r>
    </w:p>
    <w:p>
      <w:pPr>
        <w:pStyle w:val="TextBody"/>
        <w:bidi w:val="0"/>
        <w:spacing w:lineRule="auto" w:line="288" w:before="0" w:after="180"/>
        <w:jc w:val="both"/>
        <w:rPr/>
      </w:pPr>
      <w:r>
        <w:rPr>
          <w:rFonts w:ascii="Times New Roman;sans-serif" w:hAnsi="Times New Roman;sans-serif"/>
          <w:b w:val="false"/>
          <w:color w:val="000000"/>
          <w:sz w:val="20"/>
        </w:rPr>
        <w:t>We anticipate fulfilling our contractual obligations and commitments with existing cash and cash equivalents and available-for-sale marketable securities, which amounted to $106.9 million at June 30, 2024, through additional capital raised to finance our operations, including pursuant to our ATM offering, or through an additional tranche of $25 million under the Perceptive credit facility, which is subject to certain conditions. See “</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for further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the notes to our condensed consolidated financial statements, in 2022, we entered into a settlement agreement with one of our third-party payors in order to settle the claims related to coverage and billing matters allegedly resulting in overpayments by the payor to Legacy Sema4. Under the settlement agreement, $42 million is to be paid by us to the payor in a series of payments each year through June 30, 2026. In consideration for the payments, the payor provided releases of the disputed claims, effective March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pPr>
      <w:r>
        <w:rPr>
          <w:rFonts w:ascii="Times New Roman;sans-serif" w:hAnsi="Times New Roman;sans-serif"/>
          <w:b w:val="false"/>
          <w:color w:val="000000"/>
          <w:sz w:val="20"/>
        </w:rPr>
        <w:t>For more information regarding this matter, see Note 4, “</w:t>
      </w:r>
      <w:r>
        <w:rPr>
          <w:rFonts w:ascii="Times New Roman;sans-serif" w:hAnsi="Times New Roman;sans-serif"/>
          <w:b w:val="false"/>
          <w:i/>
          <w:color w:val="000000"/>
          <w:sz w:val="20"/>
        </w:rPr>
        <w:t>Revenue Recognition</w:t>
      </w:r>
      <w:r>
        <w:rPr>
          <w:color w:val="000000"/>
        </w:rPr>
        <w:t xml:space="preserve">” </w:t>
      </w:r>
      <w:r>
        <w:rPr>
          <w:rFonts w:ascii="Times New Roman;sans-serif" w:hAnsi="Times New Roman;sans-serif"/>
          <w:b w:val="false"/>
          <w:color w:val="000000"/>
          <w:sz w:val="20"/>
        </w:rPr>
        <w:t>to our consolidated financial statements included in our 2023 Form 10-K and Note 3, “</w:t>
      </w:r>
      <w:r>
        <w:rPr>
          <w:rFonts w:ascii="Times New Roman;sans-serif" w:hAnsi="Times New Roman;sans-serif"/>
          <w:b w:val="false"/>
          <w:i/>
          <w:color w:val="000000"/>
          <w:sz w:val="20"/>
        </w:rPr>
        <w:t>Revenue Recognition,</w:t>
      </w:r>
      <w:r>
        <w:rPr>
          <w:color w:val="000000"/>
        </w:rPr>
        <w:t xml:space="preserve">” </w:t>
      </w:r>
      <w:r>
        <w:rPr>
          <w:rFonts w:ascii="Times New Roman;sans-serif" w:hAnsi="Times New Roman;sans-serif"/>
          <w:b w:val="false"/>
          <w:color w:val="000000"/>
          <w:sz w:val="20"/>
        </w:rPr>
        <w:t xml:space="preserve">to our condensed consolidated financial statements included within this Quarterly Report,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Cash Flows</w:t>
      </w:r>
    </w:p>
    <w:tbl>
      <w:tblPr>
        <w:tblW w:w="6924" w:type="dxa"/>
        <w:jc w:val="left"/>
        <w:tblInd w:w="0" w:type="dxa"/>
        <w:tblLayout w:type="fixed"/>
        <w:tblCellMar>
          <w:top w:w="28" w:type="dxa"/>
          <w:left w:w="28" w:type="dxa"/>
          <w:bottom w:w="28" w:type="dxa"/>
          <w:right w:w="28" w:type="dxa"/>
        </w:tblCellMar>
      </w:tblPr>
      <w:tblGrid>
        <w:gridCol w:w="1525"/>
        <w:gridCol w:w="1343"/>
        <w:gridCol w:w="1347"/>
        <w:gridCol w:w="211"/>
        <w:gridCol w:w="796"/>
        <w:gridCol w:w="109"/>
        <w:gridCol w:w="109"/>
        <w:gridCol w:w="109"/>
        <w:gridCol w:w="109"/>
        <w:gridCol w:w="211"/>
        <w:gridCol w:w="90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during the six months ended June 30, 2024 was $20.9 million, driven by lower cash expenditures associated with the current year period net loss as compared with the prior year period, which reflected improved gross margin profitability, as well as the realization of cost savings from exiting the Legacy Sema4 business and other cost reduction initiatives.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during the six months ended June 30, 2023 was $109.1 million, driven by higher cash expenditures associated with the prior year net loss, which reflected the costs associated with the exiting of the Legacy Sema4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during the six months ended June 30, 2024 was $21.9 million, which included purchases of marketable securities of $29.4 million, partially offset by $9.3 million in proceeds from the sales and maturities of marketable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six months ended June 30, 2023 was $11.7 million, which was primarily attributable to the $12.1 million in consideration on escrow paid for the Legacy GeneDx Acquisition.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six months ended June 30, 2024 was $0.8 million, which reflected finance lease payments.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six months ended June 30, 2023 was $140.0 million, which was primarily driven by the $143.0 million net proceeds from our January 2023 underwritten public offering and concurrent registered direct offering, net of issuance costs, which was offset partially a payment of $2.0 million on the DECD loan and $1.2 million of finance lease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judgments,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pStyle w:val="TextBody"/>
        <w:bidi w:val="0"/>
        <w:spacing w:lineRule="auto" w:line="288" w:before="0" w:after="180"/>
        <w:jc w:val="both"/>
        <w:rPr/>
      </w:pPr>
      <w:r>
        <w:rPr>
          <w:rFonts w:ascii="Times New Roman;sans-serif" w:hAnsi="Times New Roman;sans-serif"/>
          <w:b w:val="false"/>
          <w:color w:val="000000"/>
          <w:sz w:val="20"/>
        </w:rPr>
        <w:t>Our critical accounting policies and estimates are described in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to the consolidated financial statements included in the 2023 Form 10-K. There have been no material changes to our critical accounting policies and estimates in the current period. For further information, 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Filer Status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Loss of Smaller Reporting Company Status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market value of our shares of Class A common stock held by non-affiliates was between $250 million and $700 million as of June 30, 2024 and our revenue for the year ended December 31, 2023 was more than $100 million, we will continue to be deemed an accelerated filer under the Exchange Act as of December 31, 2024. However, we are no longer a “smaller reporting company” and will no longer be eligible to rely on the scaled disclosure exemptions available to smaller reporting companies starting with our first quarterly report on Form 10-Q in 2025.</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JOBS Act Accounting Election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within the meaning of the Jumpstart Our Business Startups Act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until the earliest of (1) September 1, 2025, (2) the last day of the fiscal year in which we have total annual gross revenue of at least $1.235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180"/>
        <w:jc w:val="both"/>
        <w:rPr/>
      </w:pPr>
      <w:r>
        <w:rPr>
          <w:rFonts w:ascii="Times New Roman;sans-serif" w:hAnsi="Times New Roman;sans-serif"/>
          <w:b w:val="false"/>
          <w:color w:val="000000"/>
          <w:sz w:val="20"/>
        </w:rPr>
        <w:t>Additional information on recent accounting pronouncements can be found in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to our consolidated financial statements included within our 2023 Form 10-K, and Note 2,</w:t>
      </w:r>
      <w:r>
        <w:rPr>
          <w:color w:val="000000"/>
        </w:rPr>
        <w:t xml:space="preserve">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These risks primarily relate to interest rates. Our cash, cash equivalents, available-for-sale marketable securities and restricted cash consists of bank deposits and money market funds, which totaled $107.8 million at June 30, 2024 and $131.1 million at December 31, 2023,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100-basis point change in interest rates would not have a material effect on the fair market value of our cash, cash equivalents and restricted cash.</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interest rate risk on our variable rate debt associated with the Perceptive term loan facility. Changes in interest rates can impact future interest payments we are obligated to pay.</w:t>
      </w:r>
    </w:p>
    <w:p>
      <w:pPr>
        <w:pStyle w:val="TextBody"/>
        <w:bidi w:val="0"/>
        <w:spacing w:lineRule="auto" w:line="288" w:before="0" w:after="180"/>
        <w:jc w:val="both"/>
        <w:rPr/>
      </w:pPr>
      <w:r>
        <w:rPr>
          <w:rFonts w:ascii="Times New Roman;sans-serif" w:hAnsi="Times New Roman;sans-serif"/>
          <w:b w:val="false"/>
          <w:color w:val="000000"/>
          <w:sz w:val="20"/>
        </w:rPr>
        <w:t>See Note 8,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to our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Disclosure controls and procedures are designed to ensure that information required to be disclosed in our reports filed or submitted under the Exchange Act is recorded, processed, summarized and reported within the time periods specified in the SEC’s rules and forms. </w:t>
      </w:r>
    </w:p>
    <w:p>
      <w:pPr>
        <w:pStyle w:val="TextBody"/>
        <w:bidi w:val="0"/>
        <w:spacing w:lineRule="auto" w:line="288" w:before="0" w:after="180"/>
        <w:jc w:val="both"/>
        <w:rPr/>
      </w:pPr>
      <w:r>
        <w:rPr>
          <w:rFonts w:ascii="Times New Roman;sans-serif" w:hAnsi="Times New Roman;sans-serif"/>
          <w:b w:val="false"/>
          <w:color w:val="000000"/>
          <w:sz w:val="20"/>
        </w:rPr>
        <w:t>As required by Rules 13a-15 and 15d-15 under the Exchange Act, our Chief Executive Officer and Chief Financial Officer carried out an evaluation of the effectiveness of the design and operation of our disclosure controls and procedures as of June 30, 2024. Based on that evaluation, our Chief Executive Officer and Chief Financial Officer concluded that our disclosure controls and procedures were not effective as of June 30, 2024 because of the material weakness in internal control over financial reporting at December 31, 2023 that we previously identified in Item 9A. “</w:t>
      </w:r>
      <w:r>
        <w:rPr>
          <w:rFonts w:ascii="Times New Roman;sans-serif" w:hAnsi="Times New Roman;sans-serif"/>
          <w:b w:val="false"/>
          <w:i/>
          <w:color w:val="000000"/>
          <w:sz w:val="20"/>
        </w:rPr>
        <w:t>Controls and Procedures</w:t>
      </w:r>
      <w:r>
        <w:rPr>
          <w:color w:val="000000"/>
        </w:rPr>
        <w:t xml:space="preserve">” </w:t>
      </w:r>
      <w:r>
        <w:rPr>
          <w:rFonts w:ascii="Times New Roman;sans-serif" w:hAnsi="Times New Roman;sans-serif"/>
          <w:b w:val="false"/>
          <w:color w:val="000000"/>
          <w:sz w:val="20"/>
        </w:rPr>
        <w:t>of our Annual Report on Form 10-K for the year ended December 31, 2023 had not been fully remediated at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material weakness in internal control over financial reporting, our management has concluded that our condensed consolidated financial statements included in the Quarterly Report on Form 10-Q are fairly stated in all material respects in accordance with accounting principles generally accepted in the United States of America (“U.S. GAAP”).</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Previously Reported Material Weakness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bidi w:val="0"/>
        <w:spacing w:lineRule="auto" w:line="288" w:before="0" w:after="180"/>
        <w:jc w:val="both"/>
        <w:rPr/>
      </w:pPr>
      <w:r>
        <w:rPr>
          <w:rFonts w:ascii="Times New Roman;sans-serif" w:hAnsi="Times New Roman;sans-serif"/>
          <w:b w:val="false"/>
          <w:color w:val="000000"/>
          <w:sz w:val="20"/>
        </w:rPr>
        <w:t>As described in more detail in Item 9A. “</w:t>
      </w:r>
      <w:r>
        <w:rPr>
          <w:rFonts w:ascii="Times New Roman;sans-serif" w:hAnsi="Times New Roman;sans-serif"/>
          <w:b w:val="false"/>
          <w:i/>
          <w:color w:val="000000"/>
          <w:sz w:val="20"/>
        </w:rPr>
        <w:t>Controls and Procedures</w:t>
      </w:r>
      <w:r>
        <w:rPr>
          <w:color w:val="000000"/>
        </w:rPr>
        <w:t xml:space="preserve">” </w:t>
      </w:r>
      <w:r>
        <w:rPr>
          <w:rFonts w:ascii="Times New Roman;sans-serif" w:hAnsi="Times New Roman;sans-serif"/>
          <w:b w:val="false"/>
          <w:color w:val="000000"/>
          <w:sz w:val="20"/>
        </w:rPr>
        <w:t>of our Annual Report on Form 10-K for the year ended December 31, 2023, the material weakness identified related to the fact that our accounting and operating systems lacked controls over access, and program change management that are needed to ensure access to financial data is adequately restricted to appropriate personnel, including consideration of the appropriate segregation of duties. As a result, it is possible that our business process controls that depend on the accuracy and completeness of data or financial reports generated by our information technology system could be adversely affected due to the lack of operating effectiveness of the information technology general controls (“ITGCs”).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Remediation Plan</w:t>
      </w:r>
    </w:p>
    <w:p>
      <w:pPr>
        <w:pStyle w:val="TextBody"/>
        <w:bidi w:val="0"/>
        <w:spacing w:lineRule="auto" w:line="288" w:before="0" w:after="180"/>
        <w:jc w:val="both"/>
        <w:rPr/>
      </w:pPr>
      <w:r>
        <w:rPr>
          <w:rFonts w:ascii="Times New Roman;sans-serif" w:hAnsi="Times New Roman;sans-serif"/>
          <w:b w:val="false"/>
          <w:color w:val="000000"/>
          <w:sz w:val="20"/>
        </w:rPr>
        <w:t>Our management is actively engaged and committed to taking the steps necessary to remediate the material weakness over user access and program change management in order to establish a strong internal control environment. Remediation actions undertaken during 2023 and planned are described in more detail in Item 9A. “</w:t>
      </w:r>
      <w:r>
        <w:rPr>
          <w:rFonts w:ascii="Times New Roman;sans-serif" w:hAnsi="Times New Roman;sans-serif"/>
          <w:b w:val="false"/>
          <w:i/>
          <w:color w:val="000000"/>
          <w:sz w:val="20"/>
        </w:rPr>
        <w:t>Controls and Procedures</w:t>
      </w:r>
      <w:r>
        <w:rPr>
          <w:color w:val="000000"/>
        </w:rPr>
        <w:t xml:space="preserve">” </w:t>
      </w:r>
      <w:r>
        <w:rPr>
          <w:rFonts w:ascii="Times New Roman;sans-serif" w:hAnsi="Times New Roman;sans-serif"/>
          <w:b w:val="false"/>
          <w:color w:val="000000"/>
          <w:sz w:val="20"/>
        </w:rPr>
        <w:t>of our Annual Report on Form 10-K for the year ended December 31, 2023.</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significant progress has been made to strengthen the design and operating effectiveness of our ITGCs, management has concluded that as of June 30, 2024, there was not a sufficient period of time available to sufficiently test nor conclude that enhanced internal controls were fully implemented and operating effectively. We will continue to monitor the effectiveness of ITGC remediation actions in connection with future assessments of the effectiveness of internal control over financial reporting and disclosure controls and procedures. Assessment results will be used to validate the efficacy of our ITGC remediation efforts and identify any additional actions necessary to ensure ongoing design and operating effectiveness. </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that occurred during the six months ended June 30, 2024 covered by this Quarterly Report on Form 10-Q that has materially affected, or is reasonably likely to materially affect, our internal control over financial reporting. We are continuing to take steps to remediate the material weakness in our internal control over financial reporting, as discussed above.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Inherent Limitation on the Effectiveness of Internal Control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20"/>
        <w:jc w:val="both"/>
        <w:rPr/>
      </w:pPr>
      <w:r>
        <w:rPr>
          <w:rFonts w:ascii="Times New Roman;sans-serif" w:hAnsi="Times New Roman;sans-serif"/>
          <w:b w:val="false"/>
          <w:color w:val="000000"/>
          <w:sz w:val="20"/>
        </w:rPr>
        <w:t>Information required under this Item is contained above in Part I. Financial Information, Item 1, Note 9, “</w:t>
      </w:r>
      <w:r>
        <w:rPr>
          <w:rFonts w:ascii="Times New Roman;sans-serif" w:hAnsi="Times New Roman;sans-serif"/>
          <w:b w:val="false"/>
          <w:i/>
          <w:color w:val="000000"/>
          <w:sz w:val="20"/>
        </w:rPr>
        <w:t>Purchase Commitments and Contingencies,</w:t>
      </w:r>
      <w:r>
        <w:rPr>
          <w:color w:val="000000"/>
        </w:rPr>
        <w:t xml:space="preserve">” </w:t>
      </w:r>
      <w:r>
        <w:rPr>
          <w:rFonts w:ascii="Times New Roman;sans-serif" w:hAnsi="Times New Roman;sans-serif"/>
          <w:b w:val="false"/>
          <w:color w:val="000000"/>
          <w:sz w:val="20"/>
        </w:rPr>
        <w:t>included within this Quarterly Report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jc w:val="both"/>
        <w:rPr/>
      </w:pPr>
      <w:r>
        <w:rPr>
          <w:rFonts w:ascii="Times New Roman;sans-serif" w:hAnsi="Times New Roman;sans-serif"/>
          <w:b w:val="false"/>
          <w:color w:val="000000"/>
          <w:sz w:val="20"/>
        </w:rPr>
        <w:t>Except for as set forth below, there have been no material changes in our risk factors from those disclosed in Part I,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of our 2023 Form 10-K and in Part II, Item 1A “Risk Factors” of our Quarterly Report for the quarterly period ended March 31, 2024, filed with the SEC on April 29, 2024, which sections are incorporated by reference herein.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no longer qualify as a “smaller reporting company” and as a result, we will no longer be able to avail ourselves of certain reduced reporting requirements applicable to smaller reporting companies starting with our first quarterly report in 2025.</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take advantage of certain of the scaled disclosures available to smaller reporting companies. However, based on the market value of our Class A common stock held by non-affiliates as of June 30, 2024, we will no longer be eligible to rely on the scaled disclosure exemptions available to smaller reporting companies starting with our quarterly report on Form 10-Q for the quarter ending March 31, 2025.</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the loss of our “smaller reporting company” status and compliance with additional requirements will increase our legal and financial compliance costs. Any failure to comply with additional requirements in a timely manner, or at all, could have an adverse effect on our business and results of operations and could cause a decline in the price of our Class A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Changes in FDA enforcement discretion for laboratory developed tests (“LDTs”) could subject our operations to much more significant regulatory requirements.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offer an LDT version of certain tests. Historically, the FDA has exercised a policy of enforcement discretion with respect to most LDTs, whereby the FDA did not actively enforce its medical device regulatory requirements for such tests. However, at various points in recent years, FDA has indicated that it intends to end enforcement discretion for many tests offered as LDTs, and to require such tests to comply with certain FDA regulatory requirements. The FDA Commissioner and the Director of the Center for Devices and Radiological Health (“CDRH”) have expressed significant concerns regarding performance disparities between some LDTs and in vitro diagnostics that have been reviewed, cleared, authorized or approved by the FDA.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Most recently, on April 29, 2024, the FDA published a final rule on LDTs, in which FDA outlines its plans to end enforcement discretion for many LDTs in five stages over a four-year period. In Phase 1 (effective May 6, 2025), clinical laboratories would be required to comply with medical device (adverse event) reporting, correction/removal reporting, and certain quality systems complaint handling requirements. In Phase 2 (effective May 6, 2026), clinical laboratories would be required to comply with all other device requirements (e.g., registration/listing, labeling, investigational use), except for remaining quality systems requirements and premarket review. In Phase 3 (effective May 6, 2027), clinical laboratories would be required to comply with all remaining applicable quality systems requirements. In Phase 4 (effective November 6, 2027), clinical laboratories would be required to comply with premarket submission requirements for high-risk tests (i.e., tests subject to premarket approval (PMA) requirement). Finally, in Phase 5 (effective May 6, 2028), clinical laboratories would be required comply with premarket submission requirements for moderate- and low-risk tests (i.e., tests subject to de novo or 510(k) requirement). The final rule potentially extends enforcement discretion for certain tests – e.g., LDTs approved by the New York State Department of Health, and LDTs first marketed prior to May 6, 2024 which are not modified or are modified in certain limited ways – from certain FDA regulatory requirements, provided certain important limitations have been met. We are actively reviewing the final rule to evaluate its applicability to our operations, and the extent to which we may be required to modify our operations to comply with its requirements.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May 29, 2024, the American Clinical Laboratory Association filed a lawsuit challenging the FDA’s authority to regulate LDTs as medical devices under the Federal Food, Drug, and Cosmetic Act. The outcome of this lawsuit is uncertain at this time.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FDA were to determine that certain tests offered by us as LDTs are no longer eligible for enforcement discretion for any reason, including new rules, policies or guidance, or due to changes in statute, our tests may become subject to extensive FDA requirements or our business may otherwise be adversely affected. If the FDA were to actively regulate our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de novo submission or approval of a premarket approval application. Furthermore, pending legislative proposals, if enacted, such as the VALID Act, could create new or different regulatory and compliance burdens on us and could have a negative effect on our ability to keep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may limit our indication in a way that is not commercially desirable, or refuse to provide such authorization at all. In addition, if the FDA inspects our laboratory in relation to the marketing of any FDA-authorized test, any enforcement action the FDA takes might not be limited to the FDA-authorized test carried by us and could encompass our other testing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120"/>
        <w:jc w:val="left"/>
        <w:rPr/>
      </w:pPr>
      <w:r>
        <w:rPr>
          <w:rFonts w:ascii="Times New Roman;sans-serif" w:hAnsi="Times New Roman;sans-serif"/>
          <w:b/>
          <w:color w:val="000000"/>
          <w:sz w:val="20"/>
        </w:rPr>
        <w:t>Issuer Purchases of Equity Securitie</w:t>
      </w:r>
      <w:r>
        <w:rPr>
          <w:rFonts w:ascii="Times New Roman;sans-serif" w:hAnsi="Times New Roman;sans-serif"/>
          <w:b w:val="false"/>
          <w:color w:val="000000"/>
          <w:sz w:val="20"/>
        </w:rPr>
        <w: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6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Rule 10b5-1 Plan Adoptions and Modifications</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Supplemental Disclosure to our Annual Report on Form 10-K for the year ended December 31, 2023</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rPr>
        <w:t>The following updates Part I, Item 1.</w:t>
      </w:r>
      <w:r>
        <w:rPr>
          <w:color w:val="000000"/>
        </w:rPr>
        <w:t xml:space="preserve"> “</w:t>
      </w:r>
      <w:r>
        <w:rPr>
          <w:rFonts w:ascii="Times New Roman;sans-serif" w:hAnsi="Times New Roman;sans-serif"/>
          <w:b w:val="false"/>
          <w:i/>
          <w:color w:val="000000"/>
          <w:sz w:val="20"/>
        </w:rPr>
        <w:t xml:space="preserve">Business—Government Regulation—Information Blocking Prohibition” </w:t>
      </w:r>
      <w:r>
        <w:rPr>
          <w:rFonts w:ascii="Times New Roman;sans-serif" w:hAnsi="Times New Roman;sans-serif"/>
          <w:b w:val="false"/>
          <w:color w:val="000000"/>
          <w:sz w:val="20"/>
        </w:rPr>
        <w:t xml:space="preserve">in our 2023 Form 10-K and in Part II, Item 5 </w:t>
      </w:r>
      <w:r>
        <w:rPr>
          <w:color w:val="000000"/>
        </w:rPr>
        <w:t>“</w:t>
      </w:r>
      <w:r>
        <w:rPr>
          <w:rFonts w:ascii="Times New Roman;sans-serif" w:hAnsi="Times New Roman;sans-serif"/>
          <w:b w:val="false"/>
          <w:i/>
          <w:color w:val="000000"/>
          <w:sz w:val="20"/>
        </w:rPr>
        <w:t xml:space="preserve">Supplemental Disclosure to our Annual Report on Form 10-K for the year ended December 31, 2023” </w:t>
      </w:r>
      <w:r>
        <w:rPr>
          <w:rFonts w:ascii="Times New Roman;sans-serif" w:hAnsi="Times New Roman;sans-serif"/>
          <w:b w:val="false"/>
          <w:color w:val="000000"/>
          <w:sz w:val="20"/>
        </w:rPr>
        <w:t>of our Quarterly Report for the quarterly period ended March 31, 2024, filed with the SEC on April 29, 2024:</w:t>
      </w:r>
    </w:p>
    <w:p>
      <w:pPr>
        <w:pStyle w:val="TextBody"/>
        <w:bidi w:val="0"/>
        <w:spacing w:before="0" w:after="0"/>
        <w:jc w:val="left"/>
        <w:rPr/>
      </w:pPr>
      <w:r>
        <w:rPr/>
      </w:r>
    </w:p>
    <w:p>
      <w:pPr>
        <w:pStyle w:val="TextBody"/>
        <w:bidi w:val="0"/>
        <w:spacing w:lineRule="auto" w:line="288" w:before="0" w:after="180"/>
        <w:jc w:val="both"/>
        <w:rPr/>
      </w:pPr>
      <w:r>
        <w:rPr>
          <w:rFonts w:ascii="Times New Roman;sans-serif" w:hAnsi="Times New Roman;sans-serif"/>
          <w:b w:val="false"/>
          <w:color w:val="000000"/>
          <w:sz w:val="20"/>
        </w:rPr>
        <w:t xml:space="preserve">On May 1, 2020, the Office of the National Coordinator for Health Information Technology promulgated final regulations under the authority of the 21st Century Cures Act to impose new conditions to obtain and maintain certification of certified health information technology and prohibit certain covered actors, including developers of certified health information technology, health information networks/health information exchanges, and health care providers, from engaging in activities that are likely to interfere with the access, exchange, or use of electronic health information (information blocking). The final regulations further defined exceptions for activities that are permissible, even though they may have the effect of interfering with the access, exchange, or use of electronic health information. The information blocking regulations compliance date was April 5, 2021 and the HHS subsequently issues a final rule called the HTI-1 Rule that, among other things, revised the information blocking regulations, effective March 11, 2024. HHS recently released a proposed rule call the HTI-2 Proposed Rule that, among other things, will further revise the information blocking regulations, if finalized. Under the 21st Century Cures Act, health care providers that violate the information blocking prohibition will be subject to appropriate disincentives. On July 1, 2024, the HHS published in the Federal Register a final rule to establish such disincentives, effective July 31, 2024. Developers of certified information technology and health information networks/health information exchanges, however, may be subject to civil monetary penalties of up to $1 million per violation (adjusted for inflation). The HHS Office of Inspector General has the authority to impose such penalties and on July 3, 2023, published a final rule in the </w:t>
      </w:r>
      <w:r>
        <w:rPr>
          <w:rFonts w:ascii="Times New Roman;sans-serif" w:hAnsi="Times New Roman;sans-serif"/>
          <w:b w:val="false"/>
          <w:i/>
          <w:color w:val="000000"/>
          <w:sz w:val="20"/>
        </w:rPr>
        <w:t>Federal Register</w:t>
      </w:r>
      <w:r>
        <w:rPr>
          <w:color w:val="000000"/>
        </w:rPr>
        <w:t xml:space="preserve"> </w:t>
      </w:r>
      <w:r>
        <w:rPr>
          <w:rFonts w:ascii="Times New Roman;sans-serif" w:hAnsi="Times New Roman;sans-serif"/>
          <w:b w:val="false"/>
          <w:color w:val="000000"/>
          <w:sz w:val="20"/>
        </w:rPr>
        <w:t>codifying new authority in regulation, which became effective September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333" w:before="0" w:after="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Quarterly Report.</w:t>
      </w:r>
    </w:p>
    <w:tbl>
      <w:tblPr>
        <w:tblW w:w="10205" w:type="dxa"/>
        <w:jc w:val="left"/>
        <w:tblInd w:w="0" w:type="dxa"/>
        <w:tblLayout w:type="fixed"/>
        <w:tblCellMar>
          <w:top w:w="28" w:type="dxa"/>
          <w:left w:w="28" w:type="dxa"/>
          <w:bottom w:w="28" w:type="dxa"/>
          <w:right w:w="28" w:type="dxa"/>
        </w:tblCellMar>
      </w:tblPr>
      <w:tblGrid>
        <w:gridCol w:w="243"/>
        <w:gridCol w:w="193"/>
        <w:gridCol w:w="198"/>
        <w:gridCol w:w="109"/>
        <w:gridCol w:w="109"/>
        <w:gridCol w:w="109"/>
        <w:gridCol w:w="2482"/>
        <w:gridCol w:w="2353"/>
        <w:gridCol w:w="2361"/>
        <w:gridCol w:w="109"/>
        <w:gridCol w:w="109"/>
        <w:gridCol w:w="109"/>
        <w:gridCol w:w="109"/>
        <w:gridCol w:w="109"/>
        <w:gridCol w:w="109"/>
        <w:gridCol w:w="109"/>
        <w:gridCol w:w="109"/>
        <w:gridCol w:w="109"/>
        <w:gridCol w:w="310"/>
        <w:gridCol w:w="310"/>
        <w:gridCol w:w="447"/>
      </w:tblGrid>
      <w:tr>
        <w:trPr/>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color w:val="000000"/>
                <w:sz w:val="18"/>
              </w:rPr>
            </w:pPr>
            <w:r>
              <w:rPr>
                <w:rFonts w:ascii="Times New Roman;sans-serif" w:hAnsi="Times New Roman;sans-serif"/>
                <w:b/>
                <w:color w:val="000000"/>
                <w:sz w:val="18"/>
              </w:rPr>
              <w:t>Description of Exhibit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Filed Herewith</w:t>
            </w:r>
          </w:p>
        </w:tc>
      </w:tr>
      <w:tr>
        <w:trPr/>
        <w:tc>
          <w:tcPr>
            <w:tcW w:w="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11-ceocertificatio.htm">
              <w:r>
                <w:rPr>
                  <w:rStyle w:val="InternetLink"/>
                  <w:rFonts w:ascii="Times New Roman;sans-serif" w:hAnsi="Times New Roman;sans-serif"/>
                  <w:b w:val="false"/>
                  <w:color w:val="0000FF"/>
                  <w:sz w:val="18"/>
                  <w:u w:val="single"/>
                </w:rPr>
                <w:t>Certification of Principal Executive Officer Pursuant to Securities Exchange Act Rules 13a-14(a) and 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12-cfocertificatio.htm">
              <w:r>
                <w:rPr>
                  <w:rStyle w:val="InternetLink"/>
                  <w:rFonts w:ascii="Times New Roman;sans-serif" w:hAnsi="Times New Roman;sans-serif"/>
                  <w:b w:val="false"/>
                  <w:color w:val="0000FF"/>
                  <w:sz w:val="18"/>
                  <w:u w:val="single"/>
                </w:rPr>
                <w:t>Certification of Principal Financial Officer Pursuant to Securities Exchange Act Rules 13a-14(a) and 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21-ceocertificatio.htm">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22-cfocertificatio.htm">
              <w:r>
                <w:rPr>
                  <w:rStyle w:val="InternetLink"/>
                  <w:rFonts w:ascii="Times New Roman;sans-serif" w:hAnsi="Times New Roman;sans-serif"/>
                  <w:b w:val="false"/>
                  <w:color w:val="0000FF"/>
                  <w:sz w:val="18"/>
                  <w:u w:val="single"/>
                </w:rPr>
                <w:t>Certification of Principal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Labels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with applicable taxonomy extension information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tbl>
      <w:tblPr>
        <w:tblW w:w="1322" w:type="dxa"/>
        <w:jc w:val="left"/>
        <w:tblInd w:w="0" w:type="dxa"/>
        <w:tblLayout w:type="fixed"/>
        <w:tblCellMar>
          <w:top w:w="28" w:type="dxa"/>
          <w:left w:w="28" w:type="dxa"/>
          <w:bottom w:w="28" w:type="dxa"/>
          <w:right w:w="28" w:type="dxa"/>
        </w:tblCellMar>
      </w:tblPr>
      <w:tblGrid>
        <w:gridCol w:w="124"/>
        <w:gridCol w:w="109"/>
        <w:gridCol w:w="109"/>
        <w:gridCol w:w="109"/>
        <w:gridCol w:w="255"/>
        <w:gridCol w:w="255"/>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Furnished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333" w:before="0" w:after="180"/>
        <w:jc w:val="left"/>
        <w:rPr/>
      </w:pPr>
      <w:hyperlink w:anchor="ie3e61f193dda41f8a7bdc4927778df77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Securities Exchange Act of 1934, the registrant has duly caused this report to be signed on its behalf by the undersigned, thereunto duly authorized.</w:t>
      </w:r>
    </w:p>
    <w:tbl>
      <w:tblPr>
        <w:tblW w:w="6137"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416"/>
        <w:gridCol w:w="416"/>
        <w:gridCol w:w="416"/>
        <w:gridCol w:w="904"/>
        <w:gridCol w:w="904"/>
        <w:gridCol w:w="131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GENEDX HOLDINGS 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30, 2024</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30, 2024</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Kevin Feeley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Kevin Feeley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180"/>
        <w:jc w:val="center"/>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 Katherine Stueland, certify that: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GeneDx Holdings Corp. (the “registrant”);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3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88"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725"/>
        <w:gridCol w:w="725"/>
        <w:gridCol w:w="102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July 30,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40"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 AS ADOPTED PURSUANT TO</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 Kevin Feeley, certify that: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GeneDx Holdings Corp. (the “registrant”);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3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27"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706"/>
        <w:gridCol w:w="706"/>
        <w:gridCol w:w="100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July 30,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Feeley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Feeley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GeneDx Holdings Corp. (the “registrant”) on Form 10-Q for the quarterly period ended June 30, 2024, as filed with the Securities and Exchange Commission (the “Report”), I, Katherine Stueland, Chief Executive Officer of the registrant, certify, pursuant to 18 U.S.C. §1350, as added by §906 of the Sarbanes-Oxley Act of 2002, that: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3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2.To my knowledge, the information contained in the Report fairly presents, in all material respects, the financial condition and results of operations of the registrant.</w:t>
      </w:r>
    </w:p>
    <w:tbl>
      <w:tblPr>
        <w:tblW w:w="4588"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725"/>
        <w:gridCol w:w="725"/>
        <w:gridCol w:w="102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July 30,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w:t>
            </w:r>
          </w:p>
          <w:p>
            <w:pPr>
              <w:pStyle w:val="TableContents"/>
              <w:bidi w:val="0"/>
              <w:spacing w:lineRule="auto" w:line="240"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180"/>
        <w:jc w:val="left"/>
        <w:rPr/>
      </w:pPr>
      <w:r>
        <w:rPr/>
      </w:r>
    </w:p>
    <w:p>
      <w:pPr>
        <w:pStyle w:val="TextBody"/>
        <w:bidi w:val="0"/>
        <w:spacing w:before="0" w:after="180"/>
        <w:jc w:val="righ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GeneDx Holdings Corp. (the “registrant”) on Form 10-Q for the quarterly period ended June 30, 2024, as filed with the Securities and Exchange Commission (the “Report”), I, Kevin Feeley, Chief Financial Officer of the registrant, certify, pursuant to 18 U.S.C. §1350, as added by §906 of the Sarbanes-Oxley Act of 2002, that: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3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2.To my knowledge, the information contained in the Report fairly presents, in all material respects, the financial condition and results of operations of the registrant.</w:t>
      </w:r>
    </w:p>
    <w:tbl>
      <w:tblPr>
        <w:tblW w:w="4527"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706"/>
        <w:gridCol w:w="706"/>
        <w:gridCol w:w="100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July 30,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Feeley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Feeley</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p>
            <w:pPr>
              <w:pStyle w:val="TableContents"/>
              <w:bidi w:val="0"/>
              <w:spacing w:lineRule="auto" w:line="240"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180"/>
        <w:jc w:val="left"/>
        <w:rPr/>
      </w:pPr>
      <w:r>
        <w:rPr/>
      </w:r>
    </w:p>
    <w:p>
      <w:pPr>
        <w:pStyle w:val="TextBody"/>
        <w:bidi w:val="0"/>
        <w:spacing w:before="0" w:after="180"/>
        <w:jc w:val="right"/>
        <w:rPr/>
      </w:pPr>
      <w:r>
        <w:rPr/>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21957</Words>
  <Characters>122174</Characters>
  <CharactersWithSpaces>142693</CharactersWithSpaces>
  <Paragraphs>2594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