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50831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083175"/>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Stueland Katherine</w:t>
              </w:r>
            </w:hyperlink>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gridSpan w:val="3"/>
          </w:tcPr>
          <w:p>
            <w:pPr>
              <w:ind w:left="60"/>
              <w:spacing w:after="0" w:line="181"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GeneDx Holdings Corp.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WGS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20" w:type="dxa"/>
            <w:vAlign w:val="bottom"/>
            <w:tcBorders>
              <w:top w:val="single" w:sz="8" w:color="0000EE"/>
            </w:tcBorders>
          </w:tcPr>
          <w:p>
            <w:pPr>
              <w:spacing w:after="0"/>
              <w:rPr>
                <w:sz w:val="4"/>
                <w:szCs w:val="4"/>
                <w:color w:val="auto"/>
              </w:rPr>
            </w:pPr>
          </w:p>
        </w:tc>
        <w:tc>
          <w:tcPr>
            <w:tcW w:w="1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800" w:type="dxa"/>
            <w:vAlign w:val="bottom"/>
            <w:tcBorders>
              <w:top w:val="single" w:sz="8" w:color="0000EE"/>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11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2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18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5"/>
                <w:szCs w:val="15"/>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w w:val="98"/>
              </w:rPr>
              <w:t>C/O GENEDX HOLDINGS CORP.</w:t>
            </w:r>
          </w:p>
        </w:tc>
        <w:tc>
          <w:tcPr>
            <w:tcW w:w="1180" w:type="dxa"/>
            <w:vAlign w:val="bottom"/>
          </w:tcPr>
          <w:p>
            <w:pPr>
              <w:spacing w:after="0"/>
              <w:rPr>
                <w:sz w:val="18"/>
                <w:szCs w:val="18"/>
                <w:color w:val="auto"/>
              </w:rPr>
            </w:pPr>
          </w:p>
        </w:tc>
        <w:tc>
          <w:tcPr>
            <w:tcW w:w="218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06/16/2025</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7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LUDLOW ST., NORTH TOWER, 6TH FLOOR</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0"/>
          <w:szCs w:val="20"/>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0"/>
          <w:szCs w:val="20"/>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0"/>
          <w:szCs w:val="20"/>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0"/>
          <w:szCs w:val="20"/>
          <w:color w:val="auto"/>
        </w:rPr>
      </w:pPr>
    </w:p>
    <w:p>
      <w:pPr>
        <w:ind w:left="777"/>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11" w:lineRule="exact"/>
        <w:rPr>
          <w:sz w:val="20"/>
          <w:szCs w:val="20"/>
          <w:color w:val="auto"/>
        </w:rPr>
      </w:pPr>
    </w:p>
    <w:p>
      <w:pPr>
        <w:sectPr>
          <w:pgSz w:w="11900" w:h="16838" w:orient="portrait"/>
          <w:cols w:equalWidth="0" w:num="2">
            <w:col w:w="7660" w:space="63"/>
            <w:col w:w="3357"/>
          </w:cols>
          <w:pgMar w:left="460" w:top="217" w:right="359" w:bottom="1440" w:gutter="0" w:footer="0" w:header="0"/>
          <w:type w:val="continuous"/>
        </w:sectPr>
      </w:pPr>
    </w:p>
    <w:p>
      <w:pPr>
        <w:spacing w:after="0" w:line="206"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CT</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06902</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67" w:lineRule="exact"/>
        <w:rPr>
          <w:sz w:val="20"/>
          <w:szCs w:val="20"/>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4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6"/>
              </w:rPr>
              <w:t>Disposed Of (D) (Instr. 3, 4 and 5)</w:t>
            </w: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2"/>
          </w:tcPr>
          <w:p>
            <w:pPr>
              <w:ind w:left="74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2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76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2"/>
          </w:tcPr>
          <w:p>
            <w:pPr>
              <w:ind w:left="840"/>
              <w:spacing w:after="0"/>
              <w:rPr>
                <w:sz w:val="20"/>
                <w:szCs w:val="20"/>
                <w:color w:val="auto"/>
              </w:rPr>
            </w:pPr>
            <w:r>
              <w:rPr>
                <w:rFonts w:ascii="Times New Roman" w:cs="Times New Roman" w:eastAsia="Times New Roman" w:hAnsi="Times New Roman"/>
                <w:sz w:val="17"/>
                <w:szCs w:val="17"/>
                <w:color w:val="0000FF"/>
              </w:rPr>
              <w:t>06/16/2025</w:t>
            </w:r>
          </w:p>
        </w:tc>
        <w:tc>
          <w:tcPr>
            <w:tcW w:w="1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18,750</w:t>
            </w:r>
          </w:p>
        </w:tc>
        <w:tc>
          <w:tcPr>
            <w:tcW w:w="6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spacing w:after="0" w:line="310"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25,098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2"/>
          </w:tcPr>
          <w:p>
            <w:pPr>
              <w:ind w:left="840"/>
              <w:spacing w:after="0"/>
              <w:rPr>
                <w:sz w:val="20"/>
                <w:szCs w:val="20"/>
                <w:color w:val="auto"/>
              </w:rPr>
            </w:pPr>
            <w:r>
              <w:rPr>
                <w:rFonts w:ascii="Times New Roman" w:cs="Times New Roman" w:eastAsia="Times New Roman" w:hAnsi="Times New Roman"/>
                <w:sz w:val="17"/>
                <w:szCs w:val="17"/>
                <w:color w:val="0000FF"/>
              </w:rPr>
              <w:t>06/16/2025</w:t>
            </w:r>
          </w:p>
        </w:tc>
        <w:tc>
          <w:tcPr>
            <w:tcW w:w="1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10,501</w:t>
            </w:r>
          </w:p>
        </w:tc>
        <w:tc>
          <w:tcPr>
            <w:tcW w:w="6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64.773</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14,597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restart"/>
          </w:tcPr>
          <w:p>
            <w:pPr>
              <w:jc w:val="right"/>
              <w:ind w:right="276"/>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18,750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06/16/2025</w:t>
            </w:r>
          </w:p>
        </w:tc>
        <w:tc>
          <w:tcPr>
            <w:tcW w:w="1140" w:type="dxa"/>
            <w:vAlign w:val="bottom"/>
          </w:tcPr>
          <w:p>
            <w:pPr>
              <w:spacing w:after="0"/>
              <w:rPr>
                <w:sz w:val="5"/>
                <w:szCs w:val="5"/>
                <w:color w:val="auto"/>
              </w:rPr>
            </w:pPr>
          </w:p>
        </w:tc>
        <w:tc>
          <w:tcPr>
            <w:tcW w:w="62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5"/>
                <w:szCs w:val="5"/>
                <w:color w:val="auto"/>
              </w:rPr>
            </w:pPr>
          </w:p>
        </w:tc>
        <w:tc>
          <w:tcPr>
            <w:tcW w:w="840" w:type="dxa"/>
            <w:vAlign w:val="bottom"/>
            <w:vMerge w:val="restart"/>
          </w:tcPr>
          <w:p>
            <w:pPr>
              <w:ind w:left="380"/>
              <w:spacing w:after="0" w:line="142" w:lineRule="exact"/>
              <w:rPr>
                <w:sz w:val="20"/>
                <w:szCs w:val="20"/>
                <w:color w:val="auto"/>
              </w:rPr>
            </w:pPr>
            <w:r>
              <w:rPr>
                <w:rFonts w:ascii="Times New Roman" w:cs="Times New Roman" w:eastAsia="Times New Roman" w:hAnsi="Times New Roman"/>
                <w:sz w:val="13"/>
                <w:szCs w:val="13"/>
                <w:color w:val="0000FF"/>
              </w:rPr>
              <w:t>18,750</w:t>
            </w:r>
          </w:p>
        </w:tc>
        <w:tc>
          <w:tcPr>
            <w:tcW w:w="80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40" w:type="dxa"/>
            <w:vAlign w:val="bottom"/>
            <w:vMerge w:val="restart"/>
          </w:tcPr>
          <w:p>
            <w:pPr>
              <w:ind w:left="2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vMerge w:val="restart"/>
          </w:tcPr>
          <w:p>
            <w:pPr>
              <w:ind w:left="200"/>
              <w:spacing w:after="0" w:line="142" w:lineRule="exact"/>
              <w:rPr>
                <w:sz w:val="20"/>
                <w:szCs w:val="20"/>
                <w:color w:val="auto"/>
              </w:rPr>
            </w:pPr>
            <w:r>
              <w:rPr>
                <w:rFonts w:ascii="Times New Roman" w:cs="Times New Roman" w:eastAsia="Times New Roman" w:hAnsi="Times New Roman"/>
                <w:sz w:val="13"/>
                <w:szCs w:val="13"/>
                <w:color w:val="0000FF"/>
              </w:rPr>
              <w:t>131,250</w:t>
            </w: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Class A Common Stock upon settlement for no consideration.</w:t>
      </w:r>
    </w:p>
    <w:p>
      <w:pPr>
        <w:spacing w:after="0" w:line="44" w:lineRule="exact"/>
        <w:rPr>
          <w:rFonts w:ascii="Times New Roman" w:cs="Times New Roman" w:eastAsia="Times New Roman" w:hAnsi="Times New Roman"/>
          <w:sz w:val="13"/>
          <w:szCs w:val="13"/>
          <w:color w:val="008000"/>
        </w:rPr>
      </w:pPr>
    </w:p>
    <w:p>
      <w:pPr>
        <w:ind w:left="40" w:right="62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6.25% vest in quarterly installments over the 4-year period commencing on March 16, 2023 until fully vested, subject to the Reporting Person's continued service to the Issuer on each vesting date.</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Bridget Brown, Attorney-in- </w:t>
      </w:r>
      <w:r>
        <w:rPr>
          <w:rFonts w:ascii="Times New Roman" w:cs="Times New Roman" w:eastAsia="Times New Roman" w:hAnsi="Times New Roman"/>
          <w:sz w:val="33"/>
          <w:szCs w:val="33"/>
          <w:color w:val="0000FF"/>
          <w:vertAlign w:val="subscript"/>
        </w:rPr>
        <w:t>06/18/2025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493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937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1835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57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89575" TargetMode="External"/><Relationship Id="rId14"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2025-06-18T15:23:02Z</dcterms:created>
  <dcterms:modified xsi:type="dcterms:W3CDTF">2025-06-18T15:23:02Z</dcterms:modified>
</cp:coreProperties>
</file>