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April 25, 2023</w: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 xml:space="preserve">Registration No. 333-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FORM S-8</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REGISTRATION STATEMENT UNDER THE SECURITIES ACT OF 1933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GENEDX HOLDINGS CORP.</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944" w:type="dxa"/>
        <w:jc w:val="center"/>
        <w:tblInd w:w="0" w:type="dxa"/>
        <w:tblCellMar>
          <w:top w:w="28" w:type="dxa"/>
          <w:left w:w="28" w:type="dxa"/>
          <w:bottom w:w="28" w:type="dxa"/>
          <w:right w:w="28" w:type="dxa"/>
        </w:tblCellMar>
      </w:tblPr>
      <w:tblGrid>
        <w:gridCol w:w="898"/>
        <w:gridCol w:w="792"/>
        <w:gridCol w:w="799"/>
        <w:gridCol w:w="424"/>
        <w:gridCol w:w="424"/>
        <w:gridCol w:w="607"/>
      </w:tblGrid>
      <w:tr>
        <w:trPr/>
        <w:tc>
          <w:tcPr>
            <w:tcW w:w="89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85-1966622</w:t>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w:t>
            </w:r>
          </w:p>
          <w:p>
            <w:pPr>
              <w:pStyle w:val="TableContents"/>
              <w:spacing w:lineRule="auto" w:line="240" w:before="0" w:after="30"/>
              <w:jc w:val="center"/>
              <w:rPr>
                <w:rFonts w:ascii="Times New Roman;sans-serif" w:hAnsi="Times New Roman;sans-serif"/>
                <w:b w:val="false"/>
                <w:color w:val="000000"/>
                <w:sz w:val="18"/>
              </w:rPr>
            </w:pPr>
            <w:r>
              <w:rPr>
                <w:rFonts w:ascii="Times New Roman;sans-serif" w:hAnsi="Times New Roman;sans-serif"/>
                <w:b w:val="false"/>
                <w:color w:val="000000"/>
                <w:sz w:val="18"/>
              </w:rPr>
              <w:t>of Incorporation or Organization)</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spacing w:lineRule="auto" w:line="240" w:before="0" w:after="3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GENEDX HOLDINGS CORP. AMENDED AND RESTATED 2021 EQUITY INCENTIVE PLAN</w:t>
      </w:r>
    </w:p>
    <w:p>
      <w:pPr>
        <w:pStyle w:val="TextBody"/>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(Full Title of the Plans)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Katherine Stueland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 6th Floor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(Name and Address of Agent For Service)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(800) 298-6470</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(Telephone Number, including area code, of agent for service)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949" w:type="dxa"/>
        <w:jc w:val="center"/>
        <w:tblInd w:w="0" w:type="dxa"/>
        <w:tblCellMar>
          <w:top w:w="28" w:type="dxa"/>
          <w:left w:w="28" w:type="dxa"/>
          <w:bottom w:w="28" w:type="dxa"/>
          <w:right w:w="28" w:type="dxa"/>
        </w:tblCellMar>
      </w:tblPr>
      <w:tblGrid>
        <w:gridCol w:w="829"/>
        <w:gridCol w:w="731"/>
        <w:gridCol w:w="734"/>
        <w:gridCol w:w="770"/>
        <w:gridCol w:w="770"/>
        <w:gridCol w:w="1115"/>
      </w:tblGrid>
      <w:tr>
        <w:trPr/>
        <w:tc>
          <w:tcPr>
            <w:tcW w:w="829"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r>
      <w:tr>
        <w:trPr/>
        <w:tc>
          <w:tcPr>
            <w:tcW w:w="494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Copies to:</w:t>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Ethan Skerry</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Per B. Chilstrom</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Fenwick &amp; West LLP</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902 Broadway</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New York, New York 10010</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(212) 430-2600</w:t>
            </w:r>
          </w:p>
        </w:tc>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Katherine Stueland</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Chief Executive Officer</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GeneDx Holdings Corp.</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333 Ludlow Street, North Tower</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Stamford, Connecticut 06902</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(800) 298-6470</w:t>
            </w:r>
          </w:p>
        </w:tc>
      </w:tr>
    </w:tbl>
    <w:p>
      <w:pPr>
        <w:pStyle w:val="TextBody"/>
        <w:spacing w:lineRule="auto" w:line="288" w:before="0" w:after="12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49" w:type="dxa"/>
        <w:jc w:val="center"/>
        <w:tblInd w:w="0" w:type="dxa"/>
        <w:tblCellMar>
          <w:top w:w="28" w:type="dxa"/>
          <w:left w:w="28" w:type="dxa"/>
          <w:bottom w:w="28" w:type="dxa"/>
          <w:right w:w="28" w:type="dxa"/>
        </w:tblCellMar>
      </w:tblPr>
      <w:tblGrid>
        <w:gridCol w:w="657"/>
        <w:gridCol w:w="578"/>
        <w:gridCol w:w="580"/>
        <w:gridCol w:w="652"/>
        <w:gridCol w:w="652"/>
        <w:gridCol w:w="930"/>
      </w:tblGrid>
      <w:tr>
        <w:trPr/>
        <w:tc>
          <w:tcPr>
            <w:tcW w:w="657"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pPr>
            <w:r>
              <w:rPr>
                <w:rFonts w:ascii="Times New Roman;sans-serif" w:hAnsi="Times New Roman;sans-serif"/>
                <w:b w:val="false"/>
                <w:color w:val="000000"/>
                <w:sz w:val="18"/>
              </w:rPr>
              <w:t xml:space="preserve">Large accelerated filer </w:t>
            </w:r>
            <w:r>
              <w:rPr>
                <w:rFonts w:ascii="Wingdings;sans-serif" w:hAnsi="Wingdings;sans-serif"/>
                <w:b w:val="false"/>
                <w:color w:val="000000"/>
                <w:sz w:val="18"/>
              </w:rPr>
              <w:t>o</w:t>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pPr>
            <w:r>
              <w:rPr>
                <w:rFonts w:ascii="Times New Roman;sans-serif" w:hAnsi="Times New Roman;sans-serif"/>
                <w:b w:val="false"/>
                <w:color w:val="000000"/>
                <w:sz w:val="18"/>
              </w:rPr>
              <w:t xml:space="preserve">Accelerated filer </w:t>
            </w:r>
            <w:r>
              <w:rPr>
                <w:rFonts w:ascii="Wingdings;sans-serif" w:hAnsi="Wingdings;sans-serif"/>
                <w:b w:val="false"/>
                <w:color w:val="000000"/>
                <w:sz w:val="18"/>
              </w:rPr>
              <w:t>x</w:t>
            </w:r>
          </w:p>
        </w:tc>
      </w:tr>
      <w:tr>
        <w:trPr/>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Non-accelerated filer </w:t>
            </w:r>
            <w:r>
              <w:rPr>
                <w:rFonts w:ascii="Wingdings;sans-serif" w:hAnsi="Wingdings;sans-serif"/>
                <w:b w:val="false"/>
                <w:color w:val="000000"/>
                <w:sz w:val="18"/>
              </w:rPr>
              <w:t>o</w:t>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Smaller reporting company </w:t>
            </w:r>
            <w:r>
              <w:rPr>
                <w:rFonts w:ascii="Wingdings;sans-serif" w:hAnsi="Wingdings;sans-serif"/>
                <w:b w:val="false"/>
                <w:color w:val="000000"/>
                <w:sz w:val="18"/>
              </w:rPr>
              <w:t>x</w:t>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Emerging growth company </w:t>
            </w:r>
            <w:r>
              <w:rPr>
                <w:rFonts w:ascii="Wingdings;sans-serif" w:hAnsi="Wingdings;sans-serif"/>
                <w:b w:val="false"/>
                <w:color w:val="000000"/>
                <w:sz w:val="18"/>
              </w:rPr>
              <w:t>x</w:t>
            </w:r>
          </w:p>
        </w:tc>
      </w:tr>
    </w:tbl>
    <w:p>
      <w:pPr>
        <w:pStyle w:val="TextBody"/>
        <w:spacing w:lineRule="auto" w:line="288" w:before="0" w:after="6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18"/>
        </w:rPr>
        <w:t>o</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53" w:after="30"/>
              <w:jc w:val="center"/>
              <w:rPr/>
            </w:pPr>
            <w:r>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REGISTRATION OF ADDITIONAL SHARES PURSUANT TO GENERAL INSTRUCTION E</w:t>
      </w:r>
    </w:p>
    <w:p>
      <w:pPr>
        <w:pStyle w:val="TextBody"/>
        <w:spacing w:lineRule="auto" w:line="288" w:before="0" w:after="180"/>
        <w:ind w:left="0" w:right="0" w:firstLine="720"/>
        <w:rPr/>
      </w:pPr>
      <w:r>
        <w:rPr>
          <w:rFonts w:ascii="Times New Roman;sans-serif" w:hAnsi="Times New Roman;sans-serif"/>
          <w:b w:val="false"/>
          <w:color w:val="000000"/>
          <w:sz w:val="20"/>
          <w:highlight w:val="white"/>
        </w:rPr>
        <w:t xml:space="preserve">On </w:t>
      </w:r>
      <w:r>
        <w:rPr>
          <w:rFonts w:ascii="Times New Roman;sans-serif" w:hAnsi="Times New Roman;sans-serif"/>
          <w:b w:val="false"/>
          <w:color w:val="000000"/>
          <w:sz w:val="20"/>
        </w:rPr>
        <w:t>April 14, 2023</w:t>
      </w:r>
      <w:r>
        <w:rPr>
          <w:rFonts w:ascii="Times New Roman;sans-serif" w:hAnsi="Times New Roman;sans-serif"/>
          <w:b w:val="false"/>
          <w:color w:val="000000"/>
          <w:sz w:val="20"/>
          <w:highlight w:val="white"/>
        </w:rPr>
        <w:t>, at special meeting of the stockholders of GeneDx Holdings Corp., a Delaware corporation (the “Registrant”), the stockholders of the Registrant approved the adoption of an amendment and restatement of the GeneDx Holdings Corp. 2021 Equity Incentive Plan (as amended and restated, the “Restated 2021 EIP”), which reflects amendments to the plan to increase to the available share reserve by 26,000,000 shares of the Registrant’s Class A common stock, par value $0.0001 per share (the “Class A Common Stock”)</w:t>
      </w:r>
      <w:r>
        <w:rPr>
          <w:rFonts w:ascii="Times New Roman;sans-serif" w:hAnsi="Times New Roman;sans-serif"/>
          <w:b w:val="false"/>
          <w:color w:val="000000"/>
          <w:sz w:val="20"/>
        </w:rPr>
        <w:t>.</w:t>
      </w:r>
    </w:p>
    <w:p>
      <w:pPr>
        <w:pStyle w:val="TextBody"/>
        <w:spacing w:lineRule="auto" w:line="288" w:before="0" w:after="180"/>
        <w:ind w:left="0" w:right="0" w:firstLine="720"/>
        <w:rPr/>
      </w:pPr>
      <w:r>
        <w:rPr>
          <w:rFonts w:ascii="Times New Roman;sans-serif" w:hAnsi="Times New Roman;sans-serif"/>
          <w:b w:val="false"/>
          <w:color w:val="000000"/>
          <w:sz w:val="20"/>
        </w:rPr>
        <w:t xml:space="preserve">Pursuant to General Instruction E of Form S-8, </w:t>
      </w:r>
      <w:r>
        <w:rPr>
          <w:rFonts w:ascii="Times New Roman;sans-serif" w:hAnsi="Times New Roman;sans-serif"/>
          <w:b w:val="false"/>
          <w:color w:val="000000"/>
          <w:sz w:val="20"/>
          <w:highlight w:val="white"/>
        </w:rPr>
        <w:t xml:space="preserve">the Registrant </w:t>
      </w:r>
      <w:r>
        <w:rPr>
          <w:rFonts w:ascii="Times New Roman;sans-serif" w:hAnsi="Times New Roman;sans-serif"/>
          <w:b w:val="false"/>
          <w:color w:val="000000"/>
          <w:sz w:val="20"/>
        </w:rPr>
        <w:t xml:space="preserve">is filing this registration statement on Form S-8 (this “Registration Statement”) with the Securities and Exchange Commission </w:t>
      </w:r>
      <w:r>
        <w:rPr>
          <w:rFonts w:ascii="Times New Roman;sans-serif" w:hAnsi="Times New Roman;sans-serif"/>
          <w:b w:val="false"/>
          <w:color w:val="000000"/>
          <w:sz w:val="20"/>
          <w:highlight w:val="white"/>
        </w:rPr>
        <w:t xml:space="preserve">(the “Commission”) </w:t>
      </w:r>
      <w:r>
        <w:rPr>
          <w:rFonts w:ascii="Times New Roman;sans-serif" w:hAnsi="Times New Roman;sans-serif"/>
          <w:b w:val="false"/>
          <w:color w:val="000000"/>
          <w:sz w:val="20"/>
        </w:rPr>
        <w:t>to register 26,000,000 additional shares of Class A Common Stock available for issuance under the Restated 2021 EIP</w:t>
      </w:r>
      <w:r>
        <w:rPr>
          <w:rFonts w:ascii="Times New Roman;sans-serif" w:hAnsi="Times New Roman;sans-serif"/>
          <w:b w:val="false"/>
          <w:color w:val="000000"/>
          <w:sz w:val="20"/>
          <w:highlight w:val="white"/>
        </w:rPr>
        <w:t>.</w:t>
      </w:r>
    </w:p>
    <w:p>
      <w:pPr>
        <w:pStyle w:val="TextBody"/>
        <w:spacing w:lineRule="auto" w:line="288" w:before="0" w:after="180"/>
        <w:ind w:left="0" w:right="0" w:firstLine="720"/>
        <w:rPr/>
      </w:pPr>
      <w:r>
        <w:rPr>
          <w:rFonts w:ascii="Times New Roman;sans-serif" w:hAnsi="Times New Roman;sans-serif"/>
          <w:b w:val="false"/>
          <w:color w:val="000000"/>
          <w:sz w:val="20"/>
        </w:rPr>
        <w:t>In accordance with General Instruction E of Form S-8, this Registration Statement hereby incorporates by reference the contents of the Registrant’s prior registration statements on Form S-8 filed with the Commission on September 27, 2021 (</w:t>
      </w:r>
      <w:hyperlink r:id="rId2">
        <w:r>
          <w:rPr>
            <w:rStyle w:val="InternetLink"/>
            <w:rFonts w:ascii="Times New Roman;sans-serif" w:hAnsi="Times New Roman;sans-serif"/>
            <w:b w:val="false"/>
            <w:color w:val="0000FF"/>
            <w:sz w:val="20"/>
            <w:u w:val="single"/>
          </w:rPr>
          <w:t>Registration No. 333-259815</w:t>
        </w:r>
      </w:hyperlink>
      <w:r>
        <w:rPr>
          <w:rFonts w:ascii="Times New Roman;sans-serif" w:hAnsi="Times New Roman;sans-serif"/>
          <w:b w:val="false"/>
          <w:color w:val="000000"/>
          <w:sz w:val="20"/>
        </w:rPr>
        <w:t>) (the “First Prior Registration Statement”), January 25, 2022 (</w:t>
      </w:r>
      <w:hyperlink r:id="rId3">
        <w:r>
          <w:rPr>
            <w:rStyle w:val="InternetLink"/>
            <w:rFonts w:ascii="Times New Roman;sans-serif" w:hAnsi="Times New Roman;sans-serif"/>
            <w:b w:val="false"/>
            <w:color w:val="0000FF"/>
            <w:sz w:val="20"/>
            <w:u w:val="single"/>
          </w:rPr>
          <w:t>Registration No. 333-262338</w:t>
        </w:r>
      </w:hyperlink>
      <w:r>
        <w:rPr>
          <w:rFonts w:ascii="Times New Roman;sans-serif" w:hAnsi="Times New Roman;sans-serif"/>
          <w:b w:val="false"/>
          <w:color w:val="000000"/>
          <w:sz w:val="20"/>
        </w:rPr>
        <w:t>) (including the reoffer prospectus contained therein (which reoffer prospectus superseded and replaced the reoffer prospectus contained in the First Prior Registration Statement), the “Second Prior Registration Statement”), and January 9, 2023 (</w:t>
      </w:r>
      <w:hyperlink r:id="rId4">
        <w:r>
          <w:rPr>
            <w:rStyle w:val="InternetLink"/>
            <w:rFonts w:ascii="Times New Roman;sans-serif" w:hAnsi="Times New Roman;sans-serif"/>
            <w:b w:val="false"/>
            <w:color w:val="0000FF"/>
            <w:sz w:val="20"/>
            <w:u w:val="single"/>
          </w:rPr>
          <w:t>Registration No. 333-269165</w:t>
        </w:r>
      </w:hyperlink>
      <w:r>
        <w:rPr>
          <w:rFonts w:ascii="Times New Roman;sans-serif" w:hAnsi="Times New Roman;sans-serif"/>
          <w:b w:val="false"/>
          <w:color w:val="000000"/>
          <w:sz w:val="20"/>
        </w:rPr>
        <w:t>) (the “Third Prior Registration Statement”), except to the extent supplemented, amended or superseded by the information set forth herein.</w:t>
      </w:r>
      <w:r>
        <w:rPr>
          <w:color w:val="00000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Item 3. Incorporation of Documents by Reference.</w:t>
      </w:r>
    </w:p>
    <w:p>
      <w:pPr>
        <w:pStyle w:val="TextBody"/>
        <w:spacing w:lineRule="auto" w:line="288" w:before="0" w:after="180"/>
        <w:ind w:left="0" w:right="0" w:firstLine="720"/>
        <w:rPr/>
      </w:pPr>
      <w:r>
        <w:rPr>
          <w:rFonts w:ascii="Times New Roman;sans-serif" w:hAnsi="Times New Roman;sans-serif"/>
          <w:b w:val="false"/>
          <w:color w:val="000000"/>
          <w:sz w:val="20"/>
          <w:highlight w:val="white"/>
        </w:rPr>
        <w:t xml:space="preserve">The following documents filed by the Registrant with </w:t>
      </w:r>
      <w:r>
        <w:rPr>
          <w:rFonts w:ascii="Times New Roman;sans-serif" w:hAnsi="Times New Roman;sans-serif"/>
          <w:b w:val="false"/>
          <w:color w:val="000000"/>
          <w:sz w:val="20"/>
        </w:rPr>
        <w:t>the Commission</w:t>
      </w:r>
      <w:r>
        <w:rPr>
          <w:color w:val="000000"/>
          <w:highlight w:val="white"/>
        </w:rPr>
        <w:t xml:space="preserve"> </w:t>
      </w:r>
      <w:r>
        <w:rPr>
          <w:rFonts w:ascii="Times New Roman;sans-serif" w:hAnsi="Times New Roman;sans-serif"/>
          <w:b w:val="false"/>
          <w:color w:val="000000"/>
          <w:sz w:val="20"/>
          <w:highlight w:val="white"/>
        </w:rPr>
        <w:t>pursuant to the Securities Act of 1933, as amended (the “Securities Act”), and the Securities Exchange Act of 1934, as amended (the “Exchange Act”), are incorporated herein by reference:</w:t>
      </w:r>
    </w:p>
    <w:p>
      <w:pPr>
        <w:pStyle w:val="TextBody"/>
        <w:spacing w:lineRule="auto" w:line="288" w:before="0" w:after="180"/>
        <w:ind w:left="0" w:right="0" w:hanging="360"/>
        <w:rPr/>
      </w:pPr>
      <w:r>
        <w:rPr>
          <w:rFonts w:ascii="Times New Roman;sans-serif" w:hAnsi="Times New Roman;sans-serif"/>
          <w:b w:val="false"/>
          <w:color w:val="000000"/>
          <w:sz w:val="20"/>
        </w:rPr>
        <w:t xml:space="preserve">(a)the Registrant’s Annual Report on Form 10-K for the fiscal year ended December 31, 2022 (the “2022 Annual Report on Form 10-K”), filed with the Commission on </w:t>
      </w:r>
      <w:hyperlink r:id="rId5">
        <w:r>
          <w:rPr>
            <w:rStyle w:val="InternetLink"/>
            <w:rFonts w:ascii="Times New Roman;sans-serif" w:hAnsi="Times New Roman;sans-serif"/>
            <w:b w:val="false"/>
            <w:color w:val="0000FF"/>
            <w:sz w:val="20"/>
            <w:u w:val="single"/>
          </w:rPr>
          <w:t>March 16, 2023</w:t>
        </w:r>
      </w:hyperlink>
      <w:r>
        <w:rPr>
          <w:rFonts w:ascii="Times New Roman;sans-serif" w:hAnsi="Times New Roman;sans-serif"/>
          <w:b w:val="false"/>
          <w:color w:val="000000"/>
          <w:sz w:val="20"/>
        </w:rPr>
        <w:t>;</w:t>
      </w:r>
    </w:p>
    <w:p>
      <w:pPr>
        <w:pStyle w:val="TextBody"/>
        <w:spacing w:lineRule="auto" w:line="240" w:before="0" w:after="180"/>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highlight w:val="white"/>
        </w:rPr>
        <w:t>the Registrant’s Current Reports on Form 8-K filed with the Commission on </w:t>
      </w:r>
      <w:hyperlink r:id="rId6">
        <w:r>
          <w:rPr>
            <w:rStyle w:val="InternetLink"/>
            <w:rFonts w:ascii="Times New Roman;sans-serif" w:hAnsi="Times New Roman;sans-serif"/>
            <w:b w:val="false"/>
            <w:color w:val="0000FF"/>
            <w:sz w:val="20"/>
            <w:u w:val="single"/>
          </w:rPr>
          <w:t>January 9, 2023</w:t>
        </w:r>
      </w:hyperlink>
      <w:r>
        <w:rPr>
          <w:color w:val="000000"/>
        </w:rPr>
        <w:t xml:space="preserve"> </w:t>
      </w:r>
      <w:r>
        <w:rPr>
          <w:rFonts w:ascii="Times New Roman;sans-serif" w:hAnsi="Times New Roman;sans-serif"/>
          <w:b w:val="false"/>
          <w:color w:val="000000"/>
          <w:sz w:val="20"/>
        </w:rPr>
        <w:t xml:space="preserve">(but only with respect to Item 5.03, and Exhibits 3.1 and 3.2 thereto), </w:t>
      </w:r>
      <w:hyperlink r:id="rId7">
        <w:r>
          <w:rPr>
            <w:rStyle w:val="InternetLink"/>
            <w:rFonts w:ascii="Times New Roman;sans-serif" w:hAnsi="Times New Roman;sans-serif"/>
            <w:b w:val="false"/>
            <w:color w:val="0000FF"/>
            <w:sz w:val="20"/>
            <w:u w:val="single"/>
          </w:rPr>
          <w:t>January 30, 2023</w:t>
        </w:r>
      </w:hyperlink>
      <w:r>
        <w:rPr>
          <w:rFonts w:ascii="Times New Roman;sans-serif" w:hAnsi="Times New Roman;sans-serif"/>
          <w:b w:val="false"/>
          <w:color w:val="000000"/>
          <w:sz w:val="20"/>
        </w:rPr>
        <w:t xml:space="preserve">, </w:t>
      </w:r>
      <w:hyperlink r:id="rId8">
        <w:r>
          <w:rPr>
            <w:rStyle w:val="InternetLink"/>
            <w:rFonts w:ascii="Times New Roman;sans-serif" w:hAnsi="Times New Roman;sans-serif"/>
            <w:b w:val="false"/>
            <w:color w:val="0000FF"/>
            <w:sz w:val="20"/>
            <w:u w:val="single"/>
          </w:rPr>
          <w:t>February 14, 2023</w:t>
        </w:r>
      </w:hyperlink>
      <w:r>
        <w:rPr>
          <w:rFonts w:ascii="Times New Roman;sans-serif" w:hAnsi="Times New Roman;sans-serif"/>
          <w:b w:val="false"/>
          <w:color w:val="000000"/>
          <w:sz w:val="24"/>
        </w:rPr>
        <w:t xml:space="preserve">, </w:t>
      </w:r>
      <w:hyperlink r:id="rId9">
        <w:r>
          <w:rPr>
            <w:rStyle w:val="InternetLink"/>
            <w:rFonts w:ascii="Times New Roman;sans-serif" w:hAnsi="Times New Roman;sans-serif"/>
            <w:b w:val="false"/>
            <w:color w:val="0000FF"/>
            <w:sz w:val="20"/>
            <w:u w:val="single"/>
          </w:rPr>
          <w:t>April 14, 2023</w:t>
        </w:r>
      </w:hyperlink>
      <w:r>
        <w:rPr>
          <w:color w:val="000000"/>
        </w:rPr>
        <w:t xml:space="preserve"> </w:t>
      </w:r>
      <w:r>
        <w:rPr>
          <w:rFonts w:ascii="Times New Roman;sans-serif" w:hAnsi="Times New Roman;sans-serif"/>
          <w:b w:val="false"/>
          <w:color w:val="000000"/>
          <w:sz w:val="20"/>
        </w:rPr>
        <w:t xml:space="preserve">and </w:t>
      </w:r>
      <w:hyperlink r:id="rId10">
        <w:r>
          <w:rPr>
            <w:rStyle w:val="InternetLink"/>
            <w:rFonts w:ascii="Times New Roman;sans-serif" w:hAnsi="Times New Roman;sans-serif"/>
            <w:b w:val="false"/>
            <w:color w:val="0000FF"/>
            <w:sz w:val="20"/>
            <w:u w:val="single"/>
          </w:rPr>
          <w:t>April 17, 2023</w:t>
        </w:r>
      </w:hyperlink>
      <w:r>
        <w:rPr>
          <w:rFonts w:ascii="Times New Roman;sans-serif" w:hAnsi="Times New Roman;sans-serif"/>
          <w:b w:val="false"/>
          <w:color w:val="000000"/>
          <w:sz w:val="20"/>
        </w:rPr>
        <w:t>;</w:t>
      </w:r>
      <w:r>
        <w:rPr>
          <w:color w:val="000000"/>
        </w:rPr>
        <w:t xml:space="preserve"> </w:t>
      </w:r>
    </w:p>
    <w:p>
      <w:pPr>
        <w:pStyle w:val="TextBody"/>
        <w:spacing w:lineRule="auto" w:line="288" w:before="0" w:after="180"/>
        <w:ind w:left="0" w:right="0" w:hanging="360"/>
        <w:rPr/>
      </w:pPr>
      <w:r>
        <w:rPr>
          <w:rFonts w:ascii="Times New Roman;sans-serif" w:hAnsi="Times New Roman;sans-serif"/>
          <w:b w:val="false"/>
          <w:color w:val="000000"/>
          <w:sz w:val="20"/>
        </w:rPr>
        <w:t>(c)</w:t>
      </w:r>
      <w:r>
        <w:rPr>
          <w:rFonts w:ascii="Times New Roman;sans-serif" w:hAnsi="Times New Roman;sans-serif"/>
          <w:b w:val="false"/>
          <w:color w:val="000000"/>
          <w:sz w:val="20"/>
          <w:highlight w:val="white"/>
        </w:rPr>
        <w:t xml:space="preserve">the disclosure set forth in the Registrant’s Definitive Proxy Statement on Schedule 14A filed with the Commission on </w:t>
      </w:r>
      <w:hyperlink r:id="rId11">
        <w:r>
          <w:rPr>
            <w:rStyle w:val="InternetLink"/>
            <w:rFonts w:ascii="Times New Roman;sans-serif" w:hAnsi="Times New Roman;sans-serif"/>
            <w:b w:val="false"/>
            <w:color w:val="0000FF"/>
            <w:sz w:val="20"/>
            <w:highlight w:val="white"/>
            <w:u w:val="single"/>
          </w:rPr>
          <w:t>March 31, 2022</w:t>
        </w:r>
      </w:hyperlink>
      <w:r>
        <w:rPr>
          <w:color w:val="000000"/>
          <w:highlight w:val="white"/>
        </w:rPr>
        <w:t xml:space="preserve"> </w:t>
      </w:r>
      <w:r>
        <w:rPr>
          <w:rFonts w:ascii="Times New Roman;sans-serif" w:hAnsi="Times New Roman;sans-serif"/>
          <w:b w:val="false"/>
          <w:color w:val="000000"/>
          <w:sz w:val="20"/>
          <w:highlight w:val="white"/>
        </w:rPr>
        <w:t xml:space="preserve">in the sections entitled “Executive Compensation” </w:t>
      </w:r>
      <w:r>
        <w:rPr>
          <w:rFonts w:ascii="Times New Roman;sans-serif" w:hAnsi="Times New Roman;sans-serif"/>
          <w:b w:val="false"/>
          <w:color w:val="000000"/>
          <w:sz w:val="20"/>
        </w:rPr>
        <w:t>beginning on page 36 thereof </w:t>
      </w:r>
      <w:r>
        <w:rPr>
          <w:rFonts w:ascii="Times New Roman;sans-serif" w:hAnsi="Times New Roman;sans-serif"/>
          <w:b w:val="false"/>
          <w:color w:val="000000"/>
          <w:sz w:val="20"/>
          <w:highlight w:val="white"/>
        </w:rPr>
        <w:t xml:space="preserve">and “Beneficial Ownership of Securities” beginning on </w:t>
      </w:r>
      <w:r>
        <w:rPr>
          <w:rFonts w:ascii="Times New Roman;sans-serif" w:hAnsi="Times New Roman;sans-serif"/>
          <w:b w:val="false"/>
          <w:color w:val="000000"/>
          <w:sz w:val="20"/>
        </w:rPr>
        <w:t>beginning on page 44 thereof;</w:t>
      </w:r>
      <w:r>
        <w:rPr>
          <w:color w:val="000000"/>
          <w:highlight w:val="white"/>
        </w:rPr>
        <w:t> </w:t>
      </w:r>
      <w:r>
        <w:rPr>
          <w:rFonts w:ascii="Times New Roman;sans-serif" w:hAnsi="Times New Roman;sans-serif"/>
          <w:b w:val="false"/>
          <w:color w:val="000000"/>
          <w:sz w:val="20"/>
        </w:rPr>
        <w:t>and</w:t>
      </w:r>
    </w:p>
    <w:p>
      <w:pPr>
        <w:pStyle w:val="TextBody"/>
        <w:spacing w:lineRule="auto" w:line="288" w:before="0" w:after="180"/>
        <w:ind w:left="0" w:right="0" w:hanging="360"/>
        <w:rPr/>
      </w:pPr>
      <w:r>
        <w:rPr>
          <w:rFonts w:ascii="Times New Roman;sans-serif" w:hAnsi="Times New Roman;sans-serif"/>
          <w:b w:val="false"/>
          <w:color w:val="000000"/>
          <w:sz w:val="20"/>
        </w:rPr>
        <w:t>(d)</w:t>
      </w:r>
      <w:r>
        <w:rPr>
          <w:rFonts w:ascii="Times New Roman;sans-serif" w:hAnsi="Times New Roman;sans-serif"/>
          <w:b w:val="false"/>
          <w:color w:val="000000"/>
          <w:sz w:val="20"/>
          <w:highlight w:val="white"/>
        </w:rPr>
        <w:t xml:space="preserve">the description of </w:t>
      </w:r>
      <w:r>
        <w:rPr>
          <w:color w:val="000000"/>
        </w:rPr>
        <w:t> </w:t>
      </w:r>
      <w:r>
        <w:rPr>
          <w:rFonts w:ascii="Times New Roman;sans-serif" w:hAnsi="Times New Roman;sans-serif"/>
          <w:b w:val="false"/>
          <w:color w:val="000000"/>
          <w:sz w:val="20"/>
        </w:rPr>
        <w:t xml:space="preserve">the Registrant’s </w:t>
      </w:r>
      <w:r>
        <w:rPr>
          <w:rFonts w:ascii="Times New Roman;sans-serif" w:hAnsi="Times New Roman;sans-serif"/>
          <w:b w:val="false"/>
          <w:color w:val="000000"/>
          <w:sz w:val="20"/>
          <w:highlight w:val="white"/>
        </w:rPr>
        <w:t xml:space="preserve">Class A Common Stock contained in </w:t>
      </w:r>
      <w:r>
        <w:rPr>
          <w:rFonts w:ascii="Times New Roman;sans-serif" w:hAnsi="Times New Roman;sans-serif"/>
          <w:b w:val="false"/>
          <w:color w:val="000000"/>
          <w:sz w:val="20"/>
        </w:rPr>
        <w:t>the Registrant’s</w:t>
      </w:r>
      <w:r>
        <w:rPr>
          <w:color w:val="000000"/>
          <w:highlight w:val="white"/>
        </w:rPr>
        <w:t xml:space="preserve"> </w:t>
      </w:r>
      <w:r>
        <w:rPr>
          <w:rFonts w:ascii="Times New Roman;sans-serif" w:hAnsi="Times New Roman;sans-serif"/>
          <w:b w:val="false"/>
          <w:color w:val="000000"/>
          <w:sz w:val="20"/>
          <w:highlight w:val="white"/>
        </w:rPr>
        <w:t>Registration Statement on </w:t>
      </w:r>
      <w:hyperlink r:id="rId12">
        <w:r>
          <w:rPr>
            <w:rStyle w:val="InternetLink"/>
            <w:rFonts w:ascii="Times New Roman;sans-serif" w:hAnsi="Times New Roman;sans-serif"/>
            <w:b w:val="false"/>
            <w:color w:val="0000FF"/>
            <w:sz w:val="20"/>
            <w:highlight w:val="white"/>
            <w:u w:val="single"/>
          </w:rPr>
          <w:t>Form 8-A</w:t>
        </w:r>
      </w:hyperlink>
      <w:r>
        <w:rPr>
          <w:color w:val="000000"/>
          <w:highlight w:val="white"/>
        </w:rPr>
        <w:t> </w:t>
      </w:r>
      <w:r>
        <w:rPr>
          <w:rFonts w:ascii="Times New Roman;sans-serif" w:hAnsi="Times New Roman;sans-serif"/>
          <w:b w:val="false"/>
          <w:color w:val="000000"/>
          <w:sz w:val="20"/>
          <w:highlight w:val="white"/>
        </w:rPr>
        <w:t xml:space="preserve">filed with the Commission on August 31, 2020, as updated by the description of </w:t>
      </w:r>
      <w:r>
        <w:rPr>
          <w:rFonts w:ascii="Times New Roman;sans-serif" w:hAnsi="Times New Roman;sans-serif"/>
          <w:b w:val="false"/>
          <w:color w:val="000000"/>
          <w:sz w:val="20"/>
        </w:rPr>
        <w:t>the Registrant’s</w:t>
      </w:r>
      <w:r>
        <w:rPr>
          <w:color w:val="000000"/>
          <w:highlight w:val="white"/>
        </w:rPr>
        <w:t xml:space="preserve"> </w:t>
      </w:r>
      <w:r>
        <w:rPr>
          <w:rFonts w:ascii="Times New Roman;sans-serif" w:hAnsi="Times New Roman;sans-serif"/>
          <w:b w:val="false"/>
          <w:color w:val="000000"/>
          <w:sz w:val="20"/>
          <w:highlight w:val="white"/>
        </w:rPr>
        <w:t xml:space="preserve">Class A Common Stock contained in Exhibit 4.4 to the Registrant’s </w:t>
      </w:r>
      <w:r>
        <w:rPr>
          <w:rFonts w:ascii="Times New Roman;sans-serif" w:hAnsi="Times New Roman;sans-serif"/>
          <w:b w:val="false"/>
          <w:color w:val="000000"/>
          <w:sz w:val="20"/>
        </w:rPr>
        <w:t xml:space="preserve">2022 Annual Report on </w:t>
      </w:r>
      <w:hyperlink r:id="rId13">
        <w:r>
          <w:rPr>
            <w:rStyle w:val="InternetLink"/>
            <w:rFonts w:ascii="Times New Roman;sans-serif" w:hAnsi="Times New Roman;sans-serif"/>
            <w:b w:val="false"/>
            <w:color w:val="0000FF"/>
            <w:sz w:val="20"/>
            <w:highlight w:val="white"/>
            <w:u w:val="single"/>
          </w:rPr>
          <w:t>Form 10-K</w:t>
        </w:r>
      </w:hyperlink>
      <w:r>
        <w:rPr>
          <w:rFonts w:ascii="Times New Roman;sans-serif" w:hAnsi="Times New Roman;sans-serif"/>
          <w:b w:val="false"/>
          <w:color w:val="000000"/>
          <w:sz w:val="20"/>
          <w:highlight w:val="white"/>
        </w:rPr>
        <w:t>, including any subsequent amendments or reports filed for the purpose of updating such description.</w:t>
      </w:r>
    </w:p>
    <w:p>
      <w:pPr>
        <w:pStyle w:val="TextBody"/>
        <w:spacing w:lineRule="auto" w:line="288" w:before="0" w:after="18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pStyle w:val="TextBody"/>
        <w:spacing w:lineRule="auto" w:line="288" w:before="0" w:after="18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 Registration Statement.</w:t>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8. Exhibits. </w:t>
      </w:r>
    </w:p>
    <w:tbl>
      <w:tblPr>
        <w:tblW w:w="10205" w:type="dxa"/>
        <w:jc w:val="center"/>
        <w:tblInd w:w="0" w:type="dxa"/>
        <w:tblCellMar>
          <w:top w:w="28" w:type="dxa"/>
          <w:left w:w="28" w:type="dxa"/>
          <w:bottom w:w="28" w:type="dxa"/>
          <w:right w:w="28" w:type="dxa"/>
        </w:tblCellMar>
      </w:tblPr>
      <w:tblGrid>
        <w:gridCol w:w="255"/>
        <w:gridCol w:w="225"/>
        <w:gridCol w:w="226"/>
        <w:gridCol w:w="109"/>
        <w:gridCol w:w="109"/>
        <w:gridCol w:w="109"/>
        <w:gridCol w:w="1392"/>
        <w:gridCol w:w="1307"/>
        <w:gridCol w:w="1313"/>
        <w:gridCol w:w="109"/>
        <w:gridCol w:w="109"/>
        <w:gridCol w:w="109"/>
        <w:gridCol w:w="170"/>
        <w:gridCol w:w="170"/>
        <w:gridCol w:w="171"/>
        <w:gridCol w:w="109"/>
        <w:gridCol w:w="109"/>
        <w:gridCol w:w="109"/>
        <w:gridCol w:w="249"/>
        <w:gridCol w:w="238"/>
        <w:gridCol w:w="189"/>
        <w:gridCol w:w="109"/>
        <w:gridCol w:w="109"/>
        <w:gridCol w:w="109"/>
        <w:gridCol w:w="210"/>
        <w:gridCol w:w="210"/>
        <w:gridCol w:w="211"/>
        <w:gridCol w:w="109"/>
        <w:gridCol w:w="109"/>
        <w:gridCol w:w="109"/>
        <w:gridCol w:w="348"/>
        <w:gridCol w:w="263"/>
        <w:gridCol w:w="265"/>
        <w:gridCol w:w="109"/>
        <w:gridCol w:w="109"/>
        <w:gridCol w:w="109"/>
        <w:gridCol w:w="242"/>
        <w:gridCol w:w="242"/>
        <w:gridCol w:w="347"/>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16"/>
              </w:rPr>
            </w:pPr>
            <w:r>
              <w:rPr>
                <w:rFonts w:ascii="Times New Roman;sans-serif" w:hAnsi="Times New Roman;sans-serif"/>
                <w:b/>
                <w:color w:val="000000"/>
                <w:sz w:val="16"/>
              </w:rPr>
              <w:t>Filed</w:t>
            </w:r>
          </w:p>
          <w:p>
            <w:pPr>
              <w:pStyle w:val="TableContents"/>
              <w:spacing w:lineRule="auto" w:line="240" w:before="0" w:after="30"/>
              <w:jc w:val="center"/>
              <w:rPr>
                <w:rFonts w:ascii="Times New Roman;sans-serif" w:hAnsi="Times New Roman;sans-serif"/>
                <w:b/>
                <w:color w:val="000000"/>
                <w:sz w:val="16"/>
              </w:rPr>
            </w:pPr>
            <w:r>
              <w:rPr>
                <w:rFonts w:ascii="Times New Roman;sans-serif" w:hAnsi="Times New Roman;sans-serif"/>
                <w:b/>
                <w:color w:val="000000"/>
                <w:sz w:val="16"/>
              </w:rPr>
              <w:t>Herewith</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40" w:before="0" w:after="3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18"/>
                  <w:u w:val="single"/>
                </w:rPr>
                <w:t>Third Amended and Restated Certificate of Incorporation of GeneDx Holdings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18"/>
                  <w:u w:val="single"/>
                </w:rPr>
                <w:t>First Certificate of Amendment to the Third Amended and Restated Certificate of Incorporation of GeneDx Holdings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18"/>
                  <w:u w:val="single"/>
                </w:rPr>
                <w:t>Second Certificate of Amendment to the Third Amended and Restated Certificate of Incorporation of GeneDx Holdings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18"/>
                  <w:u w:val="single"/>
                </w:rPr>
                <w:t>Third Certificate of Amendment to the Third Amended and Restated Certificate of Incorporation of GeneDx Holdings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17,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18"/>
                  <w:u w:val="single"/>
                </w:rPr>
                <w:t>Amended and Restated Bylaws of GeneDx Holdings Corp., as currently in effect.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51-sx8.htm">
              <w:r>
                <w:rPr>
                  <w:rStyle w:val="InternetLink"/>
                  <w:rFonts w:ascii="Times New Roman;sans-serif" w:hAnsi="Times New Roman;sans-serif"/>
                  <w:b w:val="false"/>
                  <w:color w:val="0000FF"/>
                  <w:sz w:val="18"/>
                  <w:u w:val="single"/>
                </w:rPr>
                <w:t>Opinion of Fenwick &amp; West LLP.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sx8.htm">
              <w:r>
                <w:rPr>
                  <w:rStyle w:val="InternetLink"/>
                  <w:rFonts w:ascii="Times New Roman;sans-serif" w:hAnsi="Times New Roman;sans-serif"/>
                  <w:b w:val="false"/>
                  <w:color w:val="0000FF"/>
                  <w:sz w:val="18"/>
                  <w:u w:val="single"/>
                </w:rPr>
                <w:t>Consent of Ernst &amp; Young LLP, Independent Registered Public Accounting Firm for GeneDx Holdings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51-sx8.htm">
              <w:r>
                <w:rPr>
                  <w:rStyle w:val="InternetLink"/>
                  <w:rFonts w:ascii="Times New Roman;sans-serif" w:hAnsi="Times New Roman;sans-serif"/>
                  <w:b w:val="false"/>
                  <w:color w:val="0000FF"/>
                  <w:sz w:val="18"/>
                  <w:u w:val="single"/>
                </w:rPr>
                <w:t>Consent of Fenwick &amp; West LLP (contained in Exhibit 5.1).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81389faba3a41c0bde8ab5496e0bcf3_72">
              <w:r>
                <w:rPr>
                  <w:rStyle w:val="InternetLink"/>
                  <w:rFonts w:ascii="Times New Roman;sans-serif" w:hAnsi="Times New Roman;sans-serif"/>
                  <w:b w:val="false"/>
                  <w:color w:val="0000FF"/>
                  <w:sz w:val="18"/>
                  <w:u w:val="single"/>
                </w:rPr>
                <w:t>Power of Attorney (included on the signature page of this Registration Statement).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18"/>
                  <w:u w:val="single"/>
                </w:rPr>
                <w:t>GeneDx Holdings Corp. Amended and Restated 2021 Equity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17,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Pr>
                <w:t>Form</w:t>
              </w:r>
            </w:hyperlink>
            <w:hyperlink r:id="rId21">
              <w:r>
                <w:rPr>
                  <w:rStyle w:val="InternetLink"/>
                </w:rPr>
                <w:t xml:space="preserve"> </w:t>
              </w:r>
            </w:hyperlink>
            <w:hyperlink r:id="rId22">
              <w:r>
                <w:rPr>
                  <w:rStyle w:val="InternetLink"/>
                </w:rPr>
                <w:t xml:space="preserve">of Stock Option Agreement under the GeneDx Holdings Corp. Amended and Restated 2021 Equity Incentive </w:t>
              </w:r>
            </w:hyperlink>
            <w:hyperlink r:id="rId23">
              <w:r>
                <w:rPr>
                  <w:rStyle w:val="InternetLink"/>
                </w:rPr>
                <w:t>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Pr>
                <w:t>Form</w:t>
              </w:r>
            </w:hyperlink>
            <w:hyperlink r:id="rId25">
              <w:r>
                <w:rPr>
                  <w:rStyle w:val="InternetLink"/>
                </w:rPr>
                <w:t xml:space="preserve"> </w:t>
              </w:r>
            </w:hyperlink>
            <w:hyperlink r:id="rId26">
              <w:r>
                <w:rPr>
                  <w:rStyle w:val="InternetLink"/>
                </w:rPr>
                <w:t xml:space="preserve">of </w:t>
              </w:r>
            </w:hyperlink>
            <w:hyperlink r:id="rId27">
              <w:r>
                <w:rPr>
                  <w:rStyle w:val="InternetLink"/>
                </w:rPr>
                <w:t xml:space="preserve">RSU Agreement under the GeneDx Holdings Corp. Amended and Restated 2021 Equity Incentive </w:t>
              </w:r>
            </w:hyperlink>
            <w:hyperlink r:id="rId28">
              <w:r>
                <w:rPr>
                  <w:rStyle w:val="InternetLink"/>
                </w:rPr>
                <w:t>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7-sx8.htm">
              <w:r>
                <w:rPr>
                  <w:rStyle w:val="InternetLink"/>
                  <w:rFonts w:ascii="Times New Roman;sans-serif" w:hAnsi="Times New Roman;sans-serif"/>
                  <w:b w:val="false"/>
                  <w:color w:val="0000FF"/>
                  <w:sz w:val="18"/>
                  <w:u w:val="single"/>
                </w:rPr>
                <w:t>Filing Fee Table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Stamford, State of Connecticut, on the 25th day of April, 2023.</w:t>
      </w:r>
    </w:p>
    <w:tbl>
      <w:tblPr>
        <w:tblW w:w="3358" w:type="dxa"/>
        <w:jc w:val="right"/>
        <w:tblInd w:w="0" w:type="dxa"/>
        <w:tblCellMar>
          <w:top w:w="28" w:type="dxa"/>
          <w:left w:w="28" w:type="dxa"/>
          <w:bottom w:w="28" w:type="dxa"/>
          <w:right w:w="28" w:type="dxa"/>
        </w:tblCellMar>
      </w:tblPr>
      <w:tblGrid>
        <w:gridCol w:w="467"/>
        <w:gridCol w:w="411"/>
        <w:gridCol w:w="411"/>
        <w:gridCol w:w="604"/>
        <w:gridCol w:w="604"/>
        <w:gridCol w:w="861"/>
      </w:tblGrid>
      <w:tr>
        <w:trPr/>
        <w:tc>
          <w:tcPr>
            <w:tcW w:w="46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335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pPr>
            <w:r>
              <w:rPr>
                <w:rFonts w:ascii="Times New Roman;sans-serif" w:hAnsi="Times New Roman;sans-serif"/>
                <w:b w:val="false"/>
                <w:i/>
                <w:color w:val="000000"/>
                <w:sz w:val="20"/>
              </w:rPr>
              <w:t xml:space="preserve">/s/ </w:t>
            </w:r>
            <w:r>
              <w:rPr>
                <w:rFonts w:ascii="Times New Roman;sans-serif" w:hAnsi="Times New Roman;sans-serif"/>
                <w:b w:val="false"/>
                <w:color w:val="000000"/>
                <w:sz w:val="20"/>
              </w:rPr>
              <w:t>Katherine Stueland</w:t>
            </w:r>
          </w:p>
        </w:tc>
      </w:tr>
      <w:tr>
        <w:trPr/>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180"/>
        <w:jc w:val="righ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hereby constitutes and appoints Katherine Stueland and Jason Ryan,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this Registration Statement has been signed by the following persons on behalf of the Registrant in the capacities and on the dates indicated.</w:t>
      </w:r>
    </w:p>
    <w:tbl>
      <w:tblPr>
        <w:tblW w:w="9533" w:type="dxa"/>
        <w:jc w:val="center"/>
        <w:tblInd w:w="0" w:type="dxa"/>
        <w:tblCellMar>
          <w:top w:w="28" w:type="dxa"/>
          <w:left w:w="28" w:type="dxa"/>
          <w:bottom w:w="28" w:type="dxa"/>
          <w:right w:w="28" w:type="dxa"/>
        </w:tblCellMar>
      </w:tblPr>
      <w:tblGrid>
        <w:gridCol w:w="840"/>
        <w:gridCol w:w="740"/>
        <w:gridCol w:w="745"/>
        <w:gridCol w:w="109"/>
        <w:gridCol w:w="109"/>
        <w:gridCol w:w="109"/>
        <w:gridCol w:w="1692"/>
        <w:gridCol w:w="1692"/>
        <w:gridCol w:w="1715"/>
        <w:gridCol w:w="109"/>
        <w:gridCol w:w="109"/>
        <w:gridCol w:w="109"/>
        <w:gridCol w:w="423"/>
        <w:gridCol w:w="423"/>
        <w:gridCol w:w="609"/>
      </w:tblGrid>
      <w:tr>
        <w:trPr/>
        <w:tc>
          <w:tcPr>
            <w:tcW w:w="8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spacing w:lineRule="auto" w:line="240" w:before="0" w:after="3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40" w:before="0" w:after="3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&amp; Principal Accounting Officer</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/s/ Jason Ryan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Chairman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/s/ Joshua Ruch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53" w:after="3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/s/ Dennis Charney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Charney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Eli D. Casdin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D. Casdin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Emily Leproust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43" w:after="30"/>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Meister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Meister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53" w:after="30"/>
              <w:jc w:val="center"/>
              <w:rPr/>
            </w:pPr>
            <w:r>
              <w:rPr/>
            </w:r>
          </w:p>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53" w:after="30"/>
              <w:jc w:val="center"/>
              <w:rPr/>
            </w:pPr>
            <w:r>
              <w:rPr/>
            </w:r>
          </w:p>
          <w:p>
            <w:pPr>
              <w:pStyle w:val="TableContents"/>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April [24], 2023</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C. Pfenniger,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C. Pfenniger,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Rachel Sherman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r>
      <w:tr>
        <w:trPr/>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Rachel Sherman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107</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spacing w:lineRule="auto" w:line="288" w:before="0" w:after="3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10205" w:type="dxa"/>
        <w:jc w:val="left"/>
        <w:tblInd w:w="0" w:type="dxa"/>
        <w:tblCellMar>
          <w:top w:w="28" w:type="dxa"/>
          <w:left w:w="28" w:type="dxa"/>
          <w:bottom w:w="28" w:type="dxa"/>
          <w:right w:w="28" w:type="dxa"/>
        </w:tblCellMar>
      </w:tblPr>
      <w:tblGrid>
        <w:gridCol w:w="324"/>
        <w:gridCol w:w="285"/>
        <w:gridCol w:w="286"/>
        <w:gridCol w:w="440"/>
        <w:gridCol w:w="440"/>
        <w:gridCol w:w="442"/>
        <w:gridCol w:w="430"/>
        <w:gridCol w:w="430"/>
        <w:gridCol w:w="432"/>
        <w:gridCol w:w="416"/>
        <w:gridCol w:w="391"/>
        <w:gridCol w:w="392"/>
        <w:gridCol w:w="477"/>
        <w:gridCol w:w="477"/>
        <w:gridCol w:w="478"/>
        <w:gridCol w:w="693"/>
        <w:gridCol w:w="438"/>
        <w:gridCol w:w="439"/>
        <w:gridCol w:w="364"/>
        <w:gridCol w:w="364"/>
        <w:gridCol w:w="368"/>
        <w:gridCol w:w="406"/>
        <w:gridCol w:w="406"/>
        <w:gridCol w:w="587"/>
      </w:tblGrid>
      <w:tr>
        <w:trPr/>
        <w:tc>
          <w:tcPr>
            <w:tcW w:w="32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r>
      <w:tr>
        <w:trPr/>
        <w:tc>
          <w:tcPr>
            <w:tcW w:w="10205" w:type="dxa"/>
            <w:gridSpan w:val="24"/>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1 - Newly Registered Securities</w:t>
            </w:r>
          </w:p>
        </w:tc>
      </w:tr>
      <w:tr>
        <w:trPr/>
        <w:tc>
          <w:tcPr>
            <w:tcW w:w="89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 Type</w:t>
            </w:r>
          </w:p>
        </w:tc>
        <w:tc>
          <w:tcPr>
            <w:tcW w:w="132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 Class Title</w:t>
            </w:r>
          </w:p>
        </w:tc>
        <w:tc>
          <w:tcPr>
            <w:tcW w:w="12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Calculation Rule</w:t>
            </w:r>
          </w:p>
        </w:tc>
        <w:tc>
          <w:tcPr>
            <w:tcW w:w="11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Amount Registered</w:t>
            </w:r>
            <w:r>
              <w:rPr>
                <w:rFonts w:ascii="Times New Roman;sans-serif" w:hAnsi="Times New Roman;sans-serif"/>
                <w:b/>
                <w:color w:val="000000"/>
                <w:sz w:val="13"/>
              </w:rPr>
              <w:t>(1)</w:t>
            </w:r>
          </w:p>
        </w:tc>
        <w:tc>
          <w:tcPr>
            <w:tcW w:w="143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Proposed Maximum Offering Price Per Share</w:t>
            </w:r>
          </w:p>
        </w:tc>
        <w:tc>
          <w:tcPr>
            <w:tcW w:w="15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Aggregate Offering Price</w:t>
            </w:r>
          </w:p>
        </w:tc>
        <w:tc>
          <w:tcPr>
            <w:tcW w:w="109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Rate</w:t>
            </w:r>
          </w:p>
        </w:tc>
        <w:tc>
          <w:tcPr>
            <w:tcW w:w="13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of Registration Fee</w:t>
            </w:r>
          </w:p>
        </w:tc>
      </w:tr>
      <w:tr>
        <w:trPr/>
        <w:tc>
          <w:tcPr>
            <w:tcW w:w="895" w:type="dxa"/>
            <w:gridSpan w:val="3"/>
            <w:tcBorders>
              <w:top w:val="single" w:sz="8" w:space="0" w:color="000000"/>
              <w:left w:val="single" w:sz="8" w:space="0" w:color="000000"/>
            </w:tcBorders>
            <w:shd w:fill="auto" w:val="clear"/>
            <w:tcMar>
              <w:top w:w="30" w:type="dxa"/>
              <w:left w:w="47"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322" w:type="dxa"/>
            <w:gridSpan w:val="3"/>
            <w:tcBorders>
              <w:top w:val="single" w:sz="8" w:space="0" w:color="000000"/>
              <w:left w:val="single" w:sz="8" w:space="0" w:color="000000"/>
              <w:bottom w:val="single" w:sz="8" w:space="0" w:color="000000"/>
            </w:tcBorders>
            <w:shd w:fill="auto" w:val="clear"/>
            <w:tcMar>
              <w:top w:w="30" w:type="dxa"/>
              <w:left w:w="47"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29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 457(c) and Rule 457(h)</w:t>
            </w:r>
          </w:p>
        </w:tc>
        <w:tc>
          <w:tcPr>
            <w:tcW w:w="119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26,000,000</w:t>
            </w:r>
            <w:r>
              <w:rPr>
                <w:rFonts w:ascii="Times New Roman;sans-serif" w:hAnsi="Times New Roman;sans-serif"/>
                <w:b w:val="false"/>
                <w:color w:val="000000"/>
                <w:sz w:val="13"/>
              </w:rPr>
              <w:t>(2)</w:t>
            </w:r>
          </w:p>
        </w:tc>
        <w:tc>
          <w:tcPr>
            <w:tcW w:w="143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$0.3020</w:t>
            </w:r>
            <w:r>
              <w:rPr>
                <w:rFonts w:ascii="Times New Roman;sans-serif" w:hAnsi="Times New Roman;sans-serif"/>
                <w:b w:val="false"/>
                <w:color w:val="000000"/>
                <w:sz w:val="16"/>
              </w:rPr>
              <w:t>(3)</w:t>
            </w:r>
          </w:p>
        </w:tc>
        <w:tc>
          <w:tcPr>
            <w:tcW w:w="15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$7,852,000.00</w:t>
            </w:r>
          </w:p>
        </w:tc>
        <w:tc>
          <w:tcPr>
            <w:tcW w:w="1096" w:type="dxa"/>
            <w:gridSpan w:val="3"/>
            <w:tcBorders>
              <w:top w:val="single" w:sz="8" w:space="0" w:color="000000"/>
              <w:left w:val="single" w:sz="8" w:space="0" w:color="000000"/>
            </w:tcBorders>
            <w:shd w:fill="auto" w:val="clear"/>
            <w:tcMar>
              <w:top w:w="30" w:type="dxa"/>
              <w:left w:w="47"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0.00011020</w:t>
            </w:r>
          </w:p>
        </w:tc>
        <w:tc>
          <w:tcPr>
            <w:tcW w:w="13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$865.29</w:t>
            </w:r>
          </w:p>
        </w:tc>
      </w:tr>
      <w:tr>
        <w:trPr/>
        <w:tc>
          <w:tcPr>
            <w:tcW w:w="4708" w:type="dxa"/>
            <w:gridSpan w:val="12"/>
            <w:tcBorders>
              <w:top w:val="single" w:sz="8" w:space="0" w:color="000000"/>
              <w:left w:val="single" w:sz="8" w:space="0" w:color="000000"/>
              <w:bottom w:val="single" w:sz="8" w:space="0" w:color="000000"/>
            </w:tcBorders>
            <w:shd w:fill="auto" w:val="clear"/>
            <w:tcMar>
              <w:top w:w="30" w:type="dxa"/>
              <w:left w:w="47"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Offering Amounts</w:t>
            </w:r>
          </w:p>
        </w:tc>
        <w:tc>
          <w:tcPr>
            <w:tcW w:w="143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5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$7,852,000.00</w:t>
            </w:r>
          </w:p>
        </w:tc>
        <w:tc>
          <w:tcPr>
            <w:tcW w:w="109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$865.29</w:t>
            </w:r>
          </w:p>
        </w:tc>
      </w:tr>
      <w:tr>
        <w:trPr/>
        <w:tc>
          <w:tcPr>
            <w:tcW w:w="4708" w:type="dxa"/>
            <w:gridSpan w:val="12"/>
            <w:tcBorders>
              <w:top w:val="single" w:sz="8" w:space="0" w:color="000000"/>
              <w:left w:val="single" w:sz="8" w:space="0" w:color="000000"/>
              <w:bottom w:val="single" w:sz="8" w:space="0" w:color="000000"/>
            </w:tcBorders>
            <w:shd w:fill="auto" w:val="clear"/>
            <w:tcMar>
              <w:top w:w="30" w:type="dxa"/>
              <w:left w:w="47"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 Offsets</w:t>
            </w:r>
          </w:p>
        </w:tc>
        <w:tc>
          <w:tcPr>
            <w:tcW w:w="143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57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color w:val="000000"/>
              </w:rPr>
            </w:pPr>
            <w:r>
              <w:rPr>
                <w:color w:val="000000"/>
              </w:rPr>
              <w:t>—</w:t>
            </w:r>
          </w:p>
        </w:tc>
      </w:tr>
      <w:tr>
        <w:trPr/>
        <w:tc>
          <w:tcPr>
            <w:tcW w:w="4708" w:type="dxa"/>
            <w:gridSpan w:val="12"/>
            <w:tcBorders>
              <w:top w:val="single" w:sz="8" w:space="0" w:color="000000"/>
              <w:left w:val="single" w:sz="8" w:space="0" w:color="000000"/>
              <w:bottom w:val="single" w:sz="8" w:space="0" w:color="000000"/>
            </w:tcBorders>
            <w:shd w:fill="auto" w:val="clear"/>
            <w:tcMar>
              <w:top w:w="30" w:type="dxa"/>
              <w:left w:w="47"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Fee Due</w:t>
            </w:r>
          </w:p>
        </w:tc>
        <w:tc>
          <w:tcPr>
            <w:tcW w:w="143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570"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$865.29</w:t>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(1)Pursuant to Rule 416(a) under the Securities Act of 1933, as amended (the “Securities Act”), this Registration Statement shall also cover any additional shares of the Class A common stock (“Class A Common Stock”) of GeneDx Holdings Corp. (the “Registrant”) that become issuable in respect of the securities identified in the above table by reason of any stock dividend, stock split, recapitalization or other similar transaction effected without the Registrant’s receipt of consideration that increases the number of the Registrant’s outstanding shares of Class A Common Stock.</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additional shares of the Registrant’s Class A Common Stock to be registered and available for grant under its Amended and Restated 2021 Equity Incentive Plan (the “2021 EIP”). The Registrant’s stockholders approved an increase to the aggregate number of shares of Class A Common Stock available for issuance under the 2021 EIP on April 14, 2023. </w:t>
      </w:r>
    </w:p>
    <w:p>
      <w:pPr>
        <w:pStyle w:val="TextBody"/>
        <w:spacing w:lineRule="auto" w:line="288"/>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(3)Estimated in accordance with Rules 457(c) and 457(h) of the Securities Act solely for the purpose of calculating the registration fee. The proposed maximum offering price per share of $0.3020 was computed by averaging the high and low prices of a share of the Registrant’s Class A Common Stock as reported on the Nasdaq Global Select Market on April 19, 2023.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5.1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drawing>
          <wp:inline distT="0" distB="63500" distL="0" distR="0">
            <wp:extent cx="5715000" cy="74295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9"/>
                    <a:stretch>
                      <a:fillRect/>
                    </a:stretch>
                  </pic:blipFill>
                  <pic:spPr bwMode="auto">
                    <a:xfrm>
                      <a:off x="0" y="0"/>
                      <a:ext cx="5715000" cy="742950"/>
                    </a:xfrm>
                    <a:prstGeom prst="rect">
                      <a:avLst/>
                    </a:prstGeom>
                  </pic:spPr>
                </pic:pic>
              </a:graphicData>
            </a:graphic>
          </wp:inline>
        </w:drawing>
      </w:r>
    </w:p>
    <w:p>
      <w:pPr>
        <w:pStyle w:val="TextBody"/>
        <w:spacing w:before="0" w:after="240"/>
        <w:jc w:val="right"/>
        <w:rPr/>
      </w:pPr>
      <w:r>
        <w:rPr/>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April 25, 2023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GeneDx Holdings Corp.</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333 Ludlow Street, North Tower, 6th Floor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Stamford, Connecticut 06902</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spacing w:lineRule="auto" w:line="240" w:before="0" w:after="240"/>
        <w:ind w:left="0" w:right="0" w:firstLine="720"/>
        <w:jc w:val="both"/>
        <w:rPr/>
      </w:pPr>
      <w:r>
        <w:rPr>
          <w:rFonts w:ascii="Times New Roman;sans-serif" w:hAnsi="Times New Roman;sans-serif"/>
          <w:b w:val="false"/>
          <w:color w:val="000000"/>
          <w:sz w:val="22"/>
        </w:rPr>
        <w:t>At your request, as your counsel, we have examined the Registration Statement on Form S-8 (the “</w:t>
      </w:r>
      <w:r>
        <w:rPr>
          <w:rFonts w:ascii="Times New Roman;sans-serif" w:hAnsi="Times New Roman;sans-serif"/>
          <w:b/>
          <w:i/>
          <w:color w:val="000000"/>
          <w:sz w:val="22"/>
        </w:rPr>
        <w:t>Registration Statement</w:t>
      </w:r>
      <w:r>
        <w:rPr>
          <w:color w:val="000000"/>
        </w:rPr>
        <w:t>”</w:t>
      </w:r>
      <w:r>
        <w:rPr>
          <w:rFonts w:ascii="Times New Roman;sans-serif" w:hAnsi="Times New Roman;sans-serif"/>
          <w:b w:val="false"/>
          <w:color w:val="000000"/>
          <w:sz w:val="22"/>
        </w:rPr>
        <w:t>) to be filed by GeneDx Holdings Corp.,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with the Securities and Exchange Commission (the “</w:t>
      </w:r>
      <w:r>
        <w:rPr>
          <w:rFonts w:ascii="Times New Roman;sans-serif" w:hAnsi="Times New Roman;sans-serif"/>
          <w:b/>
          <w:i/>
          <w:color w:val="000000"/>
          <w:sz w:val="22"/>
        </w:rPr>
        <w:t>Commission</w:t>
      </w:r>
      <w:r>
        <w:rPr>
          <w:color w:val="000000"/>
        </w:rPr>
        <w:t>”</w:t>
      </w:r>
      <w:r>
        <w:rPr>
          <w:rFonts w:ascii="Times New Roman;sans-serif" w:hAnsi="Times New Roman;sans-serif"/>
          <w:b w:val="false"/>
          <w:color w:val="000000"/>
          <w:sz w:val="22"/>
        </w:rPr>
        <w:t>) on or about April 25, 2023 in connection with the registration under the Securities Act of 1933, as amended (the “</w:t>
      </w:r>
      <w:r>
        <w:rPr>
          <w:rFonts w:ascii="Times New Roman;sans-serif" w:hAnsi="Times New Roman;sans-serif"/>
          <w:b/>
          <w:i/>
          <w:color w:val="000000"/>
          <w:sz w:val="22"/>
        </w:rPr>
        <w:t>Securities Act</w:t>
      </w:r>
      <w:r>
        <w:rPr>
          <w:color w:val="000000"/>
        </w:rPr>
        <w:t>”</w:t>
      </w:r>
      <w:r>
        <w:rPr>
          <w:rFonts w:ascii="Times New Roman;sans-serif" w:hAnsi="Times New Roman;sans-serif"/>
          <w:b w:val="false"/>
          <w:color w:val="000000"/>
          <w:sz w:val="22"/>
        </w:rPr>
        <w:t>), of an aggregate of 26,000,000 shares (the “</w:t>
      </w:r>
      <w:r>
        <w:rPr>
          <w:rFonts w:ascii="Times New Roman;sans-serif" w:hAnsi="Times New Roman;sans-serif"/>
          <w:b/>
          <w:i/>
          <w:color w:val="000000"/>
          <w:sz w:val="22"/>
        </w:rPr>
        <w:t>Shares</w:t>
      </w:r>
      <w:r>
        <w:rPr>
          <w:color w:val="000000"/>
        </w:rPr>
        <w:t>”</w:t>
      </w:r>
      <w:r>
        <w:rPr>
          <w:rFonts w:ascii="Times New Roman;sans-serif" w:hAnsi="Times New Roman;sans-serif"/>
          <w:b w:val="false"/>
          <w:color w:val="000000"/>
          <w:sz w:val="22"/>
        </w:rPr>
        <w:t>) of the Company’s Class A common stock, par value $0.0001 per share (the “</w:t>
      </w:r>
      <w:r>
        <w:rPr>
          <w:rFonts w:ascii="Times New Roman;sans-serif" w:hAnsi="Times New Roman;sans-serif"/>
          <w:b/>
          <w:i/>
          <w:color w:val="000000"/>
          <w:sz w:val="22"/>
        </w:rPr>
        <w:t>Common Stock</w:t>
      </w:r>
      <w:r>
        <w:rPr>
          <w:color w:val="000000"/>
        </w:rPr>
        <w:t>”</w:t>
      </w:r>
      <w:r>
        <w:rPr>
          <w:rFonts w:ascii="Times New Roman;sans-serif" w:hAnsi="Times New Roman;sans-serif"/>
          <w:b w:val="false"/>
          <w:color w:val="000000"/>
          <w:sz w:val="22"/>
        </w:rPr>
        <w:t>), subject to issuance by the Company upon exercise or settlement of awards to be granted under the Company’s Amended and Restated 2021 Equity Incentive Plan (the “</w:t>
      </w:r>
      <w:r>
        <w:rPr>
          <w:rFonts w:ascii="Times New Roman;sans-serif" w:hAnsi="Times New Roman;sans-serif"/>
          <w:b/>
          <w:i/>
          <w:color w:val="000000"/>
          <w:sz w:val="22"/>
        </w:rPr>
        <w:t>2021 Plan</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At your request we are providing this letter to express our opinion on the matters set forth below in this letter (“</w:t>
      </w:r>
      <w:r>
        <w:rPr>
          <w:rFonts w:ascii="Times New Roman;sans-serif" w:hAnsi="Times New Roman;sans-serif"/>
          <w:b/>
          <w:i/>
          <w:color w:val="000000"/>
          <w:sz w:val="22"/>
        </w:rPr>
        <w:t>our opinion</w:t>
      </w:r>
      <w:r>
        <w:rPr>
          <w:color w:val="000000"/>
        </w:rPr>
        <w:t>”</w:t>
      </w:r>
      <w:r>
        <w:rPr>
          <w:rFonts w:ascii="Times New Roman;sans-serif" w:hAnsi="Times New Roman;sans-serif"/>
          <w:b w:val="false"/>
          <w:color w:val="000000"/>
          <w:sz w:val="22"/>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2"/>
        </w:rPr>
        <w:t>In connection with our opinion, we have examined such matters of fact as we have deemed necessary, which included examination of originals or copies of: (a) the Company’s Third Amended and Restated Certificate</w:t>
      </w:r>
      <w:r>
        <w:rPr>
          <w:color w:val="000000"/>
        </w:rPr>
        <w:t xml:space="preserve"> </w:t>
      </w:r>
      <w:r>
        <w:rPr>
          <w:rFonts w:ascii="Times New Roman;sans-serif" w:hAnsi="Times New Roman;sans-serif"/>
          <w:b w:val="false"/>
          <w:color w:val="000000"/>
          <w:sz w:val="22"/>
        </w:rPr>
        <w:t>of Incorporation, as amended (the “</w:t>
      </w:r>
      <w:r>
        <w:rPr>
          <w:rFonts w:ascii="Times New Roman;sans-serif" w:hAnsi="Times New Roman;sans-serif"/>
          <w:b/>
          <w:i/>
          <w:color w:val="000000"/>
          <w:sz w:val="22"/>
        </w:rPr>
        <w:t>Certificate of Incorporation</w:t>
      </w:r>
      <w:r>
        <w:rPr>
          <w:color w:val="000000"/>
        </w:rPr>
        <w:t>”</w:t>
      </w:r>
      <w:r>
        <w:rPr>
          <w:rFonts w:ascii="Times New Roman;sans-serif" w:hAnsi="Times New Roman;sans-serif"/>
          <w:b w:val="false"/>
          <w:color w:val="000000"/>
          <w:sz w:val="22"/>
        </w:rPr>
        <w:t>), the Company’s Amended and Restated Bylaws (the “</w:t>
      </w:r>
      <w:r>
        <w:rPr>
          <w:rFonts w:ascii="Times New Roman;sans-serif" w:hAnsi="Times New Roman;sans-serif"/>
          <w:b/>
          <w:i/>
          <w:color w:val="000000"/>
          <w:sz w:val="22"/>
        </w:rPr>
        <w:t>Bylaws</w:t>
      </w:r>
      <w:r>
        <w:rPr>
          <w:color w:val="000000"/>
        </w:rPr>
        <w:t xml:space="preserve">” </w:t>
      </w:r>
      <w:r>
        <w:rPr>
          <w:rFonts w:ascii="Times New Roman;sans-serif" w:hAnsi="Times New Roman;sans-serif"/>
          <w:b w:val="false"/>
          <w:color w:val="000000"/>
          <w:sz w:val="22"/>
        </w:rPr>
        <w:t>and, together with the Certificate of Incorporation, the “</w:t>
      </w:r>
      <w:r>
        <w:rPr>
          <w:rFonts w:ascii="Times New Roman;sans-serif" w:hAnsi="Times New Roman;sans-serif"/>
          <w:b/>
          <w:i/>
          <w:color w:val="000000"/>
          <w:sz w:val="22"/>
        </w:rPr>
        <w:t>Charter Documents</w:t>
      </w:r>
      <w:r>
        <w:rPr>
          <w:color w:val="000000"/>
        </w:rPr>
        <w:t>”</w:t>
      </w:r>
      <w:r>
        <w:rPr>
          <w:rFonts w:ascii="Times New Roman;sans-serif" w:hAnsi="Times New Roman;sans-serif"/>
          <w:b w:val="false"/>
          <w:color w:val="000000"/>
          <w:sz w:val="22"/>
        </w:rPr>
        <w:t>), the 2021 Plan and related forms of 2021 Plan agreements for use thereunder, and the Registration Statement and the exhibits thereto, (b) certain</w:t>
      </w:r>
      <w:r>
        <w:rPr>
          <w:color w:val="000000"/>
        </w:rPr>
        <w:t xml:space="preserve"> </w:t>
      </w:r>
      <w:r>
        <w:rPr>
          <w:rFonts w:ascii="Times New Roman;sans-serif" w:hAnsi="Times New Roman;sans-serif"/>
          <w:b w:val="false"/>
          <w:color w:val="000000"/>
          <w:sz w:val="22"/>
        </w:rPr>
        <w:t>corporate proceedings</w:t>
      </w:r>
      <w:r>
        <w:rPr>
          <w:color w:val="000000"/>
        </w:rPr>
        <w:t xml:space="preserve"> </w:t>
      </w:r>
      <w:r>
        <w:rPr>
          <w:rFonts w:ascii="Times New Roman;sans-serif" w:hAnsi="Times New Roman;sans-serif"/>
          <w:b w:val="false"/>
          <w:color w:val="000000"/>
          <w:sz w:val="22"/>
        </w:rPr>
        <w:t xml:space="preserve">of the Company’s board of directors and the Company’s stockholders relating to adoption or approval of the Charter Documents and the 2021 Plan, and (c) such other documents as we have deemed advisable, and we have examined such questions of law as we have considered necessary.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when issued, will be executed by the Company and by officers of the Company duly authorized to do so. In rendering our opinion, we have also relied upon a certificate of good standing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pStyle w:val="TextBody"/>
        <w:spacing w:lineRule="auto" w:line="290" w:before="0" w:after="240"/>
        <w:ind w:left="0" w:right="0" w:firstLine="720"/>
        <w:jc w:val="both"/>
        <w:rPr/>
      </w:pPr>
      <w:r>
        <w:rPr>
          <w:rFonts w:ascii="Times New Roman;sans-serif" w:hAnsi="Times New Roman;sans-serif"/>
          <w:b w:val="false"/>
          <w:color w:val="000000"/>
          <w:sz w:val="22"/>
        </w:rPr>
        <w:t>We render this opinion only with respect to, and we express no opinion herein concerning the application or effect of the laws of any jurisdiction other than, the existing</w:t>
      </w:r>
      <w:r>
        <w:rPr>
          <w:color w:val="000000"/>
        </w:rPr>
        <w:t xml:space="preserve"> </w:t>
      </w:r>
      <w:r>
        <w:rPr>
          <w:rFonts w:ascii="Times New Roman;sans-serif" w:hAnsi="Times New Roman;sans-serif"/>
          <w:b w:val="false"/>
          <w:color w:val="000000"/>
          <w:sz w:val="22"/>
        </w:rPr>
        <w:t>Delaware General Corporation Law now in effect.</w:t>
      </w:r>
      <w:r>
        <w:rPr>
          <w:color w:val="000000"/>
        </w:rPr>
        <w:t xml:space="preserve"> </w: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Based upon, and subject to, the foregoing, it is our opinion that the Shares have been duly authorized and, when the Shares that may be issued and sold upon the exercise or settlement of awards to be granted under the 2021 Plan have been issued and sold by the Company against the Company’s receipt of payment therefor (in an amount and type of consideration not less than the par value per Share) in </w:t>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accordance with the terms (including, without limitation, payment and authorization provisions) of the 2021 Plan, and have been duly registered on the books of the transfer agent and registrar for the Shares in the name or on behalf of the holders thereof, such Shares will be validly issued, fully paid and non-assessable. </w:t>
      </w:r>
    </w:p>
    <w:p>
      <w:pPr>
        <w:pStyle w:val="TextBody"/>
        <w:spacing w:lineRule="auto" w:line="240" w:before="0" w:after="240"/>
        <w:ind w:left="0" w:right="0" w:firstLine="748"/>
        <w:jc w:val="both"/>
        <w:rPr/>
      </w:pPr>
      <w:r>
        <w:rPr>
          <w:rFonts w:ascii="Times New Roman;sans-serif" w:hAnsi="Times New Roman;sans-serif"/>
          <w:b w:val="false"/>
          <w:color w:val="000000"/>
          <w:sz w:val="22"/>
        </w:rPr>
        <w:t>We consent to the use of this opinion as an exhibit to the Registration Statement and further consent to all references to us, if any, in the Registration Statement and any amendments or supplements thereto. We do not thereby admit that we are within the category of persons whose consent is required under Section 7 of the Securities Act or the rules and regulations of the Commission thereunder</w:t>
      </w:r>
      <w:r>
        <w:rPr>
          <w:rFonts w:ascii="Times New Roman;sans-serif" w:hAnsi="Times New Roman;sans-serif"/>
          <w:b w:val="false"/>
          <w:color w:val="000000"/>
          <w:sz w:val="20"/>
        </w:rPr>
        <w:t xml:space="preserve">. </w:t>
      </w:r>
      <w:r>
        <w:rPr>
          <w:rFonts w:ascii="Times New Roman;sans-serif" w:hAnsi="Times New Roman;sans-serif"/>
          <w:b w:val="false"/>
          <w:color w:val="000000"/>
          <w:sz w:val="22"/>
        </w:rPr>
        <w:t>This opinion is intended solely for use in connection with the issuance, sale and resale of the Shares subject to the Registration Statement, and is not to be relied upon for any other purpose. In providing this letter, we are opining only as to the specific legal issues expressly set forth above, and no opinion shall be inferred as to any other matter or matters.</w:t>
      </w:r>
      <w:r>
        <w:rPr>
          <w:color w:val="000000"/>
        </w:rPr>
        <w:t xml:space="preserve"> </w:t>
      </w:r>
      <w:r>
        <w:rPr>
          <w:rFonts w:ascii="Times New Roman;sans-serif" w:hAnsi="Times New Roman;sans-serif"/>
          <w:b w:val="false"/>
          <w:color w:val="000000"/>
          <w:sz w:val="22"/>
        </w:rPr>
        <w:t>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tbl>
      <w:tblPr>
        <w:tblW w:w="2715" w:type="dxa"/>
        <w:jc w:val="left"/>
        <w:tblInd w:w="0" w:type="dxa"/>
        <w:tblCellMar>
          <w:top w:w="28" w:type="dxa"/>
          <w:left w:w="28" w:type="dxa"/>
          <w:bottom w:w="28" w:type="dxa"/>
          <w:right w:w="28" w:type="dxa"/>
        </w:tblCellMar>
      </w:tblPr>
      <w:tblGrid>
        <w:gridCol w:w="868"/>
        <w:gridCol w:w="762"/>
        <w:gridCol w:w="1085"/>
      </w:tblGrid>
      <w:tr>
        <w:trPr/>
        <w:tc>
          <w:tcPr>
            <w:tcW w:w="86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/s/ Fenwick &amp; West LLP</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FENWICK &amp; WEST LLP</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(Form S-8) pertaining to the GeneDx Holdings Corp. Amended and Restated 2021 Equity Incentive Plan of our report dated March 16, 2023, with respect to the consolidated financial statements of GeneDx Holding Corp. included in its Annual Report (Form 10-K) for the year ended December 31, 2022, filed with the Securities and Exchange Commission.</w:t>
      </w:r>
    </w:p>
    <w:tbl>
      <w:tblPr>
        <w:tblW w:w="3345" w:type="dxa"/>
        <w:jc w:val="left"/>
        <w:tblInd w:w="0" w:type="dxa"/>
        <w:tblCellMar>
          <w:top w:w="28" w:type="dxa"/>
          <w:left w:w="28" w:type="dxa"/>
          <w:bottom w:w="28" w:type="dxa"/>
          <w:right w:w="28" w:type="dxa"/>
        </w:tblCellMar>
      </w:tblPr>
      <w:tblGrid>
        <w:gridCol w:w="473"/>
        <w:gridCol w:w="414"/>
        <w:gridCol w:w="418"/>
        <w:gridCol w:w="598"/>
        <w:gridCol w:w="598"/>
        <w:gridCol w:w="844"/>
      </w:tblGrid>
      <w:tr>
        <w:trPr/>
        <w:tc>
          <w:tcPr>
            <w:tcW w:w="47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Ernst &amp; Young LLP </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w:t>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2023</w:t>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331/000162828021019193/s-8.htm" TargetMode="External"/><Relationship Id="rId3" Type="http://schemas.openxmlformats.org/officeDocument/2006/relationships/hyperlink" Target="https://www.sec.gov/Archives/edgar/data/1818331/000181833122000020/sema4-sx8filingx12422.htm" TargetMode="External"/><Relationship Id="rId4" Type="http://schemas.openxmlformats.org/officeDocument/2006/relationships/hyperlink" Target="https://www.sec.gov/Archives/edgar/data/1818331/000181833123000008/sema4-sx82023equityevergre.htm" TargetMode="External"/><Relationship Id="rId5" Type="http://schemas.openxmlformats.org/officeDocument/2006/relationships/hyperlink" Target="https://www.sec.gov/Archives/edgar/data/1818331/000181833123000024/wgs-20221231.htm" TargetMode="External"/><Relationship Id="rId6" Type="http://schemas.openxmlformats.org/officeDocument/2006/relationships/hyperlink" Target="https://www.sec.gov/Archives/edgar/data/1818331/000181833123000006/smfr-20230109.htm" TargetMode="External"/><Relationship Id="rId7" Type="http://schemas.openxmlformats.org/officeDocument/2006/relationships/hyperlink" Target="https://www.sec.gov/Archives/edgar/data/1818331/000181833123000015/smfr-20230126.htm" TargetMode="External"/><Relationship Id="rId8" Type="http://schemas.openxmlformats.org/officeDocument/2006/relationships/hyperlink" Target="https://www.sec.gov/Archives/edgar/data/1818331/000181833123000018/smfr-20230214.htm" TargetMode="External"/><Relationship Id="rId9" Type="http://schemas.openxmlformats.org/officeDocument/2006/relationships/hyperlink" Target="https://www.sec.gov/ix?doc=/Archives/edgar/data/0001818331/000181833123000027/smfr-20230412.htm" TargetMode="External"/><Relationship Id="rId10" Type="http://schemas.openxmlformats.org/officeDocument/2006/relationships/hyperlink" Target="https://www.sec.gov/ix?doc=/Archives/edgar/data/0001818331/000162828023011808/smfr-20230414.htm" TargetMode="External"/><Relationship Id="rId11" Type="http://schemas.openxmlformats.org/officeDocument/2006/relationships/hyperlink" Target="https://www.sec.gov/Archives/edgar/data/1818331/000162828023010234/genedx-2023smxdefinitivepr.htm" TargetMode="External"/><Relationship Id="rId12" Type="http://schemas.openxmlformats.org/officeDocument/2006/relationships/hyperlink" Target="https://www.sec.gov/Archives/edgar/data/0001818331/000121390020024549/ea126225-8a12b_cmlifescience.htm" TargetMode="External"/><Relationship Id="rId13" Type="http://schemas.openxmlformats.org/officeDocument/2006/relationships/hyperlink" Target="https://www.sec.gov/ix?doc=/Archives/edgar/data/1818331/000181833123000024/wgs-20221231.htm" TargetMode="External"/><Relationship Id="rId14" Type="http://schemas.openxmlformats.org/officeDocument/2006/relationships/hyperlink" Target="https://www.sec.gov/Archives/edgar/data/1818331/000162828021014760/exhibit31-super8xk.htm" TargetMode="External"/><Relationship Id="rId15" Type="http://schemas.openxmlformats.org/officeDocument/2006/relationships/hyperlink" Target="https://www.sec.gov/Archives/edgar/data/0001818331/000162828022011605/exhibit31-closing8xk.htm" TargetMode="External"/><Relationship Id="rId16" Type="http://schemas.openxmlformats.org/officeDocument/2006/relationships/hyperlink" Target="https://www.sec.gov/Archives/edgar/data/1818331/000181833123000006/sema4-certificateofamendme.htm" TargetMode="External"/><Relationship Id="rId17" Type="http://schemas.openxmlformats.org/officeDocument/2006/relationships/hyperlink" Target="https://www.sec.gov/Archives/edgar/data/1818331/000162828023011808/exhibit31-8xkx4172023.htm" TargetMode="External"/><Relationship Id="rId18" Type="http://schemas.openxmlformats.org/officeDocument/2006/relationships/hyperlink" Target="https://www.sec.gov/Archives/edgar/data/1818331/000181833123000006/sema4-amendedandrestatedby.htm" TargetMode="External"/><Relationship Id="rId19" Type="http://schemas.openxmlformats.org/officeDocument/2006/relationships/hyperlink" Target="https://www.sec.gov/Archives/edgar/data/1818331/000162828023011808/exhibit101-8xkx4172023.htm" TargetMode="External"/><Relationship Id="rId20" Type="http://schemas.openxmlformats.org/officeDocument/2006/relationships/hyperlink" Target="https://www.sec.gov/Archives/edgar/data/1818331/000162828021014760/exhibit106-super8xk.htm" TargetMode="External"/><Relationship Id="rId21" Type="http://schemas.openxmlformats.org/officeDocument/2006/relationships/hyperlink" Target="https://www.sec.gov/Archives/edgar/data/1818331/000162828021014760/exhibit106-super8xk.htm" TargetMode="External"/><Relationship Id="rId22" Type="http://schemas.openxmlformats.org/officeDocument/2006/relationships/hyperlink" Target="https://www.sec.gov/Archives/edgar/data/1818331/000162828021014760/exhibit106-super8xk.htm" TargetMode="External"/><Relationship Id="rId23" Type="http://schemas.openxmlformats.org/officeDocument/2006/relationships/hyperlink" Target="https://www.sec.gov/Archives/edgar/data/1818331/000162828021014760/exhibit106-super8xk.htm" TargetMode="External"/><Relationship Id="rId24" Type="http://schemas.openxmlformats.org/officeDocument/2006/relationships/hyperlink" Target="https://www.sec.gov/Archives/edgar/data/1818331/000162828021014760/exhibit107-super8xk.htm" TargetMode="External"/><Relationship Id="rId25" Type="http://schemas.openxmlformats.org/officeDocument/2006/relationships/hyperlink" Target="https://www.sec.gov/Archives/edgar/data/1818331/000162828021014760/exhibit107-super8xk.htm" TargetMode="External"/><Relationship Id="rId26" Type="http://schemas.openxmlformats.org/officeDocument/2006/relationships/hyperlink" Target="https://www.sec.gov/Archives/edgar/data/1818331/000162828021014760/exhibit107-super8xk.htm" TargetMode="External"/><Relationship Id="rId27" Type="http://schemas.openxmlformats.org/officeDocument/2006/relationships/hyperlink" Target="https://www.sec.gov/Archives/edgar/data/1818331/000162828021014760/exhibit107-super8xk.htm" TargetMode="External"/><Relationship Id="rId28" Type="http://schemas.openxmlformats.org/officeDocument/2006/relationships/hyperlink" Target="https://www.sec.gov/Archives/edgar/data/1818331/000162828021014760/exhibit107-super8xk.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2939</Words>
  <CharactersWithSpaces>18511</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