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5" w:lineRule="auto"/>
        <w:rPr>
          <w:sz w:val="20"/>
          <w:szCs w:val="20"/>
          <w:color w:val="auto"/>
        </w:rPr>
      </w:pPr>
      <w:r>
        <w:rPr>
          <w:rFonts w:ascii="Times New Roman" w:cs="Times New Roman" w:eastAsia="Times New Roman" w:hAnsi="Times New Roman"/>
          <w:sz w:val="16"/>
          <w:szCs w:val="16"/>
          <w:color w:val="0000FF"/>
        </w:rPr>
        <w:t>C/O GENEDX HOLDINGS CORP. 333 LUDLOW ST, NORTH TOWER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380" w:type="dxa"/>
            <w:vAlign w:val="bottom"/>
          </w:tcPr>
          <w:p>
            <w:pPr>
              <w:ind w:left="12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03/01/2024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718</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23,753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03/04/2024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301</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8.57</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23,452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718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03/01/2024</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718</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7,173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December 1, 2022 until fully vested, subject to the Reporting Person's continued service to the Issuer on each vesting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Devin Schaffer, Attorney-</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03/05/2024</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2024-03-05T15:35:45Z</dcterms:created>
  <dcterms:modified xsi:type="dcterms:W3CDTF">2024-03-05T15:35:45Z</dcterms:modified>
</cp:coreProperties>
</file>