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United States securities and exchange commission logo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11" w:lineRule="exact"/>
        <w:rPr>
          <w:sz w:val="24"/>
          <w:szCs w:val="24"/>
          <w:color w:val="auto"/>
        </w:rPr>
      </w:pPr>
    </w:p>
    <w:p>
      <w:pPr>
        <w:ind w:left="30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June 2, 2021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Eli Casdin</w:t>
      </w:r>
    </w:p>
    <w:p>
      <w:pPr>
        <w:ind w:left="74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Chief Executive Officer</w:t>
      </w:r>
    </w:p>
    <w:p>
      <w:pPr>
        <w:ind w:left="74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CM Life Sciences, Inc.</w:t>
      </w: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c/o Corvex Management LP</w:t>
      </w:r>
    </w:p>
    <w:p>
      <w:pPr>
        <w:ind w:left="740"/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667 Madison Avenue</w:t>
      </w:r>
    </w:p>
    <w:p>
      <w:pPr>
        <w:ind w:left="74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New York, New York 10065</w:t>
      </w:r>
    </w:p>
    <w:p>
      <w:pPr>
        <w:spacing w:after="0" w:line="202" w:lineRule="exact"/>
        <w:rPr>
          <w:sz w:val="24"/>
          <w:szCs w:val="24"/>
          <w:color w:val="auto"/>
        </w:rPr>
      </w:pPr>
    </w:p>
    <w:p>
      <w:pPr>
        <w:ind w:left="590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Re: CM Life Sciences,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Inc.</w:t>
      </w:r>
    </w:p>
    <w:p>
      <w:pPr>
        <w:ind w:left="632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Preliminary Proxy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Statement on Schedule PREM14A</w:t>
      </w:r>
    </w:p>
    <w:p>
      <w:pPr>
        <w:ind w:left="6320"/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Filed May 6, 2021</w:t>
      </w:r>
    </w:p>
    <w:p>
      <w:pPr>
        <w:ind w:left="632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File No. 001-39482</w:t>
      </w:r>
    </w:p>
    <w:p>
      <w:pPr>
        <w:spacing w:after="0" w:line="202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Dear Mr. Casdin: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We have reviewed your filing and have the following comments. In</w:t>
      </w:r>
    </w:p>
    <w:p>
      <w:pPr>
        <w:spacing w:after="0" w:line="1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some of our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right="1819" w:firstLine="737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comments, we may ask you to provide us with information so we may better understand your</w:t>
      </w: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disclosure.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ind w:right="2339" w:firstLine="1474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respond to these comments within ten business days by providing the requested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right="2019" w:firstLine="737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information or advise us as soon as possible when you will respond. If you do not believe our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right="2119" w:firstLine="737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comments apply to your facts and circumstances, please tell us why in your response.</w:t>
      </w:r>
    </w:p>
    <w:p>
      <w:pPr>
        <w:spacing w:after="0" w:line="202" w:lineRule="exact"/>
        <w:rPr>
          <w:sz w:val="24"/>
          <w:szCs w:val="24"/>
          <w:color w:val="auto"/>
        </w:rPr>
      </w:pPr>
    </w:p>
    <w:p>
      <w:pPr>
        <w:ind w:left="590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After reviewing your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response to these comments, we may have additional comments.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Preliminary Proxy Statement on Schedule PREM14A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Sema4, page 29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320"/>
        <w:spacing w:after="0"/>
        <w:tabs>
          <w:tab w:leader="none" w:pos="588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1.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8"/>
          <w:szCs w:val="18"/>
          <w:color w:val="auto"/>
        </w:rPr>
        <w:t>Please balance your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disclosure in this section by indicating, if true, that Sema4 serves</w:t>
      </w:r>
    </w:p>
    <w:p>
      <w:pPr>
        <w:ind w:left="590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patients primarily in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New York, California, Florida, Connecticut and New Jersey and</w:t>
      </w:r>
    </w:p>
    <w:p>
      <w:pPr>
        <w:ind w:left="5900"/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briefly indicate the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material regulatory requirements Sema4 would face in order to expand</w:t>
      </w:r>
    </w:p>
    <w:p>
      <w:pPr>
        <w:ind w:left="590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into other states and</w:t>
      </w:r>
    </w:p>
    <w:p>
      <w:pPr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the additional need to establish test reimbursement rates from third</w:t>
      </w:r>
    </w:p>
    <w:p>
      <w:pPr>
        <w:ind w:left="590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party payors in those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areas.</w:t>
      </w:r>
    </w:p>
    <w:p>
      <w:pPr>
        <w:ind w:left="740"/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Summary of the Proxy Statement, page 29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320"/>
        <w:spacing w:after="0"/>
        <w:tabs>
          <w:tab w:leader="none" w:pos="588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2.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8"/>
          <w:szCs w:val="18"/>
          <w:color w:val="auto"/>
        </w:rPr>
        <w:t>You state herein that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Sema4 was formed in October 2015. Elsewhere in the document, i.e.,</w:t>
      </w:r>
    </w:p>
    <w:p>
      <w:pPr>
        <w:ind w:left="590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pages 212, 237 and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F-31, the date is June 2017. Please reconcile or revise accordingly.</w:t>
      </w:r>
    </w:p>
    <w:p>
      <w:pPr>
        <w:ind w:left="120"/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Eli Casdin</w:t>
      </w:r>
    </w:p>
    <w:p>
      <w:pPr>
        <w:spacing w:after="0" w:line="238" w:lineRule="auto"/>
        <w:tabs>
          <w:tab w:leader="none" w:pos="114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FirstName</w:t>
        <w:tab/>
        <w:t>LastNameEli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CM Life Sciences, Inc. Casdin</w:t>
      </w:r>
    </w:p>
    <w:p>
      <w:pPr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Comapany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June 2, 2021NameCM Life Sciences, Inc.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June 2,</w:t>
      </w:r>
    </w:p>
    <w:p>
      <w:pPr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Page 2 2021 Page 2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FirstName LastName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Stable Free Cash Flow, Prudent Debt and Financial Visibility, page 38</w:t>
      </w:r>
    </w:p>
    <w:p>
      <w:pPr>
        <w:spacing w:after="0" w:line="206" w:lineRule="exact"/>
        <w:rPr>
          <w:sz w:val="24"/>
          <w:szCs w:val="24"/>
          <w:color w:val="auto"/>
        </w:rPr>
      </w:pPr>
    </w:p>
    <w:p>
      <w:pPr>
        <w:ind w:right="2439" w:firstLine="8"/>
        <w:spacing w:after="0" w:line="235" w:lineRule="auto"/>
        <w:tabs>
          <w:tab w:leader="none" w:pos="948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balance your disclosure in this section by indicating the negative free cash flows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23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experienced by Sema4 in each of the last three fiscal years and by indicating the amount</w:t>
      </w:r>
    </w:p>
    <w:p>
      <w:pPr>
        <w:ind w:left="960"/>
        <w:spacing w:after="0"/>
        <w:tabs>
          <w:tab w:leader="none" w:pos="210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of Sema4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6"/>
          <w:szCs w:val="16"/>
          <w:color w:val="auto"/>
        </w:rPr>
        <w:t>s Long-term debt, net of current portion as of the date of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the most recent</w:t>
      </w:r>
    </w:p>
    <w:p>
      <w:pPr>
        <w:ind w:left="96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balance sheet for Sema4 included in your proxy statement.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Our Sponsor, certain members of our Board and our officers have interests in</w:t>
      </w:r>
    </w:p>
    <w:p>
      <w:pPr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the Business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Combination, page 93</w:t>
      </w:r>
    </w:p>
    <w:p>
      <w:pPr>
        <w:sectPr>
          <w:pgSz w:w="11900" w:h="16838" w:orient="portrait"/>
          <w:cols w:equalWidth="0" w:num="1">
            <w:col w:w="10139"/>
          </w:cols>
          <w:pgMar w:left="320" w:top="244" w:right="1440" w:bottom="0" w:gutter="0" w:footer="0" w:header="0"/>
        </w:sectPr>
      </w:pPr>
    </w:p>
    <w:bookmarkStart w:id="1" w:name="page2"/>
    <w:bookmarkEnd w:id="1"/>
    <w:p>
      <w:pPr>
        <w:ind w:right="2119" w:firstLine="8"/>
        <w:spacing w:after="0" w:line="235" w:lineRule="auto"/>
        <w:tabs>
          <w:tab w:leader="none" w:pos="948" w:val="left"/>
        </w:tabs>
        <w:numPr>
          <w:ilvl w:val="0"/>
          <w:numId w:val="2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expand your discussion to disclose your sponsor's, officers' and directors' aggregate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18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average investment per share. In addition, clarify that in addition to being at risk of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23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losing their entire investment if the transaction is not approved, that as a result of your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18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sponsor's, officers' and directors' significantly lower investment per share in their CM Life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18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shares as compared to your public investors, the insiders could make a substantial profit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55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after the initial business combination even if public investors experience substantial</w:t>
      </w:r>
    </w:p>
    <w:p>
      <w:pPr>
        <w:spacing w:after="0" w:line="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left="96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losses.</w:t>
      </w:r>
    </w:p>
    <w:p>
      <w:pPr>
        <w:spacing w:after="0" w:line="4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019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The proposed Amended and Restated Certificate of Incorporation designates the Court of</w:t>
      </w:r>
    </w:p>
    <w:p>
      <w:pPr>
        <w:spacing w:after="0" w:line="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Chancery of the State of Delaware, page 110</w:t>
      </w:r>
    </w:p>
    <w:p>
      <w:pPr>
        <w:spacing w:after="0" w:line="207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019" w:firstLine="8"/>
        <w:spacing w:after="0" w:line="235" w:lineRule="auto"/>
        <w:tabs>
          <w:tab w:leader="none" w:pos="948" w:val="left"/>
        </w:tabs>
        <w:numPr>
          <w:ilvl w:val="0"/>
          <w:numId w:val="2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revise this risk factor to disclose that there is also a risk that your exclusive forum</w:t>
      </w:r>
    </w:p>
    <w:p>
      <w:pPr>
        <w:spacing w:after="0" w:line="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left="96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provision may result in increased costs for investors to bring a</w:t>
      </w: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claim.</w:t>
      </w: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Unaudited Pro Forma Condensed Combined Financial Information, page 114</w:t>
      </w:r>
    </w:p>
    <w:p>
      <w:pPr>
        <w:spacing w:after="0" w:line="207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019" w:firstLine="8"/>
        <w:spacing w:after="0" w:line="235" w:lineRule="auto"/>
        <w:tabs>
          <w:tab w:leader="none" w:pos="948" w:val="left"/>
        </w:tabs>
        <w:numPr>
          <w:ilvl w:val="0"/>
          <w:numId w:val="2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expand your description on page 121 of adjustment 5(c) to the pro forma balance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1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sheet to provide an explanation of your expected accounting for the Earn-Out Shares in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19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the reverse recapitalization. For example, clarify whether the shares to be issued to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1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stockholders are tied to future employment with the combined entity and if the awards</w:t>
      </w:r>
    </w:p>
    <w:p>
      <w:pPr>
        <w:spacing w:after="0" w:line="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left="96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will be accounted for as the issuance of share-based payments under</w:t>
      </w: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ASC 718.</w:t>
      </w:r>
    </w:p>
    <w:p>
      <w:pPr>
        <w:spacing w:after="0" w:line="4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019" w:firstLine="8"/>
        <w:spacing w:after="0" w:line="235" w:lineRule="auto"/>
        <w:tabs>
          <w:tab w:leader="none" w:pos="948" w:val="left"/>
        </w:tabs>
        <w:numPr>
          <w:ilvl w:val="0"/>
          <w:numId w:val="2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expand your description on page 121 of adjustment 5(d) to the pro forma balance</w:t>
      </w:r>
    </w:p>
    <w:p>
      <w:pPr>
        <w:ind w:left="960"/>
        <w:spacing w:after="0"/>
        <w:tabs>
          <w:tab w:leader="none" w:pos="504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sheet to explain the details of the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6"/>
          <w:szCs w:val="16"/>
          <w:color w:val="auto"/>
        </w:rPr>
        <w:t>reassessment of the terms of</w:t>
      </w:r>
    </w:p>
    <w:p>
      <w:pPr>
        <w:spacing w:after="0"/>
        <w:tabs>
          <w:tab w:leader="none" w:pos="240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the Public Warrants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6"/>
          <w:szCs w:val="16"/>
          <w:color w:val="auto"/>
        </w:rPr>
        <w:t>and</w:t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ind w:right="1919" w:firstLine="948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how it results in a reclassification to equity following the business combination.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Background of the Business Combination, page 151</w:t>
      </w:r>
    </w:p>
    <w:p>
      <w:pPr>
        <w:spacing w:after="0" w:line="207" w:lineRule="exact"/>
        <w:rPr>
          <w:sz w:val="20"/>
          <w:szCs w:val="20"/>
          <w:color w:val="auto"/>
        </w:rPr>
      </w:pPr>
    </w:p>
    <w:p>
      <w:pPr>
        <w:ind w:right="1919" w:firstLine="8"/>
        <w:spacing w:after="0" w:line="235" w:lineRule="auto"/>
        <w:tabs>
          <w:tab w:leader="none" w:pos="948" w:val="left"/>
        </w:tabs>
        <w:numPr>
          <w:ilvl w:val="0"/>
          <w:numId w:val="3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With reference to the first full paragraph on page 152, please revise this section to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1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describe all contacts with various parties during the evaluation by the company of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65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potential business combinations. Please disclose the number of companies that were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97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contacted, how the potential acquisition opportunities were identified, and the analysis and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85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evaluation that was conducted with respect to each potential acquisition opportunity. To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18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the extent that any preliminary proposals were submitted/received from eliminated targets,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23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disclose all material proposal terms, including transaction structure, valuation, and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23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equity split distribution. Please also revise to disclose why this transaction is being</w:t>
      </w:r>
    </w:p>
    <w:p>
      <w:pPr>
        <w:spacing w:after="0" w:line="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left="12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Eli Casdin</w:t>
      </w:r>
    </w:p>
    <w:p>
      <w:pPr>
        <w:spacing w:after="0" w:line="4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7819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CM Life Sciences, Inc. June 2, 2021</w:t>
      </w:r>
    </w:p>
    <w:p>
      <w:pPr>
        <w:spacing w:after="0" w:line="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Page 3</w:t>
      </w:r>
    </w:p>
    <w:p>
      <w:pPr>
        <w:ind w:left="96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recommended as opposed to any alternatives.</w:t>
      </w:r>
    </w:p>
    <w:p>
      <w:pPr>
        <w:spacing w:after="0" w:line="4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979" w:firstLine="8"/>
        <w:spacing w:after="0" w:line="235" w:lineRule="auto"/>
        <w:tabs>
          <w:tab w:leader="none" w:pos="948" w:val="left"/>
        </w:tabs>
        <w:numPr>
          <w:ilvl w:val="0"/>
          <w:numId w:val="3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To the extent material, please identify the individuals who participated in the meetings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65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and discussions described in this section. For example, please identify who participated in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55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the virtual meeting to discuss the business combination held on January 14, 2021.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1919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CMLS Board of Directors' Reasons for the Approval of the Business Combination, page 154</w:t>
      </w:r>
    </w:p>
    <w:p>
      <w:pPr>
        <w:spacing w:after="0" w:line="208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339" w:firstLine="8"/>
        <w:spacing w:after="0" w:line="235" w:lineRule="auto"/>
        <w:tabs>
          <w:tab w:leader="none" w:pos="948" w:val="left"/>
        </w:tabs>
        <w:numPr>
          <w:ilvl w:val="0"/>
          <w:numId w:val="3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describe in greater detail all material analyses the board relied upon in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18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evaluating the financial aspects of the business combination. If there were any analyses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0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that did not support the fairness of the transaction, please include appropriate disclosure.</w:t>
      </w:r>
    </w:p>
    <w:p>
      <w:pPr>
        <w:spacing w:after="0" w:line="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Certain Sema4 Projected Financial Information, page 156</w:t>
      </w:r>
    </w:p>
    <w:p>
      <w:pPr>
        <w:spacing w:after="0" w:line="207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979" w:firstLine="8"/>
        <w:spacing w:after="0" w:line="235" w:lineRule="auto"/>
        <w:tabs>
          <w:tab w:leader="none" w:pos="948" w:val="left"/>
        </w:tabs>
        <w:numPr>
          <w:ilvl w:val="0"/>
          <w:numId w:val="3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revise to describe the extent to which the financial projections provided by Sema4</w:t>
      </w:r>
    </w:p>
    <w:p>
      <w:pPr>
        <w:sectPr>
          <w:pgSz w:w="11900" w:h="16838" w:orient="portrait"/>
          <w:cols w:equalWidth="0" w:num="1">
            <w:col w:w="10139"/>
          </w:cols>
          <w:pgMar w:left="320" w:top="142" w:right="1440" w:bottom="0" w:gutter="0" w:footer="0" w:header="0"/>
        </w:sectPr>
      </w:pPr>
    </w:p>
    <w:bookmarkStart w:id="2" w:name="page3"/>
    <w:bookmarkEnd w:id="2"/>
    <w:p>
      <w:pPr>
        <w:ind w:right="2239" w:firstLine="948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factored into or supported your valuation. Please also explain how these projections were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right="2119" w:firstLine="948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used by management. In this regard, clarify whether the projections were accepted or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right="2759" w:firstLine="948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whether management or the Board made any adjustments to these projections and if so,</w:t>
      </w:r>
    </w:p>
    <w:p>
      <w:pPr>
        <w:ind w:left="9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describe such adjustments.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Sema4's Business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Regulatory Strategy and Managed Care, page 219</w:t>
      </w:r>
    </w:p>
    <w:p>
      <w:pPr>
        <w:spacing w:after="0" w:line="207" w:lineRule="exact"/>
        <w:rPr>
          <w:sz w:val="20"/>
          <w:szCs w:val="20"/>
          <w:color w:val="auto"/>
        </w:rPr>
      </w:pPr>
    </w:p>
    <w:p>
      <w:pPr>
        <w:ind w:right="2239" w:firstLine="8"/>
        <w:spacing w:after="0" w:line="235" w:lineRule="auto"/>
        <w:tabs>
          <w:tab w:leader="none" w:pos="948" w:val="left"/>
        </w:tabs>
        <w:numPr>
          <w:ilvl w:val="0"/>
          <w:numId w:val="4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note your disclosure here that you are preparing to submit your WES/WTS for</w:t>
      </w:r>
    </w:p>
    <w:p>
      <w:pPr>
        <w:spacing w:after="0" w:line="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left="96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approval by the FDA by engaging in the studies needed to demonstrate</w:t>
      </w: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clinical</w:t>
      </w:r>
    </w:p>
    <w:p>
      <w:pPr>
        <w:spacing w:after="0" w:line="4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0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utility. Under the heading "Pre-Market Approval" on page 228, please disclose the studies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19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that will be necessary to achieve FDA approval and the current status of such studies.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7919"/>
        <w:spacing w:after="0" w:line="290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Intellectual Property Patents, page 225</w:t>
      </w:r>
    </w:p>
    <w:p>
      <w:pPr>
        <w:spacing w:after="0" w:line="169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019" w:firstLine="8"/>
        <w:spacing w:after="0" w:line="235" w:lineRule="auto"/>
        <w:tabs>
          <w:tab w:leader="none" w:pos="948" w:val="left"/>
        </w:tabs>
        <w:numPr>
          <w:ilvl w:val="0"/>
          <w:numId w:val="4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note your disclosure that you have patent applications related to various aspects of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23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your laboratory, analytic and business practices. Please revise to disclose the specific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23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technologies to which such patent applications relate, the type of patent protection you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75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are seeking, the expected expiration dates and the applicable jurisdictions.</w:t>
      </w:r>
    </w:p>
    <w:p>
      <w:pPr>
        <w:spacing w:after="0" w:line="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Sema4's Management's Discussion and Analysis, page 237</w:t>
      </w: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Comparison of the Years Ended December 31, 2020, 2019 and 2018, page 243</w:t>
      </w:r>
    </w:p>
    <w:p>
      <w:pPr>
        <w:spacing w:after="0" w:line="207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119" w:firstLine="8"/>
        <w:spacing w:after="0" w:line="235" w:lineRule="auto"/>
        <w:tabs>
          <w:tab w:leader="none" w:pos="737" w:val="left"/>
        </w:tabs>
        <w:numPr>
          <w:ilvl w:val="0"/>
          <w:numId w:val="4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note the disclosure on page 223 referring to the collaborations or other agreements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1819" w:firstLine="737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with Sanofi, Janssen and Merus. Please disclose the significant terms of these agreements,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339" w:firstLine="737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quantify the impact thereof on your financial statements to date or clarify, if true, that no</w:t>
      </w:r>
    </w:p>
    <w:p>
      <w:pPr>
        <w:spacing w:after="0" w:line="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FirstName LastNameEli Casdin</w:t>
      </w:r>
    </w:p>
    <w:p>
      <w:pPr>
        <w:spacing w:after="0" w:line="4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339" w:firstLine="737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material impact has been recognized based on the relevant terms and conditions. It</w:t>
      </w:r>
    </w:p>
    <w:p>
      <w:pPr>
        <w:spacing w:after="0" w:line="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spacing w:after="0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Comapany</w:t>
      </w:r>
      <w:r>
        <w:rPr>
          <w:rFonts w:ascii="Courier New" w:cs="Courier New" w:eastAsia="Courier New" w:hAnsi="Courier New"/>
          <w:sz w:val="16"/>
          <w:szCs w:val="16"/>
          <w:color w:val="auto"/>
        </w:rPr>
        <w:t>NameCM</w:t>
      </w:r>
    </w:p>
    <w:p>
      <w:pPr>
        <w:ind w:left="740"/>
        <w:spacing w:after="0" w:line="238" w:lineRule="auto"/>
        <w:tabs>
          <w:tab w:leader="none" w:pos="230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appears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8"/>
          <w:szCs w:val="18"/>
          <w:color w:val="auto"/>
        </w:rPr>
        <w:t>Life Sciences,</w:t>
      </w:r>
    </w:p>
    <w:p>
      <w:pPr>
        <w:ind w:left="1580"/>
        <w:spacing w:after="0"/>
        <w:tabs>
          <w:tab w:leader="none" w:pos="388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other revenue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6"/>
          <w:szCs w:val="16"/>
          <w:color w:val="auto"/>
        </w:rPr>
        <w:t>Inc.</w:t>
      </w:r>
    </w:p>
    <w:p>
      <w:pPr>
        <w:ind w:left="3160"/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has been impacted to some extent therefrom as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mentioned on page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June 2,244.</w:t>
      </w:r>
    </w:p>
    <w:p>
      <w:pPr>
        <w:ind w:left="860"/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2021 Page 3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FirstName LastName</w:t>
      </w: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Eli Casdin</w:t>
      </w:r>
    </w:p>
    <w:p>
      <w:pPr>
        <w:spacing w:after="0" w:line="237" w:lineRule="auto"/>
        <w:tabs>
          <w:tab w:leader="none" w:pos="114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FirstName</w:t>
        <w:tab/>
        <w:t>LastNameEli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CM Life Sciences, Inc. Casdin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Comapany</w:t>
      </w:r>
    </w:p>
    <w:p>
      <w:pPr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June 2, 2021NameCM Life Sciences, Inc.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June 2,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Page 4 2021 Page 4</w:t>
      </w:r>
    </w:p>
    <w:p>
      <w:pPr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FirstName LastName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Critical Accounting Policies and Estimates, page 253</w:t>
      </w:r>
    </w:p>
    <w:p>
      <w:pPr>
        <w:spacing w:after="0" w:line="207" w:lineRule="exact"/>
        <w:rPr>
          <w:sz w:val="20"/>
          <w:szCs w:val="20"/>
          <w:color w:val="auto"/>
        </w:rPr>
      </w:pPr>
    </w:p>
    <w:p>
      <w:pPr>
        <w:ind w:right="2759" w:firstLine="8"/>
        <w:spacing w:after="0" w:line="235" w:lineRule="auto"/>
        <w:tabs>
          <w:tab w:leader="none" w:pos="948" w:val="left"/>
        </w:tabs>
        <w:numPr>
          <w:ilvl w:val="0"/>
          <w:numId w:val="5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note the disclosure on page 222 that you offer "a suite of products, services, and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1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solutions to our Biopharma customers. While each of these solutions can represent a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55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standalone offering, we believe that our Biopharma partners can realize significant value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65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when collaborating with our team to utilize a more integrated, end-to-end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43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solution." Regarding the revenue recognition critical accounting policy on pages 254-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65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255, in any instances when there is one contract with multiple elements and/or products,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19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services and solutions purchased at the same time, revise to disclose how you identify the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left="220" w:right="1819" w:firstLine="737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relevant performance obligations and whether you allocate the contract s transaction price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left="960"/>
        <w:spacing w:after="0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to each performance obligation on a relative standalone selling price</w:t>
      </w:r>
    </w:p>
    <w:p>
      <w:pPr>
        <w:spacing w:after="0" w:line="16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basis.</w:t>
      </w: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Beneficial Ownership of Securities, page 286</w:t>
      </w:r>
    </w:p>
    <w:p>
      <w:pPr>
        <w:spacing w:after="0" w:line="207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1819" w:firstLine="8"/>
        <w:spacing w:after="0" w:line="235" w:lineRule="auto"/>
        <w:tabs>
          <w:tab w:leader="none" w:pos="948" w:val="left"/>
        </w:tabs>
        <w:numPr>
          <w:ilvl w:val="0"/>
          <w:numId w:val="5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identify the natural persons that will be the beneficial owners of the shares held by</w:t>
      </w:r>
    </w:p>
    <w:p>
      <w:pPr>
        <w:sectPr>
          <w:pgSz w:w="11900" w:h="16838" w:orient="portrait"/>
          <w:cols w:equalWidth="0" w:num="1">
            <w:col w:w="10139"/>
          </w:cols>
          <w:pgMar w:left="320" w:top="142" w:right="1440" w:bottom="0" w:gutter="0" w:footer="0" w:header="0"/>
        </w:sectPr>
      </w:pPr>
    </w:p>
    <w:bookmarkStart w:id="3" w:name="page4"/>
    <w:bookmarkEnd w:id="3"/>
    <w:p>
      <w:pPr>
        <w:ind w:left="9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Icahn School of Medicine at Mount Sinai.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General</w:t>
      </w:r>
    </w:p>
    <w:p>
      <w:pPr>
        <w:spacing w:after="0" w:line="201" w:lineRule="exact"/>
        <w:rPr>
          <w:sz w:val="20"/>
          <w:szCs w:val="20"/>
          <w:color w:val="auto"/>
        </w:rPr>
      </w:pPr>
    </w:p>
    <w:p>
      <w:pPr>
        <w:spacing w:after="0"/>
        <w:tabs>
          <w:tab w:leader="none" w:pos="940" w:val="left"/>
          <w:tab w:leader="none" w:pos="6100" w:val="left"/>
          <w:tab w:leader="none" w:pos="768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17.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8"/>
          <w:szCs w:val="18"/>
          <w:color w:val="auto"/>
        </w:rPr>
        <w:t>Please include a form of proxy card marked as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8"/>
          <w:szCs w:val="18"/>
          <w:color w:val="auto"/>
        </w:rPr>
        <w:t>preliminary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6"/>
          <w:szCs w:val="16"/>
          <w:color w:val="auto"/>
        </w:rPr>
        <w:t>in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your next amendment.</w:t>
      </w:r>
    </w:p>
    <w:p>
      <w:pPr>
        <w:ind w:left="86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remind you that the company and its management are responsible for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the accuracy</w:t>
      </w:r>
    </w:p>
    <w:p>
      <w:pPr>
        <w:spacing w:after="0" w:line="3" w:lineRule="exact"/>
        <w:rPr>
          <w:sz w:val="20"/>
          <w:szCs w:val="20"/>
          <w:color w:val="auto"/>
        </w:rPr>
      </w:pPr>
    </w:p>
    <w:p>
      <w:pPr>
        <w:ind w:right="181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and adequacy of their disclosures, notwithstanding any review, comments, action or absence of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action by the staff.</w:t>
      </w:r>
    </w:p>
    <w:p>
      <w:pPr>
        <w:spacing w:after="0" w:line="207" w:lineRule="exact"/>
        <w:rPr>
          <w:sz w:val="20"/>
          <w:szCs w:val="20"/>
          <w:color w:val="auto"/>
        </w:rPr>
      </w:pPr>
    </w:p>
    <w:p>
      <w:pPr>
        <w:ind w:right="1919" w:firstLine="737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You may contact Jenn Do at (202) 551-3743 or Terence O Brien at (202) 551-3355 if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right="201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you have questions regarding comments on the financial statements and related matters. Please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contact Ada Sarmento at (202) 551-3798 or Tim Buchmiller at (202) 551-3635 with</w:t>
      </w:r>
    </w:p>
    <w:p>
      <w:pPr>
        <w:spacing w:after="0" w:line="1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any other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questions.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6" w:lineRule="exact"/>
        <w:rPr>
          <w:sz w:val="20"/>
          <w:szCs w:val="20"/>
          <w:color w:val="auto"/>
        </w:rPr>
      </w:pPr>
    </w:p>
    <w:p>
      <w:pPr>
        <w:ind w:left="66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Sincerely,</w:t>
      </w:r>
    </w:p>
    <w:p>
      <w:pPr>
        <w:spacing w:after="0" w:line="201" w:lineRule="exact"/>
        <w:rPr>
          <w:sz w:val="20"/>
          <w:szCs w:val="20"/>
          <w:color w:val="auto"/>
        </w:rPr>
      </w:pPr>
    </w:p>
    <w:p>
      <w:pPr>
        <w:ind w:left="66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Division of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Corporation Finance</w:t>
      </w:r>
    </w:p>
    <w:p>
      <w:pPr>
        <w:ind w:left="664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Office of Life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Sciences</w:t>
      </w:r>
    </w:p>
    <w:p>
      <w:pPr>
        <w:ind w:left="960" w:hanging="952"/>
        <w:spacing w:after="0" w:line="237" w:lineRule="auto"/>
        <w:tabs>
          <w:tab w:leader="none" w:pos="960" w:val="left"/>
        </w:tabs>
        <w:numPr>
          <w:ilvl w:val="0"/>
          <w:numId w:val="6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Colin J. Diamond, Esq.</w:t>
      </w:r>
    </w:p>
    <w:sectPr>
      <w:pgSz w:w="11900" w:h="16838" w:orient="portrait"/>
      <w:cols w:equalWidth="0" w:num="1">
        <w:col w:w="10139"/>
      </w:cols>
      <w:pgMar w:left="320" w:top="136" w:right="1440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00"/>
    <w:family w:val="auto"/>
    <w:pitch w:val="fixed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2AE8944A"/>
    <w:multiLevelType w:val="hybridMultilevel"/>
    <w:lvl w:ilvl="0">
      <w:lvlJc w:val="left"/>
      <w:lvlText w:val="%1."/>
      <w:numFmt w:val="decimal"/>
      <w:start w:val="3"/>
    </w:lvl>
  </w:abstractNum>
  <w:abstractNum w:abstractNumId="1">
    <w:nsid w:val="625558EC"/>
    <w:multiLevelType w:val="hybridMultilevel"/>
    <w:lvl w:ilvl="0">
      <w:lvlJc w:val="left"/>
      <w:lvlText w:val="%1."/>
      <w:numFmt w:val="decimal"/>
      <w:start w:val="4"/>
    </w:lvl>
  </w:abstractNum>
  <w:abstractNum w:abstractNumId="2">
    <w:nsid w:val="238E1F29"/>
    <w:multiLevelType w:val="hybridMultilevel"/>
    <w:lvl w:ilvl="0">
      <w:lvlJc w:val="left"/>
      <w:lvlText w:val="%1."/>
      <w:numFmt w:val="decimal"/>
      <w:start w:val="8"/>
    </w:lvl>
  </w:abstractNum>
  <w:abstractNum w:abstractNumId="3">
    <w:nsid w:val="46E87CCD"/>
    <w:multiLevelType w:val="hybridMultilevel"/>
    <w:lvl w:ilvl="0">
      <w:lvlJc w:val="left"/>
      <w:lvlText w:val="%1."/>
      <w:numFmt w:val="decimal"/>
      <w:start w:val="12"/>
    </w:lvl>
  </w:abstractNum>
  <w:abstractNum w:abstractNumId="4">
    <w:nsid w:val="3D1B58BA"/>
    <w:multiLevelType w:val="hybridMultilevel"/>
    <w:lvl w:ilvl="0">
      <w:lvlJc w:val="left"/>
      <w:lvlText w:val="%1."/>
      <w:numFmt w:val="decimal"/>
      <w:start w:val="15"/>
    </w:lvl>
  </w:abstractNum>
  <w:abstractNum w:abstractNumId="5">
    <w:nsid w:val="507ED7AB"/>
    <w:multiLevelType w:val="hybridMultilevel"/>
    <w:lvl w:ilvl="0">
      <w:lvlJc w:val="left"/>
      <w:lvlText w:val="%1:"/>
      <w:numFmt w:val="lowerLetter"/>
      <w:start w:val="29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2021-08-15T21:00:16Z</dcterms:created>
  <dcterms:modified xsi:type="dcterms:W3CDTF">2021-08-15T21:00:16Z</dcterms:modified>
</cp:coreProperties>
</file>