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PFENNIGER RICHARD C JR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20"/>
        <w:spacing w:after="0" w:line="395" w:lineRule="auto"/>
        <w:rPr>
          <w:sz w:val="20"/>
          <w:szCs w:val="20"/>
          <w:color w:val="auto"/>
        </w:rPr>
      </w:pPr>
      <w:r>
        <w:rPr>
          <w:rFonts w:ascii="Arial" w:cs="Arial" w:eastAsia="Arial" w:hAnsi="Arial"/>
          <w:sz w:val="16"/>
          <w:szCs w:val="16"/>
          <w:color w:val="0000FF"/>
        </w:rPr>
        <w:t>C/O GENEDX HOLDINGS CORP. 333 LUDLOW ST, NORTH TOWER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11/08/2023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11/08/2023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1.4889</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20,918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$1.46 to $1.5166,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Devin Schaffer,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11/08/2023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2023-11-08T18:25:04Z</dcterms:created>
  <dcterms:modified xsi:type="dcterms:W3CDTF">2023-11-08T18:25:04Z</dcterms:modified>
</cp:coreProperties>
</file>