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03/09/2026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03/09/2026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2,462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23,122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03/09/2026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1,280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86.754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21,842</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2,462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7,387</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$86.75 to $87.1136 per share,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21,842 shares of Class A Common Stock beneficially owned by the Reporting Person, the Reporting Person beneficially owned RSUs representing contingent rights to receive up to an aggregate of 120,435 shares of Class A Common Stock and options to purchase up to an aggregate of 25,906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03/11/2026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2026-03-11T15:38:30Z</dcterms:created>
  <dcterms:modified xsi:type="dcterms:W3CDTF">2026-03-11T15:38:30Z</dcterms:modified>
</cp:coreProperties>
</file>